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8386A" w14:textId="77777777" w:rsidR="00444C41" w:rsidRDefault="00444C41" w:rsidP="00917E9B">
      <w:pPr>
        <w:pStyle w:val="Ttulo1"/>
        <w:rPr>
          <w:rFonts w:ascii="Calibri" w:hAnsi="Calibri" w:cs="Calibri"/>
          <w:szCs w:val="22"/>
        </w:rPr>
      </w:pPr>
    </w:p>
    <w:tbl>
      <w:tblPr>
        <w:tblW w:w="4336" w:type="pct"/>
        <w:tblLayout w:type="fixed"/>
        <w:tblCellMar>
          <w:left w:w="70" w:type="dxa"/>
          <w:right w:w="70" w:type="dxa"/>
        </w:tblCellMar>
        <w:tblLook w:val="04A0" w:firstRow="1" w:lastRow="0" w:firstColumn="1" w:lastColumn="0" w:noHBand="0" w:noVBand="1"/>
      </w:tblPr>
      <w:tblGrid>
        <w:gridCol w:w="4679"/>
        <w:gridCol w:w="1984"/>
        <w:gridCol w:w="1699"/>
        <w:gridCol w:w="715"/>
      </w:tblGrid>
      <w:tr w:rsidR="00311E05" w:rsidRPr="00A75888" w14:paraId="355F1A08" w14:textId="77777777" w:rsidTr="00311E05">
        <w:trPr>
          <w:trHeight w:hRule="exact" w:val="227"/>
        </w:trPr>
        <w:tc>
          <w:tcPr>
            <w:tcW w:w="5000" w:type="pct"/>
            <w:gridSpan w:val="4"/>
            <w:tcBorders>
              <w:top w:val="nil"/>
              <w:left w:val="nil"/>
              <w:bottom w:val="nil"/>
              <w:right w:val="nil"/>
            </w:tcBorders>
            <w:shd w:val="clear" w:color="auto" w:fill="auto"/>
            <w:noWrap/>
            <w:vAlign w:val="bottom"/>
            <w:hideMark/>
          </w:tcPr>
          <w:p w14:paraId="3176CB39" w14:textId="77777777" w:rsidR="00A75888" w:rsidRPr="00A75888" w:rsidRDefault="00A75888" w:rsidP="00A75888">
            <w:pPr>
              <w:jc w:val="center"/>
              <w:rPr>
                <w:rFonts w:asciiTheme="majorHAnsi" w:hAnsiTheme="majorHAnsi" w:cstheme="majorHAnsi"/>
                <w:b/>
                <w:bCs/>
                <w:sz w:val="16"/>
                <w:szCs w:val="16"/>
              </w:rPr>
            </w:pPr>
            <w:r w:rsidRPr="00A75888">
              <w:rPr>
                <w:rFonts w:asciiTheme="majorHAnsi" w:hAnsiTheme="majorHAnsi" w:cstheme="majorHAnsi"/>
                <w:b/>
                <w:bCs/>
                <w:sz w:val="16"/>
                <w:szCs w:val="16"/>
              </w:rPr>
              <w:t>VALEC ENGENHARIA, CONSTRUÇÕES E FERROVIAS S/A</w:t>
            </w:r>
          </w:p>
        </w:tc>
      </w:tr>
      <w:tr w:rsidR="00311E05" w:rsidRPr="00A75888" w14:paraId="074B49AF" w14:textId="77777777" w:rsidTr="00311E05">
        <w:trPr>
          <w:trHeight w:hRule="exact" w:val="227"/>
        </w:trPr>
        <w:tc>
          <w:tcPr>
            <w:tcW w:w="5000" w:type="pct"/>
            <w:gridSpan w:val="4"/>
            <w:tcBorders>
              <w:top w:val="nil"/>
              <w:left w:val="nil"/>
              <w:bottom w:val="nil"/>
              <w:right w:val="nil"/>
            </w:tcBorders>
            <w:shd w:val="clear" w:color="auto" w:fill="auto"/>
            <w:noWrap/>
            <w:vAlign w:val="bottom"/>
            <w:hideMark/>
          </w:tcPr>
          <w:p w14:paraId="1C7673F5" w14:textId="77777777" w:rsidR="00A75888" w:rsidRPr="00A75888" w:rsidRDefault="00A75888" w:rsidP="00A75888">
            <w:pPr>
              <w:jc w:val="center"/>
              <w:rPr>
                <w:rFonts w:asciiTheme="majorHAnsi" w:hAnsiTheme="majorHAnsi" w:cstheme="majorHAnsi"/>
                <w:b/>
                <w:bCs/>
                <w:sz w:val="16"/>
                <w:szCs w:val="16"/>
              </w:rPr>
            </w:pPr>
            <w:r w:rsidRPr="00A75888">
              <w:rPr>
                <w:rFonts w:asciiTheme="majorHAnsi" w:hAnsiTheme="majorHAnsi" w:cstheme="majorHAnsi"/>
                <w:b/>
                <w:bCs/>
                <w:sz w:val="16"/>
                <w:szCs w:val="16"/>
              </w:rPr>
              <w:t>BALANÇO PATRIMONIAL</w:t>
            </w:r>
          </w:p>
        </w:tc>
      </w:tr>
      <w:tr w:rsidR="00311E05" w:rsidRPr="00A75888" w14:paraId="0802D023" w14:textId="77777777" w:rsidTr="00311E05">
        <w:trPr>
          <w:trHeight w:hRule="exact" w:val="227"/>
        </w:trPr>
        <w:tc>
          <w:tcPr>
            <w:tcW w:w="5000" w:type="pct"/>
            <w:gridSpan w:val="4"/>
            <w:tcBorders>
              <w:top w:val="nil"/>
              <w:left w:val="nil"/>
              <w:bottom w:val="nil"/>
              <w:right w:val="nil"/>
            </w:tcBorders>
            <w:shd w:val="clear" w:color="auto" w:fill="auto"/>
            <w:noWrap/>
            <w:vAlign w:val="bottom"/>
            <w:hideMark/>
          </w:tcPr>
          <w:p w14:paraId="6E568395" w14:textId="77777777" w:rsidR="00A75888" w:rsidRPr="00A75888" w:rsidRDefault="00A75888" w:rsidP="00A75888">
            <w:pPr>
              <w:jc w:val="center"/>
              <w:rPr>
                <w:rFonts w:asciiTheme="majorHAnsi" w:hAnsiTheme="majorHAnsi" w:cstheme="majorHAnsi"/>
                <w:b/>
                <w:bCs/>
                <w:sz w:val="16"/>
                <w:szCs w:val="16"/>
              </w:rPr>
            </w:pPr>
            <w:r w:rsidRPr="00A75888">
              <w:rPr>
                <w:rFonts w:asciiTheme="majorHAnsi" w:hAnsiTheme="majorHAnsi" w:cstheme="majorHAnsi"/>
                <w:b/>
                <w:bCs/>
                <w:sz w:val="16"/>
                <w:szCs w:val="16"/>
              </w:rPr>
              <w:t>2º TRIMESTRE 2022</w:t>
            </w:r>
          </w:p>
        </w:tc>
      </w:tr>
      <w:tr w:rsidR="00311E05" w:rsidRPr="00A75888" w14:paraId="4E5711E6" w14:textId="77777777" w:rsidTr="00311E05">
        <w:trPr>
          <w:trHeight w:hRule="exact" w:val="227"/>
        </w:trPr>
        <w:tc>
          <w:tcPr>
            <w:tcW w:w="5000" w:type="pct"/>
            <w:gridSpan w:val="4"/>
            <w:tcBorders>
              <w:top w:val="nil"/>
              <w:left w:val="nil"/>
              <w:bottom w:val="nil"/>
              <w:right w:val="nil"/>
            </w:tcBorders>
            <w:shd w:val="clear" w:color="auto" w:fill="auto"/>
            <w:noWrap/>
            <w:vAlign w:val="bottom"/>
            <w:hideMark/>
          </w:tcPr>
          <w:p w14:paraId="52A63BF5" w14:textId="34D9B1BD" w:rsidR="00A75888" w:rsidRPr="00A75888" w:rsidRDefault="00A75888" w:rsidP="00A75888">
            <w:pPr>
              <w:jc w:val="center"/>
              <w:rPr>
                <w:rFonts w:asciiTheme="majorHAnsi" w:hAnsiTheme="majorHAnsi" w:cstheme="majorHAnsi"/>
                <w:b/>
                <w:bCs/>
                <w:sz w:val="16"/>
                <w:szCs w:val="16"/>
              </w:rPr>
            </w:pPr>
            <w:r w:rsidRPr="00A75888">
              <w:rPr>
                <w:rFonts w:asciiTheme="majorHAnsi" w:hAnsiTheme="majorHAnsi" w:cstheme="majorHAnsi"/>
                <w:b/>
                <w:bCs/>
                <w:sz w:val="16"/>
                <w:szCs w:val="16"/>
              </w:rPr>
              <w:t>A T I V O (R$)</w:t>
            </w:r>
          </w:p>
        </w:tc>
      </w:tr>
      <w:tr w:rsidR="00311E05" w:rsidRPr="00A75888" w14:paraId="096E2028" w14:textId="77777777" w:rsidTr="00311E05">
        <w:trPr>
          <w:trHeight w:hRule="exact" w:val="227"/>
        </w:trPr>
        <w:tc>
          <w:tcPr>
            <w:tcW w:w="2577" w:type="pct"/>
            <w:tcBorders>
              <w:top w:val="nil"/>
              <w:left w:val="nil"/>
              <w:bottom w:val="nil"/>
              <w:right w:val="nil"/>
            </w:tcBorders>
            <w:shd w:val="clear" w:color="auto" w:fill="auto"/>
            <w:noWrap/>
            <w:vAlign w:val="bottom"/>
            <w:hideMark/>
          </w:tcPr>
          <w:p w14:paraId="7D5693F8" w14:textId="77777777" w:rsidR="00A75888" w:rsidRPr="00A75888" w:rsidRDefault="00A75888" w:rsidP="00A75888">
            <w:pPr>
              <w:jc w:val="center"/>
              <w:rPr>
                <w:rFonts w:asciiTheme="majorHAnsi" w:hAnsiTheme="majorHAnsi" w:cstheme="majorHAnsi"/>
                <w:b/>
                <w:bCs/>
                <w:sz w:val="16"/>
                <w:szCs w:val="16"/>
              </w:rPr>
            </w:pPr>
          </w:p>
        </w:tc>
        <w:tc>
          <w:tcPr>
            <w:tcW w:w="1093" w:type="pct"/>
            <w:tcBorders>
              <w:top w:val="nil"/>
              <w:left w:val="nil"/>
              <w:bottom w:val="nil"/>
              <w:right w:val="nil"/>
            </w:tcBorders>
            <w:shd w:val="clear" w:color="auto" w:fill="auto"/>
            <w:noWrap/>
            <w:vAlign w:val="bottom"/>
            <w:hideMark/>
          </w:tcPr>
          <w:p w14:paraId="7D77951D" w14:textId="77777777" w:rsidR="00A75888" w:rsidRPr="00A75888" w:rsidRDefault="00A75888" w:rsidP="00A75888">
            <w:pPr>
              <w:jc w:val="center"/>
              <w:rPr>
                <w:rFonts w:asciiTheme="majorHAnsi" w:hAnsiTheme="majorHAnsi" w:cstheme="majorHAnsi"/>
                <w:sz w:val="16"/>
                <w:szCs w:val="16"/>
              </w:rPr>
            </w:pPr>
          </w:p>
        </w:tc>
        <w:tc>
          <w:tcPr>
            <w:tcW w:w="936" w:type="pct"/>
            <w:tcBorders>
              <w:top w:val="nil"/>
              <w:left w:val="nil"/>
              <w:bottom w:val="nil"/>
              <w:right w:val="nil"/>
            </w:tcBorders>
            <w:shd w:val="clear" w:color="auto" w:fill="auto"/>
            <w:noWrap/>
            <w:vAlign w:val="bottom"/>
            <w:hideMark/>
          </w:tcPr>
          <w:p w14:paraId="6FA07BD5" w14:textId="77777777" w:rsidR="00A75888" w:rsidRPr="00A75888" w:rsidRDefault="00A75888" w:rsidP="00A75888">
            <w:pPr>
              <w:jc w:val="center"/>
              <w:rPr>
                <w:rFonts w:asciiTheme="majorHAnsi" w:hAnsiTheme="majorHAnsi" w:cstheme="majorHAnsi"/>
                <w:sz w:val="16"/>
                <w:szCs w:val="16"/>
              </w:rPr>
            </w:pPr>
          </w:p>
        </w:tc>
        <w:tc>
          <w:tcPr>
            <w:tcW w:w="394" w:type="pct"/>
            <w:tcBorders>
              <w:top w:val="nil"/>
              <w:left w:val="nil"/>
              <w:bottom w:val="nil"/>
              <w:right w:val="nil"/>
            </w:tcBorders>
            <w:shd w:val="clear" w:color="auto" w:fill="auto"/>
            <w:noWrap/>
            <w:vAlign w:val="center"/>
            <w:hideMark/>
          </w:tcPr>
          <w:p w14:paraId="7ABB95C8" w14:textId="77777777" w:rsidR="00A75888" w:rsidRPr="00A75888" w:rsidRDefault="00A75888" w:rsidP="00A75888">
            <w:pPr>
              <w:jc w:val="right"/>
              <w:rPr>
                <w:rFonts w:asciiTheme="majorHAnsi" w:hAnsiTheme="majorHAnsi" w:cstheme="majorHAnsi"/>
                <w:sz w:val="16"/>
                <w:szCs w:val="16"/>
              </w:rPr>
            </w:pPr>
          </w:p>
        </w:tc>
      </w:tr>
      <w:tr w:rsidR="00311E05" w:rsidRPr="00A75888" w14:paraId="2AFE4130" w14:textId="77777777" w:rsidTr="00311E05">
        <w:trPr>
          <w:trHeight w:hRule="exact" w:val="227"/>
        </w:trPr>
        <w:tc>
          <w:tcPr>
            <w:tcW w:w="2577" w:type="pct"/>
            <w:tcBorders>
              <w:top w:val="nil"/>
              <w:left w:val="nil"/>
              <w:bottom w:val="nil"/>
              <w:right w:val="nil"/>
            </w:tcBorders>
            <w:shd w:val="clear" w:color="auto" w:fill="auto"/>
            <w:noWrap/>
            <w:vAlign w:val="bottom"/>
            <w:hideMark/>
          </w:tcPr>
          <w:p w14:paraId="60D453CE" w14:textId="77777777" w:rsidR="00311E05" w:rsidRPr="00A75888" w:rsidRDefault="00311E05" w:rsidP="00311E05">
            <w:pPr>
              <w:jc w:val="right"/>
              <w:rPr>
                <w:rFonts w:asciiTheme="majorHAnsi" w:hAnsiTheme="majorHAnsi" w:cstheme="majorHAnsi"/>
                <w:sz w:val="16"/>
                <w:szCs w:val="16"/>
              </w:rPr>
            </w:pPr>
          </w:p>
        </w:tc>
        <w:tc>
          <w:tcPr>
            <w:tcW w:w="1093" w:type="pct"/>
            <w:tcBorders>
              <w:top w:val="nil"/>
              <w:left w:val="nil"/>
              <w:bottom w:val="nil"/>
              <w:right w:val="nil"/>
            </w:tcBorders>
            <w:shd w:val="clear" w:color="auto" w:fill="auto"/>
            <w:noWrap/>
            <w:vAlign w:val="bottom"/>
            <w:hideMark/>
          </w:tcPr>
          <w:p w14:paraId="4C9FE54B" w14:textId="77777777" w:rsidR="00311E05" w:rsidRPr="00A75888" w:rsidRDefault="00311E05" w:rsidP="00311E05">
            <w:pPr>
              <w:jc w:val="right"/>
              <w:rPr>
                <w:rFonts w:asciiTheme="majorHAnsi" w:hAnsiTheme="majorHAnsi" w:cstheme="majorHAnsi"/>
                <w:b/>
                <w:bCs/>
                <w:sz w:val="16"/>
                <w:szCs w:val="16"/>
              </w:rPr>
            </w:pPr>
            <w:r w:rsidRPr="00A75888">
              <w:rPr>
                <w:rFonts w:asciiTheme="majorHAnsi" w:hAnsiTheme="majorHAnsi" w:cstheme="majorHAnsi"/>
                <w:b/>
                <w:bCs/>
                <w:sz w:val="16"/>
                <w:szCs w:val="16"/>
              </w:rPr>
              <w:t>30/06/2022</w:t>
            </w:r>
          </w:p>
        </w:tc>
        <w:tc>
          <w:tcPr>
            <w:tcW w:w="936" w:type="pct"/>
            <w:tcBorders>
              <w:top w:val="nil"/>
              <w:left w:val="nil"/>
              <w:bottom w:val="nil"/>
              <w:right w:val="nil"/>
            </w:tcBorders>
            <w:shd w:val="clear" w:color="auto" w:fill="auto"/>
            <w:noWrap/>
            <w:vAlign w:val="bottom"/>
            <w:hideMark/>
          </w:tcPr>
          <w:p w14:paraId="2D2C57D2" w14:textId="77777777" w:rsidR="00311E05" w:rsidRPr="00A75888" w:rsidRDefault="00311E05" w:rsidP="00311E05">
            <w:pPr>
              <w:jc w:val="right"/>
              <w:rPr>
                <w:rFonts w:asciiTheme="majorHAnsi" w:hAnsiTheme="majorHAnsi" w:cstheme="majorHAnsi"/>
                <w:b/>
                <w:bCs/>
                <w:sz w:val="16"/>
                <w:szCs w:val="16"/>
              </w:rPr>
            </w:pPr>
            <w:r w:rsidRPr="00A75888">
              <w:rPr>
                <w:rFonts w:asciiTheme="majorHAnsi" w:hAnsiTheme="majorHAnsi" w:cstheme="majorHAnsi"/>
                <w:b/>
                <w:bCs/>
                <w:sz w:val="16"/>
                <w:szCs w:val="16"/>
              </w:rPr>
              <w:t>31/12/2021</w:t>
            </w:r>
          </w:p>
        </w:tc>
        <w:tc>
          <w:tcPr>
            <w:tcW w:w="394" w:type="pct"/>
            <w:tcBorders>
              <w:top w:val="nil"/>
              <w:left w:val="nil"/>
              <w:bottom w:val="nil"/>
              <w:right w:val="nil"/>
            </w:tcBorders>
            <w:shd w:val="clear" w:color="auto" w:fill="auto"/>
            <w:noWrap/>
            <w:vAlign w:val="center"/>
            <w:hideMark/>
          </w:tcPr>
          <w:p w14:paraId="1931EA82" w14:textId="65383665" w:rsidR="00311E05" w:rsidRPr="00A75888" w:rsidRDefault="00311E05" w:rsidP="00C20033">
            <w:pPr>
              <w:jc w:val="center"/>
              <w:rPr>
                <w:rFonts w:asciiTheme="majorHAnsi" w:hAnsiTheme="majorHAnsi" w:cstheme="majorHAnsi"/>
                <w:b/>
                <w:bCs/>
                <w:sz w:val="16"/>
                <w:szCs w:val="16"/>
              </w:rPr>
            </w:pPr>
            <w:r w:rsidRPr="00A75888">
              <w:rPr>
                <w:rFonts w:asciiTheme="majorHAnsi" w:hAnsiTheme="majorHAnsi" w:cstheme="majorHAnsi"/>
                <w:b/>
                <w:bCs/>
                <w:sz w:val="16"/>
                <w:szCs w:val="16"/>
              </w:rPr>
              <w:t>Nota</w:t>
            </w:r>
          </w:p>
        </w:tc>
      </w:tr>
      <w:tr w:rsidR="00311E05" w:rsidRPr="00A75888" w14:paraId="4AF324F4" w14:textId="77777777" w:rsidTr="00311E05">
        <w:trPr>
          <w:trHeight w:hRule="exact" w:val="227"/>
        </w:trPr>
        <w:tc>
          <w:tcPr>
            <w:tcW w:w="2577" w:type="pct"/>
            <w:tcBorders>
              <w:top w:val="nil"/>
              <w:left w:val="nil"/>
              <w:bottom w:val="nil"/>
              <w:right w:val="nil"/>
            </w:tcBorders>
            <w:shd w:val="clear" w:color="auto" w:fill="auto"/>
            <w:noWrap/>
            <w:vAlign w:val="bottom"/>
            <w:hideMark/>
          </w:tcPr>
          <w:p w14:paraId="77179E9C" w14:textId="77777777" w:rsidR="00311E05" w:rsidRPr="00A75888" w:rsidRDefault="00311E05" w:rsidP="00311E05">
            <w:pPr>
              <w:jc w:val="right"/>
              <w:rPr>
                <w:rFonts w:asciiTheme="majorHAnsi" w:hAnsiTheme="majorHAnsi" w:cstheme="majorHAnsi"/>
                <w:sz w:val="16"/>
                <w:szCs w:val="16"/>
              </w:rPr>
            </w:pPr>
          </w:p>
        </w:tc>
        <w:tc>
          <w:tcPr>
            <w:tcW w:w="1093" w:type="pct"/>
            <w:tcBorders>
              <w:top w:val="nil"/>
              <w:left w:val="nil"/>
              <w:bottom w:val="nil"/>
              <w:right w:val="nil"/>
            </w:tcBorders>
            <w:shd w:val="clear" w:color="auto" w:fill="auto"/>
            <w:noWrap/>
            <w:vAlign w:val="bottom"/>
            <w:hideMark/>
          </w:tcPr>
          <w:p w14:paraId="602CAE25" w14:textId="77777777" w:rsidR="00311E05" w:rsidRPr="00A75888" w:rsidRDefault="00311E05" w:rsidP="00311E05">
            <w:pPr>
              <w:rPr>
                <w:rFonts w:asciiTheme="majorHAnsi" w:hAnsiTheme="majorHAnsi" w:cstheme="majorHAnsi"/>
                <w:sz w:val="16"/>
                <w:szCs w:val="16"/>
              </w:rPr>
            </w:pPr>
          </w:p>
        </w:tc>
        <w:tc>
          <w:tcPr>
            <w:tcW w:w="936" w:type="pct"/>
            <w:tcBorders>
              <w:top w:val="nil"/>
              <w:left w:val="nil"/>
              <w:bottom w:val="nil"/>
              <w:right w:val="nil"/>
            </w:tcBorders>
            <w:shd w:val="clear" w:color="auto" w:fill="auto"/>
            <w:noWrap/>
            <w:vAlign w:val="bottom"/>
            <w:hideMark/>
          </w:tcPr>
          <w:p w14:paraId="2D21BBCD" w14:textId="77777777" w:rsidR="00311E05" w:rsidRPr="00A75888" w:rsidRDefault="00311E05" w:rsidP="00311E05">
            <w:pPr>
              <w:jc w:val="right"/>
              <w:rPr>
                <w:rFonts w:asciiTheme="majorHAnsi" w:hAnsiTheme="majorHAnsi" w:cstheme="majorHAnsi"/>
                <w:sz w:val="16"/>
                <w:szCs w:val="16"/>
              </w:rPr>
            </w:pPr>
          </w:p>
        </w:tc>
        <w:tc>
          <w:tcPr>
            <w:tcW w:w="394" w:type="pct"/>
            <w:tcBorders>
              <w:top w:val="nil"/>
              <w:left w:val="nil"/>
              <w:bottom w:val="nil"/>
              <w:right w:val="nil"/>
            </w:tcBorders>
            <w:shd w:val="clear" w:color="auto" w:fill="auto"/>
            <w:noWrap/>
            <w:vAlign w:val="center"/>
            <w:hideMark/>
          </w:tcPr>
          <w:p w14:paraId="022E72B4" w14:textId="77777777" w:rsidR="00311E05" w:rsidRPr="00A75888" w:rsidRDefault="00311E05" w:rsidP="00C20033">
            <w:pPr>
              <w:jc w:val="center"/>
              <w:rPr>
                <w:rFonts w:asciiTheme="majorHAnsi" w:hAnsiTheme="majorHAnsi" w:cstheme="majorHAnsi"/>
                <w:sz w:val="16"/>
                <w:szCs w:val="16"/>
              </w:rPr>
            </w:pPr>
          </w:p>
        </w:tc>
      </w:tr>
      <w:tr w:rsidR="00311E05" w:rsidRPr="00A75888" w14:paraId="5930AAC5" w14:textId="77777777" w:rsidTr="00311E05">
        <w:trPr>
          <w:trHeight w:hRule="exact" w:val="227"/>
        </w:trPr>
        <w:tc>
          <w:tcPr>
            <w:tcW w:w="2577" w:type="pct"/>
            <w:tcBorders>
              <w:top w:val="nil"/>
              <w:left w:val="nil"/>
              <w:bottom w:val="nil"/>
              <w:right w:val="nil"/>
            </w:tcBorders>
            <w:shd w:val="clear" w:color="auto" w:fill="auto"/>
            <w:noWrap/>
            <w:vAlign w:val="bottom"/>
            <w:hideMark/>
          </w:tcPr>
          <w:p w14:paraId="181A5CB0" w14:textId="77777777" w:rsidR="00311E05" w:rsidRPr="00A75888" w:rsidRDefault="00311E05" w:rsidP="00311E05">
            <w:pPr>
              <w:rPr>
                <w:rFonts w:asciiTheme="majorHAnsi" w:hAnsiTheme="majorHAnsi" w:cstheme="majorHAnsi"/>
                <w:b/>
                <w:bCs/>
                <w:sz w:val="16"/>
                <w:szCs w:val="16"/>
              </w:rPr>
            </w:pPr>
            <w:r w:rsidRPr="00A75888">
              <w:rPr>
                <w:rFonts w:asciiTheme="majorHAnsi" w:hAnsiTheme="majorHAnsi" w:cstheme="majorHAnsi"/>
                <w:b/>
                <w:bCs/>
                <w:sz w:val="16"/>
                <w:szCs w:val="16"/>
              </w:rPr>
              <w:t>ATIVO CIRCULANTE</w:t>
            </w:r>
          </w:p>
        </w:tc>
        <w:tc>
          <w:tcPr>
            <w:tcW w:w="1093" w:type="pct"/>
            <w:tcBorders>
              <w:top w:val="nil"/>
              <w:left w:val="nil"/>
              <w:bottom w:val="nil"/>
              <w:right w:val="nil"/>
            </w:tcBorders>
            <w:shd w:val="clear" w:color="auto" w:fill="auto"/>
            <w:noWrap/>
            <w:vAlign w:val="bottom"/>
            <w:hideMark/>
          </w:tcPr>
          <w:p w14:paraId="466297D7" w14:textId="77777777" w:rsidR="00311E05" w:rsidRPr="00A75888" w:rsidRDefault="00311E05" w:rsidP="00311E05">
            <w:pPr>
              <w:jc w:val="right"/>
              <w:rPr>
                <w:rFonts w:asciiTheme="majorHAnsi" w:hAnsiTheme="majorHAnsi" w:cstheme="majorHAnsi"/>
                <w:b/>
                <w:bCs/>
                <w:sz w:val="16"/>
                <w:szCs w:val="16"/>
              </w:rPr>
            </w:pPr>
            <w:r w:rsidRPr="00A75888">
              <w:rPr>
                <w:rFonts w:asciiTheme="majorHAnsi" w:hAnsiTheme="majorHAnsi" w:cstheme="majorHAnsi"/>
                <w:b/>
                <w:bCs/>
                <w:sz w:val="16"/>
                <w:szCs w:val="16"/>
              </w:rPr>
              <w:t xml:space="preserve">                       86.712.609 </w:t>
            </w:r>
          </w:p>
        </w:tc>
        <w:tc>
          <w:tcPr>
            <w:tcW w:w="936" w:type="pct"/>
            <w:tcBorders>
              <w:top w:val="nil"/>
              <w:left w:val="nil"/>
              <w:bottom w:val="nil"/>
              <w:right w:val="nil"/>
            </w:tcBorders>
            <w:shd w:val="clear" w:color="auto" w:fill="auto"/>
            <w:noWrap/>
            <w:vAlign w:val="bottom"/>
            <w:hideMark/>
          </w:tcPr>
          <w:p w14:paraId="4F67ED05" w14:textId="77777777" w:rsidR="00311E05" w:rsidRPr="00A75888" w:rsidRDefault="00311E05" w:rsidP="00311E05">
            <w:pPr>
              <w:jc w:val="right"/>
              <w:rPr>
                <w:rFonts w:asciiTheme="majorHAnsi" w:hAnsiTheme="majorHAnsi" w:cstheme="majorHAnsi"/>
                <w:b/>
                <w:bCs/>
                <w:sz w:val="16"/>
                <w:szCs w:val="16"/>
              </w:rPr>
            </w:pPr>
            <w:r w:rsidRPr="00A75888">
              <w:rPr>
                <w:rFonts w:asciiTheme="majorHAnsi" w:hAnsiTheme="majorHAnsi" w:cstheme="majorHAnsi"/>
                <w:b/>
                <w:bCs/>
                <w:sz w:val="16"/>
                <w:szCs w:val="16"/>
              </w:rPr>
              <w:t xml:space="preserve">                    75.567.487 </w:t>
            </w:r>
          </w:p>
        </w:tc>
        <w:tc>
          <w:tcPr>
            <w:tcW w:w="394" w:type="pct"/>
            <w:tcBorders>
              <w:top w:val="nil"/>
              <w:left w:val="nil"/>
              <w:bottom w:val="nil"/>
              <w:right w:val="nil"/>
            </w:tcBorders>
            <w:shd w:val="clear" w:color="auto" w:fill="auto"/>
            <w:noWrap/>
            <w:vAlign w:val="center"/>
            <w:hideMark/>
          </w:tcPr>
          <w:p w14:paraId="60FCB174" w14:textId="77777777" w:rsidR="00311E05" w:rsidRPr="00A75888" w:rsidRDefault="00311E05" w:rsidP="00C20033">
            <w:pPr>
              <w:jc w:val="center"/>
              <w:rPr>
                <w:rFonts w:asciiTheme="majorHAnsi" w:hAnsiTheme="majorHAnsi" w:cstheme="majorHAnsi"/>
                <w:b/>
                <w:bCs/>
                <w:sz w:val="16"/>
                <w:szCs w:val="16"/>
              </w:rPr>
            </w:pPr>
          </w:p>
        </w:tc>
      </w:tr>
      <w:tr w:rsidR="00311E05" w:rsidRPr="00A75888" w14:paraId="6C7A6E97" w14:textId="77777777" w:rsidTr="00311E05">
        <w:trPr>
          <w:trHeight w:hRule="exact" w:val="227"/>
        </w:trPr>
        <w:tc>
          <w:tcPr>
            <w:tcW w:w="2577" w:type="pct"/>
            <w:tcBorders>
              <w:top w:val="nil"/>
              <w:left w:val="nil"/>
              <w:bottom w:val="nil"/>
              <w:right w:val="nil"/>
            </w:tcBorders>
            <w:shd w:val="clear" w:color="auto" w:fill="auto"/>
            <w:noWrap/>
            <w:vAlign w:val="bottom"/>
            <w:hideMark/>
          </w:tcPr>
          <w:p w14:paraId="54D79E28" w14:textId="77777777" w:rsidR="00311E05" w:rsidRPr="00A75888" w:rsidRDefault="00311E05" w:rsidP="00311E05">
            <w:pPr>
              <w:rPr>
                <w:rFonts w:asciiTheme="majorHAnsi" w:hAnsiTheme="majorHAnsi" w:cstheme="majorHAnsi"/>
                <w:b/>
                <w:bCs/>
                <w:sz w:val="16"/>
                <w:szCs w:val="16"/>
              </w:rPr>
            </w:pPr>
            <w:r w:rsidRPr="00A75888">
              <w:rPr>
                <w:rFonts w:asciiTheme="majorHAnsi" w:hAnsiTheme="majorHAnsi" w:cstheme="majorHAnsi"/>
                <w:b/>
                <w:bCs/>
                <w:sz w:val="16"/>
                <w:szCs w:val="16"/>
              </w:rPr>
              <w:t xml:space="preserve">     Disponível</w:t>
            </w:r>
          </w:p>
        </w:tc>
        <w:tc>
          <w:tcPr>
            <w:tcW w:w="1093" w:type="pct"/>
            <w:tcBorders>
              <w:top w:val="nil"/>
              <w:left w:val="nil"/>
              <w:bottom w:val="nil"/>
              <w:right w:val="nil"/>
            </w:tcBorders>
            <w:shd w:val="clear" w:color="auto" w:fill="auto"/>
            <w:noWrap/>
            <w:vAlign w:val="bottom"/>
            <w:hideMark/>
          </w:tcPr>
          <w:p w14:paraId="6EDB573E" w14:textId="77777777" w:rsidR="00311E05" w:rsidRPr="00A75888" w:rsidRDefault="00311E05" w:rsidP="00311E05">
            <w:pPr>
              <w:jc w:val="right"/>
              <w:rPr>
                <w:rFonts w:asciiTheme="majorHAnsi" w:hAnsiTheme="majorHAnsi" w:cstheme="majorHAnsi"/>
                <w:b/>
                <w:bCs/>
                <w:sz w:val="16"/>
                <w:szCs w:val="16"/>
              </w:rPr>
            </w:pPr>
            <w:r w:rsidRPr="00A75888">
              <w:rPr>
                <w:rFonts w:asciiTheme="majorHAnsi" w:hAnsiTheme="majorHAnsi" w:cstheme="majorHAnsi"/>
                <w:b/>
                <w:bCs/>
                <w:sz w:val="16"/>
                <w:szCs w:val="16"/>
              </w:rPr>
              <w:t xml:space="preserve">                       63.983.402 </w:t>
            </w:r>
          </w:p>
        </w:tc>
        <w:tc>
          <w:tcPr>
            <w:tcW w:w="936" w:type="pct"/>
            <w:tcBorders>
              <w:top w:val="nil"/>
              <w:left w:val="nil"/>
              <w:bottom w:val="nil"/>
              <w:right w:val="nil"/>
            </w:tcBorders>
            <w:shd w:val="clear" w:color="auto" w:fill="auto"/>
            <w:noWrap/>
            <w:vAlign w:val="bottom"/>
            <w:hideMark/>
          </w:tcPr>
          <w:p w14:paraId="6FAEE93F" w14:textId="77777777" w:rsidR="00311E05" w:rsidRPr="00A75888" w:rsidRDefault="00311E05" w:rsidP="00311E05">
            <w:pPr>
              <w:jc w:val="right"/>
              <w:rPr>
                <w:rFonts w:asciiTheme="majorHAnsi" w:hAnsiTheme="majorHAnsi" w:cstheme="majorHAnsi"/>
                <w:b/>
                <w:bCs/>
                <w:sz w:val="16"/>
                <w:szCs w:val="16"/>
              </w:rPr>
            </w:pPr>
            <w:r w:rsidRPr="00A75888">
              <w:rPr>
                <w:rFonts w:asciiTheme="majorHAnsi" w:hAnsiTheme="majorHAnsi" w:cstheme="majorHAnsi"/>
                <w:b/>
                <w:bCs/>
                <w:sz w:val="16"/>
                <w:szCs w:val="16"/>
              </w:rPr>
              <w:t xml:space="preserve">                    56.732.574 </w:t>
            </w:r>
          </w:p>
        </w:tc>
        <w:tc>
          <w:tcPr>
            <w:tcW w:w="394" w:type="pct"/>
            <w:tcBorders>
              <w:top w:val="nil"/>
              <w:left w:val="nil"/>
              <w:bottom w:val="nil"/>
              <w:right w:val="nil"/>
            </w:tcBorders>
            <w:shd w:val="clear" w:color="auto" w:fill="auto"/>
            <w:noWrap/>
            <w:vAlign w:val="center"/>
            <w:hideMark/>
          </w:tcPr>
          <w:p w14:paraId="2436FC51" w14:textId="77777777" w:rsidR="00311E05" w:rsidRPr="00A75888" w:rsidRDefault="00311E05" w:rsidP="00C20033">
            <w:pPr>
              <w:jc w:val="center"/>
              <w:rPr>
                <w:rFonts w:asciiTheme="majorHAnsi" w:hAnsiTheme="majorHAnsi" w:cstheme="majorHAnsi"/>
                <w:b/>
                <w:bCs/>
                <w:sz w:val="16"/>
                <w:szCs w:val="16"/>
              </w:rPr>
            </w:pPr>
          </w:p>
        </w:tc>
      </w:tr>
      <w:tr w:rsidR="00311E05" w:rsidRPr="00A75888" w14:paraId="30368EBF" w14:textId="77777777" w:rsidTr="00311E05">
        <w:trPr>
          <w:trHeight w:hRule="exact" w:val="227"/>
        </w:trPr>
        <w:tc>
          <w:tcPr>
            <w:tcW w:w="2577" w:type="pct"/>
            <w:tcBorders>
              <w:top w:val="nil"/>
              <w:left w:val="nil"/>
              <w:bottom w:val="nil"/>
              <w:right w:val="nil"/>
            </w:tcBorders>
            <w:shd w:val="clear" w:color="auto" w:fill="auto"/>
            <w:noWrap/>
            <w:vAlign w:val="bottom"/>
            <w:hideMark/>
          </w:tcPr>
          <w:p w14:paraId="2FF1756B" w14:textId="77777777" w:rsidR="00311E05" w:rsidRPr="00A75888" w:rsidRDefault="00311E05" w:rsidP="00311E05">
            <w:pPr>
              <w:rPr>
                <w:rFonts w:asciiTheme="majorHAnsi" w:hAnsiTheme="majorHAnsi" w:cstheme="majorHAnsi"/>
                <w:sz w:val="16"/>
                <w:szCs w:val="16"/>
              </w:rPr>
            </w:pPr>
            <w:r w:rsidRPr="00A75888">
              <w:rPr>
                <w:rFonts w:asciiTheme="majorHAnsi" w:hAnsiTheme="majorHAnsi" w:cstheme="majorHAnsi"/>
                <w:sz w:val="16"/>
                <w:szCs w:val="16"/>
              </w:rPr>
              <w:t xml:space="preserve">               Conta Vinculada</w:t>
            </w:r>
          </w:p>
        </w:tc>
        <w:tc>
          <w:tcPr>
            <w:tcW w:w="1093" w:type="pct"/>
            <w:tcBorders>
              <w:top w:val="nil"/>
              <w:left w:val="nil"/>
              <w:bottom w:val="nil"/>
              <w:right w:val="nil"/>
            </w:tcBorders>
            <w:shd w:val="clear" w:color="auto" w:fill="auto"/>
            <w:noWrap/>
            <w:vAlign w:val="bottom"/>
            <w:hideMark/>
          </w:tcPr>
          <w:p w14:paraId="5D324656" w14:textId="77777777" w:rsidR="00311E05" w:rsidRPr="00A75888" w:rsidRDefault="00311E05" w:rsidP="00311E05">
            <w:pPr>
              <w:jc w:val="right"/>
              <w:rPr>
                <w:rFonts w:asciiTheme="majorHAnsi" w:hAnsiTheme="majorHAnsi" w:cstheme="majorHAnsi"/>
                <w:sz w:val="16"/>
                <w:szCs w:val="16"/>
              </w:rPr>
            </w:pPr>
            <w:r w:rsidRPr="00A75888">
              <w:rPr>
                <w:rFonts w:asciiTheme="majorHAnsi" w:hAnsiTheme="majorHAnsi" w:cstheme="majorHAnsi"/>
                <w:sz w:val="16"/>
                <w:szCs w:val="16"/>
              </w:rPr>
              <w:t xml:space="preserve">                       63.983.402 </w:t>
            </w:r>
          </w:p>
        </w:tc>
        <w:tc>
          <w:tcPr>
            <w:tcW w:w="936" w:type="pct"/>
            <w:tcBorders>
              <w:top w:val="nil"/>
              <w:left w:val="nil"/>
              <w:bottom w:val="nil"/>
              <w:right w:val="nil"/>
            </w:tcBorders>
            <w:shd w:val="clear" w:color="auto" w:fill="auto"/>
            <w:noWrap/>
            <w:vAlign w:val="bottom"/>
            <w:hideMark/>
          </w:tcPr>
          <w:p w14:paraId="6CC1417B" w14:textId="77777777" w:rsidR="00311E05" w:rsidRPr="00A75888" w:rsidRDefault="00311E05" w:rsidP="00311E05">
            <w:pPr>
              <w:jc w:val="right"/>
              <w:rPr>
                <w:rFonts w:asciiTheme="majorHAnsi" w:hAnsiTheme="majorHAnsi" w:cstheme="majorHAnsi"/>
                <w:sz w:val="16"/>
                <w:szCs w:val="16"/>
              </w:rPr>
            </w:pPr>
            <w:r w:rsidRPr="00A75888">
              <w:rPr>
                <w:rFonts w:asciiTheme="majorHAnsi" w:hAnsiTheme="majorHAnsi" w:cstheme="majorHAnsi"/>
                <w:sz w:val="16"/>
                <w:szCs w:val="16"/>
              </w:rPr>
              <w:t xml:space="preserve">                    56.732.574 </w:t>
            </w:r>
          </w:p>
        </w:tc>
        <w:tc>
          <w:tcPr>
            <w:tcW w:w="394" w:type="pct"/>
            <w:tcBorders>
              <w:top w:val="nil"/>
              <w:left w:val="nil"/>
              <w:bottom w:val="nil"/>
              <w:right w:val="nil"/>
            </w:tcBorders>
            <w:shd w:val="clear" w:color="auto" w:fill="auto"/>
            <w:noWrap/>
            <w:vAlign w:val="bottom"/>
            <w:hideMark/>
          </w:tcPr>
          <w:p w14:paraId="4CFA0FA2" w14:textId="4E14E7DF" w:rsidR="00311E05" w:rsidRPr="00A75888" w:rsidRDefault="00311E05" w:rsidP="00C20033">
            <w:pPr>
              <w:jc w:val="center"/>
              <w:rPr>
                <w:rFonts w:asciiTheme="majorHAnsi" w:hAnsiTheme="majorHAnsi" w:cstheme="majorHAnsi"/>
                <w:sz w:val="16"/>
                <w:szCs w:val="16"/>
              </w:rPr>
            </w:pPr>
            <w:r w:rsidRPr="00A75888">
              <w:rPr>
                <w:rFonts w:asciiTheme="majorHAnsi" w:hAnsiTheme="majorHAnsi" w:cstheme="majorHAnsi"/>
                <w:sz w:val="16"/>
                <w:szCs w:val="16"/>
              </w:rPr>
              <w:t>(3)</w:t>
            </w:r>
          </w:p>
        </w:tc>
      </w:tr>
      <w:tr w:rsidR="00311E05" w:rsidRPr="00A75888" w14:paraId="0E14CEE7" w14:textId="77777777" w:rsidTr="00311E05">
        <w:trPr>
          <w:trHeight w:hRule="exact" w:val="227"/>
        </w:trPr>
        <w:tc>
          <w:tcPr>
            <w:tcW w:w="2577" w:type="pct"/>
            <w:tcBorders>
              <w:top w:val="nil"/>
              <w:left w:val="nil"/>
              <w:bottom w:val="nil"/>
              <w:right w:val="nil"/>
            </w:tcBorders>
            <w:shd w:val="clear" w:color="auto" w:fill="auto"/>
            <w:noWrap/>
            <w:vAlign w:val="bottom"/>
            <w:hideMark/>
          </w:tcPr>
          <w:p w14:paraId="44C2BA56" w14:textId="77777777" w:rsidR="00311E05" w:rsidRPr="00A75888" w:rsidRDefault="00311E05" w:rsidP="00311E05">
            <w:pPr>
              <w:rPr>
                <w:rFonts w:asciiTheme="majorHAnsi" w:hAnsiTheme="majorHAnsi" w:cstheme="majorHAnsi"/>
                <w:b/>
                <w:bCs/>
                <w:sz w:val="16"/>
                <w:szCs w:val="16"/>
              </w:rPr>
            </w:pPr>
            <w:r w:rsidRPr="00A75888">
              <w:rPr>
                <w:rFonts w:asciiTheme="majorHAnsi" w:hAnsiTheme="majorHAnsi" w:cstheme="majorHAnsi"/>
                <w:b/>
                <w:bCs/>
                <w:sz w:val="16"/>
                <w:szCs w:val="16"/>
              </w:rPr>
              <w:t xml:space="preserve">     Direitos Realizáveis</w:t>
            </w:r>
          </w:p>
        </w:tc>
        <w:tc>
          <w:tcPr>
            <w:tcW w:w="1093" w:type="pct"/>
            <w:tcBorders>
              <w:top w:val="nil"/>
              <w:left w:val="nil"/>
              <w:bottom w:val="nil"/>
              <w:right w:val="nil"/>
            </w:tcBorders>
            <w:shd w:val="clear" w:color="auto" w:fill="auto"/>
            <w:noWrap/>
            <w:vAlign w:val="bottom"/>
            <w:hideMark/>
          </w:tcPr>
          <w:p w14:paraId="7D7354FF" w14:textId="77777777" w:rsidR="00311E05" w:rsidRPr="00A75888" w:rsidRDefault="00311E05" w:rsidP="00311E05">
            <w:pPr>
              <w:jc w:val="right"/>
              <w:rPr>
                <w:rFonts w:asciiTheme="majorHAnsi" w:hAnsiTheme="majorHAnsi" w:cstheme="majorHAnsi"/>
                <w:b/>
                <w:bCs/>
                <w:sz w:val="16"/>
                <w:szCs w:val="16"/>
              </w:rPr>
            </w:pPr>
            <w:r w:rsidRPr="00A75888">
              <w:rPr>
                <w:rFonts w:asciiTheme="majorHAnsi" w:hAnsiTheme="majorHAnsi" w:cstheme="majorHAnsi"/>
                <w:b/>
                <w:bCs/>
                <w:sz w:val="16"/>
                <w:szCs w:val="16"/>
              </w:rPr>
              <w:t xml:space="preserve">                       22.729.207 </w:t>
            </w:r>
          </w:p>
        </w:tc>
        <w:tc>
          <w:tcPr>
            <w:tcW w:w="936" w:type="pct"/>
            <w:tcBorders>
              <w:top w:val="nil"/>
              <w:left w:val="nil"/>
              <w:bottom w:val="nil"/>
              <w:right w:val="nil"/>
            </w:tcBorders>
            <w:shd w:val="clear" w:color="auto" w:fill="auto"/>
            <w:noWrap/>
            <w:vAlign w:val="bottom"/>
            <w:hideMark/>
          </w:tcPr>
          <w:p w14:paraId="4C90C015" w14:textId="77777777" w:rsidR="00311E05" w:rsidRPr="00A75888" w:rsidRDefault="00311E05" w:rsidP="00311E05">
            <w:pPr>
              <w:jc w:val="right"/>
              <w:rPr>
                <w:rFonts w:asciiTheme="majorHAnsi" w:hAnsiTheme="majorHAnsi" w:cstheme="majorHAnsi"/>
                <w:b/>
                <w:bCs/>
                <w:sz w:val="16"/>
                <w:szCs w:val="16"/>
              </w:rPr>
            </w:pPr>
            <w:r w:rsidRPr="00A75888">
              <w:rPr>
                <w:rFonts w:asciiTheme="majorHAnsi" w:hAnsiTheme="majorHAnsi" w:cstheme="majorHAnsi"/>
                <w:b/>
                <w:bCs/>
                <w:sz w:val="16"/>
                <w:szCs w:val="16"/>
              </w:rPr>
              <w:t xml:space="preserve">                    18.834.913 </w:t>
            </w:r>
          </w:p>
        </w:tc>
        <w:tc>
          <w:tcPr>
            <w:tcW w:w="394" w:type="pct"/>
            <w:tcBorders>
              <w:top w:val="nil"/>
              <w:left w:val="nil"/>
              <w:bottom w:val="nil"/>
              <w:right w:val="nil"/>
            </w:tcBorders>
            <w:shd w:val="clear" w:color="auto" w:fill="auto"/>
            <w:noWrap/>
            <w:vAlign w:val="center"/>
            <w:hideMark/>
          </w:tcPr>
          <w:p w14:paraId="6825D2CC" w14:textId="77777777" w:rsidR="00311E05" w:rsidRPr="00A75888" w:rsidRDefault="00311E05" w:rsidP="00C20033">
            <w:pPr>
              <w:jc w:val="center"/>
              <w:rPr>
                <w:rFonts w:asciiTheme="majorHAnsi" w:hAnsiTheme="majorHAnsi" w:cstheme="majorHAnsi"/>
                <w:b/>
                <w:bCs/>
                <w:sz w:val="16"/>
                <w:szCs w:val="16"/>
              </w:rPr>
            </w:pPr>
          </w:p>
        </w:tc>
      </w:tr>
      <w:tr w:rsidR="00311E05" w:rsidRPr="00A75888" w14:paraId="2755E2D1" w14:textId="77777777" w:rsidTr="00311E05">
        <w:trPr>
          <w:trHeight w:hRule="exact" w:val="227"/>
        </w:trPr>
        <w:tc>
          <w:tcPr>
            <w:tcW w:w="2577" w:type="pct"/>
            <w:tcBorders>
              <w:top w:val="nil"/>
              <w:left w:val="nil"/>
              <w:bottom w:val="nil"/>
              <w:right w:val="nil"/>
            </w:tcBorders>
            <w:shd w:val="clear" w:color="auto" w:fill="auto"/>
            <w:noWrap/>
            <w:vAlign w:val="bottom"/>
            <w:hideMark/>
          </w:tcPr>
          <w:p w14:paraId="4F5231E2" w14:textId="65230909" w:rsidR="00311E05" w:rsidRPr="00A75888" w:rsidRDefault="00311E05" w:rsidP="00311E05">
            <w:pPr>
              <w:rPr>
                <w:rFonts w:asciiTheme="majorHAnsi" w:hAnsiTheme="majorHAnsi" w:cstheme="majorHAnsi"/>
                <w:sz w:val="16"/>
                <w:szCs w:val="16"/>
              </w:rPr>
            </w:pPr>
            <w:r w:rsidRPr="00A75888">
              <w:rPr>
                <w:rFonts w:asciiTheme="majorHAnsi" w:hAnsiTheme="majorHAnsi" w:cstheme="majorHAnsi"/>
                <w:sz w:val="16"/>
                <w:szCs w:val="16"/>
              </w:rPr>
              <w:t xml:space="preserve">               Adiantamentos Concedidos</w:t>
            </w:r>
          </w:p>
        </w:tc>
        <w:tc>
          <w:tcPr>
            <w:tcW w:w="1093" w:type="pct"/>
            <w:tcBorders>
              <w:top w:val="nil"/>
              <w:left w:val="nil"/>
              <w:bottom w:val="nil"/>
              <w:right w:val="nil"/>
            </w:tcBorders>
            <w:shd w:val="clear" w:color="auto" w:fill="auto"/>
            <w:noWrap/>
            <w:vAlign w:val="bottom"/>
            <w:hideMark/>
          </w:tcPr>
          <w:p w14:paraId="1F508D43" w14:textId="77777777" w:rsidR="00311E05" w:rsidRPr="00A75888" w:rsidRDefault="00311E05" w:rsidP="00311E05">
            <w:pPr>
              <w:jc w:val="right"/>
              <w:rPr>
                <w:rFonts w:asciiTheme="majorHAnsi" w:hAnsiTheme="majorHAnsi" w:cstheme="majorHAnsi"/>
                <w:sz w:val="16"/>
                <w:szCs w:val="16"/>
              </w:rPr>
            </w:pPr>
            <w:r w:rsidRPr="00A75888">
              <w:rPr>
                <w:rFonts w:asciiTheme="majorHAnsi" w:hAnsiTheme="majorHAnsi" w:cstheme="majorHAnsi"/>
                <w:sz w:val="16"/>
                <w:szCs w:val="16"/>
              </w:rPr>
              <w:t xml:space="preserve">                         3.064.843 </w:t>
            </w:r>
          </w:p>
        </w:tc>
        <w:tc>
          <w:tcPr>
            <w:tcW w:w="936" w:type="pct"/>
            <w:tcBorders>
              <w:top w:val="nil"/>
              <w:left w:val="nil"/>
              <w:bottom w:val="nil"/>
              <w:right w:val="nil"/>
            </w:tcBorders>
            <w:shd w:val="clear" w:color="auto" w:fill="auto"/>
            <w:noWrap/>
            <w:vAlign w:val="bottom"/>
            <w:hideMark/>
          </w:tcPr>
          <w:p w14:paraId="7047F4DD" w14:textId="77777777" w:rsidR="00311E05" w:rsidRPr="00A75888" w:rsidRDefault="00311E05" w:rsidP="00311E05">
            <w:pPr>
              <w:jc w:val="right"/>
              <w:rPr>
                <w:rFonts w:asciiTheme="majorHAnsi" w:hAnsiTheme="majorHAnsi" w:cstheme="majorHAnsi"/>
                <w:sz w:val="16"/>
                <w:szCs w:val="16"/>
              </w:rPr>
            </w:pPr>
            <w:r w:rsidRPr="00A75888">
              <w:rPr>
                <w:rFonts w:asciiTheme="majorHAnsi" w:hAnsiTheme="majorHAnsi" w:cstheme="majorHAnsi"/>
                <w:sz w:val="16"/>
                <w:szCs w:val="16"/>
              </w:rPr>
              <w:t xml:space="preserve">                         742.722 </w:t>
            </w:r>
          </w:p>
        </w:tc>
        <w:tc>
          <w:tcPr>
            <w:tcW w:w="394" w:type="pct"/>
            <w:tcBorders>
              <w:top w:val="nil"/>
              <w:left w:val="nil"/>
              <w:bottom w:val="nil"/>
              <w:right w:val="nil"/>
            </w:tcBorders>
            <w:shd w:val="clear" w:color="auto" w:fill="auto"/>
            <w:noWrap/>
            <w:vAlign w:val="center"/>
            <w:hideMark/>
          </w:tcPr>
          <w:p w14:paraId="1389C4F7" w14:textId="1310407D" w:rsidR="00311E05" w:rsidRPr="00A75888" w:rsidRDefault="00311E05" w:rsidP="00C20033">
            <w:pPr>
              <w:jc w:val="center"/>
              <w:rPr>
                <w:rFonts w:asciiTheme="majorHAnsi" w:hAnsiTheme="majorHAnsi" w:cstheme="majorHAnsi"/>
                <w:sz w:val="16"/>
                <w:szCs w:val="16"/>
              </w:rPr>
            </w:pPr>
            <w:r w:rsidRPr="00A75888">
              <w:rPr>
                <w:rFonts w:asciiTheme="majorHAnsi" w:hAnsiTheme="majorHAnsi" w:cstheme="majorHAnsi"/>
                <w:sz w:val="16"/>
                <w:szCs w:val="16"/>
              </w:rPr>
              <w:t>(4a)</w:t>
            </w:r>
          </w:p>
        </w:tc>
      </w:tr>
      <w:tr w:rsidR="00311E05" w:rsidRPr="00A75888" w14:paraId="06EA5B8E" w14:textId="77777777" w:rsidTr="00311E05">
        <w:trPr>
          <w:trHeight w:hRule="exact" w:val="227"/>
        </w:trPr>
        <w:tc>
          <w:tcPr>
            <w:tcW w:w="2577" w:type="pct"/>
            <w:tcBorders>
              <w:top w:val="nil"/>
              <w:left w:val="nil"/>
              <w:bottom w:val="nil"/>
              <w:right w:val="nil"/>
            </w:tcBorders>
            <w:shd w:val="clear" w:color="auto" w:fill="auto"/>
            <w:noWrap/>
            <w:vAlign w:val="bottom"/>
            <w:hideMark/>
          </w:tcPr>
          <w:p w14:paraId="24EB306A" w14:textId="77777777" w:rsidR="00311E05" w:rsidRPr="00A75888" w:rsidRDefault="00311E05" w:rsidP="00311E05">
            <w:pPr>
              <w:rPr>
                <w:rFonts w:asciiTheme="majorHAnsi" w:hAnsiTheme="majorHAnsi" w:cstheme="majorHAnsi"/>
                <w:sz w:val="16"/>
                <w:szCs w:val="16"/>
              </w:rPr>
            </w:pPr>
            <w:r w:rsidRPr="00A75888">
              <w:rPr>
                <w:rFonts w:asciiTheme="majorHAnsi" w:hAnsiTheme="majorHAnsi" w:cstheme="majorHAnsi"/>
                <w:sz w:val="16"/>
                <w:szCs w:val="16"/>
              </w:rPr>
              <w:t xml:space="preserve">               Permissões p/uso de pátios a receber</w:t>
            </w:r>
          </w:p>
        </w:tc>
        <w:tc>
          <w:tcPr>
            <w:tcW w:w="1093" w:type="pct"/>
            <w:tcBorders>
              <w:top w:val="nil"/>
              <w:left w:val="nil"/>
              <w:bottom w:val="nil"/>
              <w:right w:val="nil"/>
            </w:tcBorders>
            <w:shd w:val="clear" w:color="auto" w:fill="auto"/>
            <w:noWrap/>
            <w:vAlign w:val="bottom"/>
            <w:hideMark/>
          </w:tcPr>
          <w:p w14:paraId="6DAD06BB" w14:textId="77777777" w:rsidR="00311E05" w:rsidRPr="00A75888" w:rsidRDefault="00311E05" w:rsidP="00311E05">
            <w:pPr>
              <w:jc w:val="right"/>
              <w:rPr>
                <w:rFonts w:asciiTheme="majorHAnsi" w:hAnsiTheme="majorHAnsi" w:cstheme="majorHAnsi"/>
                <w:sz w:val="16"/>
                <w:szCs w:val="16"/>
              </w:rPr>
            </w:pPr>
            <w:r w:rsidRPr="00A75888">
              <w:rPr>
                <w:rFonts w:asciiTheme="majorHAnsi" w:hAnsiTheme="majorHAnsi" w:cstheme="majorHAnsi"/>
                <w:sz w:val="16"/>
                <w:szCs w:val="16"/>
              </w:rPr>
              <w:t xml:space="preserve">                         2.872.702 </w:t>
            </w:r>
          </w:p>
        </w:tc>
        <w:tc>
          <w:tcPr>
            <w:tcW w:w="936" w:type="pct"/>
            <w:tcBorders>
              <w:top w:val="nil"/>
              <w:left w:val="nil"/>
              <w:bottom w:val="nil"/>
              <w:right w:val="nil"/>
            </w:tcBorders>
            <w:shd w:val="clear" w:color="auto" w:fill="auto"/>
            <w:noWrap/>
            <w:vAlign w:val="bottom"/>
            <w:hideMark/>
          </w:tcPr>
          <w:p w14:paraId="21E824ED" w14:textId="77777777" w:rsidR="00311E05" w:rsidRPr="00A75888" w:rsidRDefault="00311E05" w:rsidP="00311E05">
            <w:pPr>
              <w:jc w:val="right"/>
              <w:rPr>
                <w:rFonts w:asciiTheme="majorHAnsi" w:hAnsiTheme="majorHAnsi" w:cstheme="majorHAnsi"/>
                <w:sz w:val="16"/>
                <w:szCs w:val="16"/>
              </w:rPr>
            </w:pPr>
            <w:r w:rsidRPr="00A75888">
              <w:rPr>
                <w:rFonts w:asciiTheme="majorHAnsi" w:hAnsiTheme="majorHAnsi" w:cstheme="majorHAnsi"/>
                <w:sz w:val="16"/>
                <w:szCs w:val="16"/>
              </w:rPr>
              <w:t xml:space="preserve">                      2.144.892 </w:t>
            </w:r>
          </w:p>
        </w:tc>
        <w:tc>
          <w:tcPr>
            <w:tcW w:w="394" w:type="pct"/>
            <w:tcBorders>
              <w:top w:val="nil"/>
              <w:left w:val="nil"/>
              <w:bottom w:val="nil"/>
              <w:right w:val="nil"/>
            </w:tcBorders>
            <w:shd w:val="clear" w:color="auto" w:fill="auto"/>
            <w:noWrap/>
            <w:vAlign w:val="center"/>
            <w:hideMark/>
          </w:tcPr>
          <w:p w14:paraId="61DD6EA3" w14:textId="77777777" w:rsidR="00311E05" w:rsidRPr="00A75888" w:rsidRDefault="00311E05" w:rsidP="00C20033">
            <w:pPr>
              <w:jc w:val="center"/>
              <w:rPr>
                <w:rFonts w:asciiTheme="majorHAnsi" w:hAnsiTheme="majorHAnsi" w:cstheme="majorHAnsi"/>
                <w:sz w:val="16"/>
                <w:szCs w:val="16"/>
              </w:rPr>
            </w:pPr>
            <w:r w:rsidRPr="00A75888">
              <w:rPr>
                <w:rFonts w:asciiTheme="majorHAnsi" w:hAnsiTheme="majorHAnsi" w:cstheme="majorHAnsi"/>
                <w:sz w:val="16"/>
                <w:szCs w:val="16"/>
              </w:rPr>
              <w:t>(6a)</w:t>
            </w:r>
          </w:p>
        </w:tc>
      </w:tr>
      <w:tr w:rsidR="00311E05" w:rsidRPr="00A75888" w14:paraId="712521E2" w14:textId="77777777" w:rsidTr="00311E05">
        <w:trPr>
          <w:trHeight w:hRule="exact" w:val="227"/>
        </w:trPr>
        <w:tc>
          <w:tcPr>
            <w:tcW w:w="2577" w:type="pct"/>
            <w:tcBorders>
              <w:top w:val="nil"/>
              <w:left w:val="nil"/>
              <w:bottom w:val="nil"/>
              <w:right w:val="nil"/>
            </w:tcBorders>
            <w:shd w:val="clear" w:color="auto" w:fill="auto"/>
            <w:noWrap/>
            <w:vAlign w:val="bottom"/>
            <w:hideMark/>
          </w:tcPr>
          <w:p w14:paraId="67C6FF1F" w14:textId="77777777" w:rsidR="00311E05" w:rsidRPr="00A75888" w:rsidRDefault="00311E05" w:rsidP="00311E05">
            <w:pPr>
              <w:rPr>
                <w:rFonts w:asciiTheme="majorHAnsi" w:hAnsiTheme="majorHAnsi" w:cstheme="majorHAnsi"/>
                <w:sz w:val="16"/>
                <w:szCs w:val="16"/>
              </w:rPr>
            </w:pPr>
            <w:r w:rsidRPr="00A75888">
              <w:rPr>
                <w:rFonts w:asciiTheme="majorHAnsi" w:hAnsiTheme="majorHAnsi" w:cstheme="majorHAnsi"/>
                <w:sz w:val="16"/>
                <w:szCs w:val="16"/>
              </w:rPr>
              <w:t xml:space="preserve">               Créditos tributários e previdenciários a compensar</w:t>
            </w:r>
          </w:p>
        </w:tc>
        <w:tc>
          <w:tcPr>
            <w:tcW w:w="1093" w:type="pct"/>
            <w:tcBorders>
              <w:top w:val="nil"/>
              <w:left w:val="nil"/>
              <w:bottom w:val="nil"/>
              <w:right w:val="nil"/>
            </w:tcBorders>
            <w:shd w:val="clear" w:color="auto" w:fill="auto"/>
            <w:noWrap/>
            <w:vAlign w:val="bottom"/>
            <w:hideMark/>
          </w:tcPr>
          <w:p w14:paraId="58362C5D" w14:textId="77777777" w:rsidR="00311E05" w:rsidRPr="00A75888" w:rsidRDefault="00311E05" w:rsidP="00311E05">
            <w:pPr>
              <w:jc w:val="right"/>
              <w:rPr>
                <w:rFonts w:asciiTheme="majorHAnsi" w:hAnsiTheme="majorHAnsi" w:cstheme="majorHAnsi"/>
                <w:sz w:val="16"/>
                <w:szCs w:val="16"/>
              </w:rPr>
            </w:pPr>
            <w:r w:rsidRPr="00A75888">
              <w:rPr>
                <w:rFonts w:asciiTheme="majorHAnsi" w:hAnsiTheme="majorHAnsi" w:cstheme="majorHAnsi"/>
                <w:sz w:val="16"/>
                <w:szCs w:val="16"/>
              </w:rPr>
              <w:t xml:space="preserve">                         1.667.681 </w:t>
            </w:r>
          </w:p>
        </w:tc>
        <w:tc>
          <w:tcPr>
            <w:tcW w:w="936" w:type="pct"/>
            <w:tcBorders>
              <w:top w:val="nil"/>
              <w:left w:val="nil"/>
              <w:bottom w:val="nil"/>
              <w:right w:val="nil"/>
            </w:tcBorders>
            <w:shd w:val="clear" w:color="auto" w:fill="auto"/>
            <w:noWrap/>
            <w:vAlign w:val="bottom"/>
            <w:hideMark/>
          </w:tcPr>
          <w:p w14:paraId="3150DF67" w14:textId="77777777" w:rsidR="00311E05" w:rsidRPr="00A75888" w:rsidRDefault="00311E05" w:rsidP="00311E05">
            <w:pPr>
              <w:jc w:val="right"/>
              <w:rPr>
                <w:rFonts w:asciiTheme="majorHAnsi" w:hAnsiTheme="majorHAnsi" w:cstheme="majorHAnsi"/>
                <w:sz w:val="16"/>
                <w:szCs w:val="16"/>
              </w:rPr>
            </w:pPr>
            <w:r w:rsidRPr="00A75888">
              <w:rPr>
                <w:rFonts w:asciiTheme="majorHAnsi" w:hAnsiTheme="majorHAnsi" w:cstheme="majorHAnsi"/>
                <w:sz w:val="16"/>
                <w:szCs w:val="16"/>
              </w:rPr>
              <w:t xml:space="preserve">                      1.773.615 </w:t>
            </w:r>
          </w:p>
        </w:tc>
        <w:tc>
          <w:tcPr>
            <w:tcW w:w="394" w:type="pct"/>
            <w:tcBorders>
              <w:top w:val="nil"/>
              <w:left w:val="nil"/>
              <w:bottom w:val="nil"/>
              <w:right w:val="nil"/>
            </w:tcBorders>
            <w:shd w:val="clear" w:color="auto" w:fill="auto"/>
            <w:noWrap/>
            <w:vAlign w:val="center"/>
            <w:hideMark/>
          </w:tcPr>
          <w:p w14:paraId="06973050" w14:textId="77777777" w:rsidR="00311E05" w:rsidRPr="00A75888" w:rsidRDefault="00311E05" w:rsidP="00C20033">
            <w:pPr>
              <w:jc w:val="center"/>
              <w:rPr>
                <w:rFonts w:asciiTheme="majorHAnsi" w:hAnsiTheme="majorHAnsi" w:cstheme="majorHAnsi"/>
                <w:sz w:val="16"/>
                <w:szCs w:val="16"/>
              </w:rPr>
            </w:pPr>
            <w:r w:rsidRPr="00A75888">
              <w:rPr>
                <w:rFonts w:asciiTheme="majorHAnsi" w:hAnsiTheme="majorHAnsi" w:cstheme="majorHAnsi"/>
                <w:sz w:val="16"/>
                <w:szCs w:val="16"/>
              </w:rPr>
              <w:t>(4b)</w:t>
            </w:r>
          </w:p>
        </w:tc>
      </w:tr>
      <w:tr w:rsidR="00311E05" w:rsidRPr="00A75888" w14:paraId="1F9D2115" w14:textId="77777777" w:rsidTr="00311E05">
        <w:trPr>
          <w:trHeight w:hRule="exact" w:val="227"/>
        </w:trPr>
        <w:tc>
          <w:tcPr>
            <w:tcW w:w="2577" w:type="pct"/>
            <w:tcBorders>
              <w:top w:val="nil"/>
              <w:left w:val="nil"/>
              <w:bottom w:val="nil"/>
              <w:right w:val="nil"/>
            </w:tcBorders>
            <w:shd w:val="clear" w:color="auto" w:fill="auto"/>
            <w:noWrap/>
            <w:vAlign w:val="bottom"/>
            <w:hideMark/>
          </w:tcPr>
          <w:p w14:paraId="3891DD7A" w14:textId="77777777" w:rsidR="00311E05" w:rsidRPr="00A75888" w:rsidRDefault="00311E05" w:rsidP="00311E05">
            <w:pPr>
              <w:rPr>
                <w:rFonts w:asciiTheme="majorHAnsi" w:hAnsiTheme="majorHAnsi" w:cstheme="majorHAnsi"/>
                <w:sz w:val="16"/>
                <w:szCs w:val="16"/>
              </w:rPr>
            </w:pPr>
            <w:r w:rsidRPr="00A75888">
              <w:rPr>
                <w:rFonts w:asciiTheme="majorHAnsi" w:hAnsiTheme="majorHAnsi" w:cstheme="majorHAnsi"/>
                <w:sz w:val="16"/>
                <w:szCs w:val="16"/>
              </w:rPr>
              <w:t xml:space="preserve">               Outros Créditos a Receber</w:t>
            </w:r>
          </w:p>
        </w:tc>
        <w:tc>
          <w:tcPr>
            <w:tcW w:w="1093" w:type="pct"/>
            <w:tcBorders>
              <w:top w:val="nil"/>
              <w:left w:val="nil"/>
              <w:bottom w:val="nil"/>
              <w:right w:val="nil"/>
            </w:tcBorders>
            <w:shd w:val="clear" w:color="auto" w:fill="auto"/>
            <w:noWrap/>
            <w:vAlign w:val="bottom"/>
            <w:hideMark/>
          </w:tcPr>
          <w:p w14:paraId="4EEA6D42" w14:textId="77777777" w:rsidR="00311E05" w:rsidRPr="00A75888" w:rsidRDefault="00311E05" w:rsidP="00311E05">
            <w:pPr>
              <w:jc w:val="right"/>
              <w:rPr>
                <w:rFonts w:asciiTheme="majorHAnsi" w:hAnsiTheme="majorHAnsi" w:cstheme="majorHAnsi"/>
                <w:sz w:val="16"/>
                <w:szCs w:val="16"/>
              </w:rPr>
            </w:pPr>
            <w:r w:rsidRPr="00A75888">
              <w:rPr>
                <w:rFonts w:asciiTheme="majorHAnsi" w:hAnsiTheme="majorHAnsi" w:cstheme="majorHAnsi"/>
                <w:sz w:val="16"/>
                <w:szCs w:val="16"/>
              </w:rPr>
              <w:t xml:space="preserve">                       27.506.802 </w:t>
            </w:r>
          </w:p>
        </w:tc>
        <w:tc>
          <w:tcPr>
            <w:tcW w:w="936" w:type="pct"/>
            <w:tcBorders>
              <w:top w:val="nil"/>
              <w:left w:val="nil"/>
              <w:bottom w:val="nil"/>
              <w:right w:val="nil"/>
            </w:tcBorders>
            <w:shd w:val="clear" w:color="auto" w:fill="auto"/>
            <w:noWrap/>
            <w:vAlign w:val="bottom"/>
            <w:hideMark/>
          </w:tcPr>
          <w:p w14:paraId="126E51F3" w14:textId="77777777" w:rsidR="00311E05" w:rsidRPr="00A75888" w:rsidRDefault="00311E05" w:rsidP="00311E05">
            <w:pPr>
              <w:jc w:val="right"/>
              <w:rPr>
                <w:rFonts w:asciiTheme="majorHAnsi" w:hAnsiTheme="majorHAnsi" w:cstheme="majorHAnsi"/>
                <w:sz w:val="16"/>
                <w:szCs w:val="16"/>
              </w:rPr>
            </w:pPr>
            <w:r w:rsidRPr="00A75888">
              <w:rPr>
                <w:rFonts w:asciiTheme="majorHAnsi" w:hAnsiTheme="majorHAnsi" w:cstheme="majorHAnsi"/>
                <w:sz w:val="16"/>
                <w:szCs w:val="16"/>
              </w:rPr>
              <w:t xml:space="preserve">                    26.556.505 </w:t>
            </w:r>
          </w:p>
        </w:tc>
        <w:tc>
          <w:tcPr>
            <w:tcW w:w="394" w:type="pct"/>
            <w:tcBorders>
              <w:top w:val="nil"/>
              <w:left w:val="nil"/>
              <w:bottom w:val="nil"/>
              <w:right w:val="nil"/>
            </w:tcBorders>
            <w:shd w:val="clear" w:color="auto" w:fill="auto"/>
            <w:noWrap/>
            <w:vAlign w:val="center"/>
            <w:hideMark/>
          </w:tcPr>
          <w:p w14:paraId="2D4A8A01" w14:textId="77777777" w:rsidR="00311E05" w:rsidRPr="00A75888" w:rsidRDefault="00311E05" w:rsidP="00C20033">
            <w:pPr>
              <w:jc w:val="center"/>
              <w:rPr>
                <w:rFonts w:asciiTheme="majorHAnsi" w:hAnsiTheme="majorHAnsi" w:cstheme="majorHAnsi"/>
                <w:sz w:val="16"/>
                <w:szCs w:val="16"/>
              </w:rPr>
            </w:pPr>
            <w:r w:rsidRPr="00A75888">
              <w:rPr>
                <w:rFonts w:asciiTheme="majorHAnsi" w:hAnsiTheme="majorHAnsi" w:cstheme="majorHAnsi"/>
                <w:sz w:val="16"/>
                <w:szCs w:val="16"/>
              </w:rPr>
              <w:t>(4c)</w:t>
            </w:r>
          </w:p>
        </w:tc>
      </w:tr>
      <w:tr w:rsidR="00311E05" w:rsidRPr="00A75888" w14:paraId="3C4CE38D" w14:textId="77777777" w:rsidTr="00311E05">
        <w:trPr>
          <w:trHeight w:hRule="exact" w:val="227"/>
        </w:trPr>
        <w:tc>
          <w:tcPr>
            <w:tcW w:w="2577" w:type="pct"/>
            <w:tcBorders>
              <w:top w:val="nil"/>
              <w:left w:val="nil"/>
              <w:bottom w:val="nil"/>
              <w:right w:val="nil"/>
            </w:tcBorders>
            <w:shd w:val="clear" w:color="auto" w:fill="auto"/>
            <w:noWrap/>
            <w:vAlign w:val="bottom"/>
            <w:hideMark/>
          </w:tcPr>
          <w:p w14:paraId="6A0AD880" w14:textId="77777777" w:rsidR="00311E05" w:rsidRPr="00A75888" w:rsidRDefault="00311E05" w:rsidP="00311E05">
            <w:pPr>
              <w:rPr>
                <w:rFonts w:asciiTheme="majorHAnsi" w:hAnsiTheme="majorHAnsi" w:cstheme="majorHAnsi"/>
                <w:sz w:val="16"/>
                <w:szCs w:val="16"/>
              </w:rPr>
            </w:pPr>
            <w:r w:rsidRPr="00A75888">
              <w:rPr>
                <w:rFonts w:asciiTheme="majorHAnsi" w:hAnsiTheme="majorHAnsi" w:cstheme="majorHAnsi"/>
                <w:sz w:val="16"/>
                <w:szCs w:val="16"/>
              </w:rPr>
              <w:t xml:space="preserve">               Ajuste p/ Perda Demais Créditos</w:t>
            </w:r>
          </w:p>
        </w:tc>
        <w:tc>
          <w:tcPr>
            <w:tcW w:w="1093" w:type="pct"/>
            <w:tcBorders>
              <w:top w:val="nil"/>
              <w:left w:val="nil"/>
              <w:bottom w:val="nil"/>
              <w:right w:val="nil"/>
            </w:tcBorders>
            <w:shd w:val="clear" w:color="auto" w:fill="auto"/>
            <w:noWrap/>
            <w:vAlign w:val="bottom"/>
            <w:hideMark/>
          </w:tcPr>
          <w:p w14:paraId="3D209758" w14:textId="77777777" w:rsidR="00311E05" w:rsidRPr="00A75888" w:rsidRDefault="00311E05" w:rsidP="00311E05">
            <w:pPr>
              <w:jc w:val="right"/>
              <w:rPr>
                <w:rFonts w:asciiTheme="majorHAnsi" w:hAnsiTheme="majorHAnsi" w:cstheme="majorHAnsi"/>
                <w:sz w:val="16"/>
                <w:szCs w:val="16"/>
              </w:rPr>
            </w:pPr>
            <w:r w:rsidRPr="00A75888">
              <w:rPr>
                <w:rFonts w:asciiTheme="majorHAnsi" w:hAnsiTheme="majorHAnsi" w:cstheme="majorHAnsi"/>
                <w:sz w:val="16"/>
                <w:szCs w:val="16"/>
              </w:rPr>
              <w:t xml:space="preserve">                     (12.382.821)</w:t>
            </w:r>
          </w:p>
        </w:tc>
        <w:tc>
          <w:tcPr>
            <w:tcW w:w="936" w:type="pct"/>
            <w:tcBorders>
              <w:top w:val="nil"/>
              <w:left w:val="nil"/>
              <w:bottom w:val="nil"/>
              <w:right w:val="nil"/>
            </w:tcBorders>
            <w:shd w:val="clear" w:color="auto" w:fill="auto"/>
            <w:noWrap/>
            <w:vAlign w:val="bottom"/>
            <w:hideMark/>
          </w:tcPr>
          <w:p w14:paraId="265AD393" w14:textId="77777777" w:rsidR="00311E05" w:rsidRPr="00A75888" w:rsidRDefault="00311E05" w:rsidP="00311E05">
            <w:pPr>
              <w:jc w:val="right"/>
              <w:rPr>
                <w:rFonts w:asciiTheme="majorHAnsi" w:hAnsiTheme="majorHAnsi" w:cstheme="majorHAnsi"/>
                <w:sz w:val="16"/>
                <w:szCs w:val="16"/>
              </w:rPr>
            </w:pPr>
            <w:r w:rsidRPr="00A75888">
              <w:rPr>
                <w:rFonts w:asciiTheme="majorHAnsi" w:hAnsiTheme="majorHAnsi" w:cstheme="majorHAnsi"/>
                <w:sz w:val="16"/>
                <w:szCs w:val="16"/>
              </w:rPr>
              <w:t xml:space="preserve">                  (12.382.821)</w:t>
            </w:r>
          </w:p>
        </w:tc>
        <w:tc>
          <w:tcPr>
            <w:tcW w:w="394" w:type="pct"/>
            <w:tcBorders>
              <w:top w:val="nil"/>
              <w:left w:val="nil"/>
              <w:bottom w:val="nil"/>
              <w:right w:val="nil"/>
            </w:tcBorders>
            <w:shd w:val="clear" w:color="auto" w:fill="auto"/>
            <w:noWrap/>
            <w:vAlign w:val="center"/>
            <w:hideMark/>
          </w:tcPr>
          <w:p w14:paraId="0573889F" w14:textId="77777777" w:rsidR="00311E05" w:rsidRPr="00A75888" w:rsidRDefault="00311E05" w:rsidP="00C20033">
            <w:pPr>
              <w:jc w:val="center"/>
              <w:rPr>
                <w:rFonts w:asciiTheme="majorHAnsi" w:hAnsiTheme="majorHAnsi" w:cstheme="majorHAnsi"/>
                <w:sz w:val="16"/>
                <w:szCs w:val="16"/>
              </w:rPr>
            </w:pPr>
            <w:r w:rsidRPr="00A75888">
              <w:rPr>
                <w:rFonts w:asciiTheme="majorHAnsi" w:hAnsiTheme="majorHAnsi" w:cstheme="majorHAnsi"/>
                <w:sz w:val="16"/>
                <w:szCs w:val="16"/>
              </w:rPr>
              <w:t>(4c)</w:t>
            </w:r>
          </w:p>
        </w:tc>
      </w:tr>
      <w:tr w:rsidR="00311E05" w:rsidRPr="00A75888" w14:paraId="18B4C0D6" w14:textId="77777777" w:rsidTr="00311E05">
        <w:trPr>
          <w:trHeight w:hRule="exact" w:val="227"/>
        </w:trPr>
        <w:tc>
          <w:tcPr>
            <w:tcW w:w="2577" w:type="pct"/>
            <w:tcBorders>
              <w:top w:val="nil"/>
              <w:left w:val="nil"/>
              <w:bottom w:val="nil"/>
              <w:right w:val="nil"/>
            </w:tcBorders>
            <w:shd w:val="clear" w:color="auto" w:fill="auto"/>
            <w:noWrap/>
            <w:vAlign w:val="bottom"/>
            <w:hideMark/>
          </w:tcPr>
          <w:p w14:paraId="6CC25D01" w14:textId="77777777" w:rsidR="00311E05" w:rsidRPr="00A75888" w:rsidRDefault="00311E05" w:rsidP="00311E05">
            <w:pPr>
              <w:jc w:val="right"/>
              <w:rPr>
                <w:rFonts w:asciiTheme="majorHAnsi" w:hAnsiTheme="majorHAnsi" w:cstheme="majorHAnsi"/>
                <w:sz w:val="16"/>
                <w:szCs w:val="16"/>
              </w:rPr>
            </w:pPr>
          </w:p>
        </w:tc>
        <w:tc>
          <w:tcPr>
            <w:tcW w:w="1093" w:type="pct"/>
            <w:tcBorders>
              <w:top w:val="nil"/>
              <w:left w:val="nil"/>
              <w:bottom w:val="nil"/>
              <w:right w:val="nil"/>
            </w:tcBorders>
            <w:shd w:val="clear" w:color="auto" w:fill="auto"/>
            <w:noWrap/>
            <w:vAlign w:val="bottom"/>
            <w:hideMark/>
          </w:tcPr>
          <w:p w14:paraId="7776E5D2" w14:textId="77777777" w:rsidR="00311E05" w:rsidRPr="00A75888" w:rsidRDefault="00311E05" w:rsidP="00311E05">
            <w:pPr>
              <w:jc w:val="right"/>
              <w:rPr>
                <w:rFonts w:asciiTheme="majorHAnsi" w:hAnsiTheme="majorHAnsi" w:cstheme="majorHAnsi"/>
                <w:sz w:val="16"/>
                <w:szCs w:val="16"/>
              </w:rPr>
            </w:pPr>
          </w:p>
        </w:tc>
        <w:tc>
          <w:tcPr>
            <w:tcW w:w="936" w:type="pct"/>
            <w:tcBorders>
              <w:top w:val="nil"/>
              <w:left w:val="nil"/>
              <w:bottom w:val="nil"/>
              <w:right w:val="nil"/>
            </w:tcBorders>
            <w:shd w:val="clear" w:color="auto" w:fill="auto"/>
            <w:noWrap/>
            <w:vAlign w:val="bottom"/>
            <w:hideMark/>
          </w:tcPr>
          <w:p w14:paraId="275BB03D" w14:textId="77777777" w:rsidR="00311E05" w:rsidRPr="00A75888" w:rsidRDefault="00311E05" w:rsidP="00311E05">
            <w:pPr>
              <w:jc w:val="right"/>
              <w:rPr>
                <w:rFonts w:asciiTheme="majorHAnsi" w:hAnsiTheme="majorHAnsi" w:cstheme="majorHAnsi"/>
                <w:sz w:val="16"/>
                <w:szCs w:val="16"/>
              </w:rPr>
            </w:pPr>
          </w:p>
        </w:tc>
        <w:tc>
          <w:tcPr>
            <w:tcW w:w="394" w:type="pct"/>
            <w:tcBorders>
              <w:top w:val="nil"/>
              <w:left w:val="nil"/>
              <w:bottom w:val="nil"/>
              <w:right w:val="nil"/>
            </w:tcBorders>
            <w:shd w:val="clear" w:color="auto" w:fill="auto"/>
            <w:noWrap/>
            <w:vAlign w:val="center"/>
            <w:hideMark/>
          </w:tcPr>
          <w:p w14:paraId="0384CCE3" w14:textId="77777777" w:rsidR="00311E05" w:rsidRPr="00A75888" w:rsidRDefault="00311E05" w:rsidP="00C20033">
            <w:pPr>
              <w:jc w:val="center"/>
              <w:rPr>
                <w:rFonts w:asciiTheme="majorHAnsi" w:hAnsiTheme="majorHAnsi" w:cstheme="majorHAnsi"/>
                <w:sz w:val="16"/>
                <w:szCs w:val="16"/>
              </w:rPr>
            </w:pPr>
          </w:p>
        </w:tc>
      </w:tr>
      <w:tr w:rsidR="00311E05" w:rsidRPr="00A75888" w14:paraId="295A81FA" w14:textId="77777777" w:rsidTr="00311E05">
        <w:trPr>
          <w:trHeight w:hRule="exact" w:val="227"/>
        </w:trPr>
        <w:tc>
          <w:tcPr>
            <w:tcW w:w="2577" w:type="pct"/>
            <w:tcBorders>
              <w:top w:val="nil"/>
              <w:left w:val="nil"/>
              <w:bottom w:val="nil"/>
              <w:right w:val="nil"/>
            </w:tcBorders>
            <w:shd w:val="clear" w:color="auto" w:fill="auto"/>
            <w:noWrap/>
            <w:vAlign w:val="bottom"/>
            <w:hideMark/>
          </w:tcPr>
          <w:p w14:paraId="69569733" w14:textId="77777777" w:rsidR="00311E05" w:rsidRPr="00A75888" w:rsidRDefault="00311E05" w:rsidP="00311E05">
            <w:pPr>
              <w:rPr>
                <w:rFonts w:asciiTheme="majorHAnsi" w:hAnsiTheme="majorHAnsi" w:cstheme="majorHAnsi"/>
                <w:b/>
                <w:bCs/>
                <w:sz w:val="16"/>
                <w:szCs w:val="16"/>
              </w:rPr>
            </w:pPr>
            <w:r w:rsidRPr="00A75888">
              <w:rPr>
                <w:rFonts w:asciiTheme="majorHAnsi" w:hAnsiTheme="majorHAnsi" w:cstheme="majorHAnsi"/>
                <w:b/>
                <w:bCs/>
                <w:sz w:val="16"/>
                <w:szCs w:val="16"/>
              </w:rPr>
              <w:t>ATIVO NÃO CIRCULANTE</w:t>
            </w:r>
          </w:p>
        </w:tc>
        <w:tc>
          <w:tcPr>
            <w:tcW w:w="1093" w:type="pct"/>
            <w:tcBorders>
              <w:top w:val="nil"/>
              <w:left w:val="nil"/>
              <w:bottom w:val="nil"/>
              <w:right w:val="nil"/>
            </w:tcBorders>
            <w:shd w:val="clear" w:color="auto" w:fill="auto"/>
            <w:noWrap/>
            <w:vAlign w:val="bottom"/>
            <w:hideMark/>
          </w:tcPr>
          <w:p w14:paraId="39F367FA" w14:textId="77777777" w:rsidR="00311E05" w:rsidRPr="00A75888" w:rsidRDefault="00311E05" w:rsidP="00311E05">
            <w:pPr>
              <w:jc w:val="right"/>
              <w:rPr>
                <w:rFonts w:asciiTheme="majorHAnsi" w:hAnsiTheme="majorHAnsi" w:cstheme="majorHAnsi"/>
                <w:b/>
                <w:bCs/>
                <w:sz w:val="16"/>
                <w:szCs w:val="16"/>
              </w:rPr>
            </w:pPr>
            <w:r w:rsidRPr="00A75888">
              <w:rPr>
                <w:rFonts w:asciiTheme="majorHAnsi" w:hAnsiTheme="majorHAnsi" w:cstheme="majorHAnsi"/>
                <w:b/>
                <w:bCs/>
                <w:sz w:val="16"/>
                <w:szCs w:val="16"/>
              </w:rPr>
              <w:t xml:space="preserve">                 4.635.253.043 </w:t>
            </w:r>
          </w:p>
        </w:tc>
        <w:tc>
          <w:tcPr>
            <w:tcW w:w="936" w:type="pct"/>
            <w:tcBorders>
              <w:top w:val="nil"/>
              <w:left w:val="nil"/>
              <w:bottom w:val="nil"/>
              <w:right w:val="nil"/>
            </w:tcBorders>
            <w:shd w:val="clear" w:color="auto" w:fill="auto"/>
            <w:noWrap/>
            <w:vAlign w:val="bottom"/>
            <w:hideMark/>
          </w:tcPr>
          <w:p w14:paraId="49E8C39A" w14:textId="77777777" w:rsidR="00311E05" w:rsidRPr="00A75888" w:rsidRDefault="00311E05" w:rsidP="00311E05">
            <w:pPr>
              <w:jc w:val="right"/>
              <w:rPr>
                <w:rFonts w:asciiTheme="majorHAnsi" w:hAnsiTheme="majorHAnsi" w:cstheme="majorHAnsi"/>
                <w:b/>
                <w:bCs/>
                <w:sz w:val="16"/>
                <w:szCs w:val="16"/>
              </w:rPr>
            </w:pPr>
            <w:r w:rsidRPr="00A75888">
              <w:rPr>
                <w:rFonts w:asciiTheme="majorHAnsi" w:hAnsiTheme="majorHAnsi" w:cstheme="majorHAnsi"/>
                <w:b/>
                <w:bCs/>
                <w:sz w:val="16"/>
                <w:szCs w:val="16"/>
              </w:rPr>
              <w:t xml:space="preserve">              4.340.781.082 </w:t>
            </w:r>
          </w:p>
        </w:tc>
        <w:tc>
          <w:tcPr>
            <w:tcW w:w="394" w:type="pct"/>
            <w:tcBorders>
              <w:top w:val="nil"/>
              <w:left w:val="nil"/>
              <w:bottom w:val="nil"/>
              <w:right w:val="nil"/>
            </w:tcBorders>
            <w:shd w:val="clear" w:color="auto" w:fill="auto"/>
            <w:noWrap/>
            <w:vAlign w:val="center"/>
            <w:hideMark/>
          </w:tcPr>
          <w:p w14:paraId="01A4C65D" w14:textId="77777777" w:rsidR="00311E05" w:rsidRPr="00A75888" w:rsidRDefault="00311E05" w:rsidP="00C20033">
            <w:pPr>
              <w:jc w:val="center"/>
              <w:rPr>
                <w:rFonts w:asciiTheme="majorHAnsi" w:hAnsiTheme="majorHAnsi" w:cstheme="majorHAnsi"/>
                <w:b/>
                <w:bCs/>
                <w:sz w:val="16"/>
                <w:szCs w:val="16"/>
              </w:rPr>
            </w:pPr>
          </w:p>
        </w:tc>
      </w:tr>
      <w:tr w:rsidR="00311E05" w:rsidRPr="00A75888" w14:paraId="0F130550" w14:textId="77777777" w:rsidTr="00311E05">
        <w:trPr>
          <w:trHeight w:hRule="exact" w:val="227"/>
        </w:trPr>
        <w:tc>
          <w:tcPr>
            <w:tcW w:w="2577" w:type="pct"/>
            <w:tcBorders>
              <w:top w:val="nil"/>
              <w:left w:val="nil"/>
              <w:bottom w:val="nil"/>
              <w:right w:val="nil"/>
            </w:tcBorders>
            <w:shd w:val="clear" w:color="auto" w:fill="auto"/>
            <w:noWrap/>
            <w:vAlign w:val="bottom"/>
            <w:hideMark/>
          </w:tcPr>
          <w:p w14:paraId="438BE05E" w14:textId="77777777" w:rsidR="00311E05" w:rsidRPr="00A75888" w:rsidRDefault="00311E05" w:rsidP="00311E05">
            <w:pPr>
              <w:rPr>
                <w:rFonts w:asciiTheme="majorHAnsi" w:hAnsiTheme="majorHAnsi" w:cstheme="majorHAnsi"/>
                <w:b/>
                <w:bCs/>
                <w:sz w:val="16"/>
                <w:szCs w:val="16"/>
              </w:rPr>
            </w:pPr>
            <w:r w:rsidRPr="00A75888">
              <w:rPr>
                <w:rFonts w:asciiTheme="majorHAnsi" w:hAnsiTheme="majorHAnsi" w:cstheme="majorHAnsi"/>
                <w:b/>
                <w:bCs/>
                <w:sz w:val="16"/>
                <w:szCs w:val="16"/>
              </w:rPr>
              <w:t xml:space="preserve">      Realizável a Longo Prazo</w:t>
            </w:r>
          </w:p>
        </w:tc>
        <w:tc>
          <w:tcPr>
            <w:tcW w:w="1093" w:type="pct"/>
            <w:tcBorders>
              <w:top w:val="nil"/>
              <w:left w:val="nil"/>
              <w:bottom w:val="nil"/>
              <w:right w:val="nil"/>
            </w:tcBorders>
            <w:shd w:val="clear" w:color="auto" w:fill="auto"/>
            <w:noWrap/>
            <w:vAlign w:val="bottom"/>
            <w:hideMark/>
          </w:tcPr>
          <w:p w14:paraId="682B3EE7" w14:textId="77777777" w:rsidR="00311E05" w:rsidRPr="00A75888" w:rsidRDefault="00311E05" w:rsidP="00311E05">
            <w:pPr>
              <w:jc w:val="right"/>
              <w:rPr>
                <w:rFonts w:asciiTheme="majorHAnsi" w:hAnsiTheme="majorHAnsi" w:cstheme="majorHAnsi"/>
                <w:b/>
                <w:bCs/>
                <w:sz w:val="16"/>
                <w:szCs w:val="16"/>
              </w:rPr>
            </w:pPr>
            <w:r w:rsidRPr="00A75888">
              <w:rPr>
                <w:rFonts w:asciiTheme="majorHAnsi" w:hAnsiTheme="majorHAnsi" w:cstheme="majorHAnsi"/>
                <w:b/>
                <w:bCs/>
                <w:sz w:val="16"/>
                <w:szCs w:val="16"/>
              </w:rPr>
              <w:t xml:space="preserve">                     140.922.084 </w:t>
            </w:r>
          </w:p>
        </w:tc>
        <w:tc>
          <w:tcPr>
            <w:tcW w:w="936" w:type="pct"/>
            <w:tcBorders>
              <w:top w:val="nil"/>
              <w:left w:val="nil"/>
              <w:bottom w:val="nil"/>
              <w:right w:val="nil"/>
            </w:tcBorders>
            <w:shd w:val="clear" w:color="auto" w:fill="auto"/>
            <w:noWrap/>
            <w:vAlign w:val="bottom"/>
            <w:hideMark/>
          </w:tcPr>
          <w:p w14:paraId="5E190C11" w14:textId="77777777" w:rsidR="00311E05" w:rsidRPr="00A75888" w:rsidRDefault="00311E05" w:rsidP="00311E05">
            <w:pPr>
              <w:jc w:val="right"/>
              <w:rPr>
                <w:rFonts w:asciiTheme="majorHAnsi" w:hAnsiTheme="majorHAnsi" w:cstheme="majorHAnsi"/>
                <w:b/>
                <w:bCs/>
                <w:sz w:val="16"/>
                <w:szCs w:val="16"/>
              </w:rPr>
            </w:pPr>
            <w:r w:rsidRPr="00A75888">
              <w:rPr>
                <w:rFonts w:asciiTheme="majorHAnsi" w:hAnsiTheme="majorHAnsi" w:cstheme="majorHAnsi"/>
                <w:b/>
                <w:bCs/>
                <w:sz w:val="16"/>
                <w:szCs w:val="16"/>
              </w:rPr>
              <w:t xml:space="preserve">                 131.118.510 </w:t>
            </w:r>
          </w:p>
        </w:tc>
        <w:tc>
          <w:tcPr>
            <w:tcW w:w="394" w:type="pct"/>
            <w:tcBorders>
              <w:top w:val="nil"/>
              <w:left w:val="nil"/>
              <w:bottom w:val="nil"/>
              <w:right w:val="nil"/>
            </w:tcBorders>
            <w:shd w:val="clear" w:color="auto" w:fill="auto"/>
            <w:noWrap/>
            <w:vAlign w:val="center"/>
            <w:hideMark/>
          </w:tcPr>
          <w:p w14:paraId="01F0D474" w14:textId="77777777" w:rsidR="00311E05" w:rsidRPr="00A75888" w:rsidRDefault="00311E05" w:rsidP="00C20033">
            <w:pPr>
              <w:jc w:val="center"/>
              <w:rPr>
                <w:rFonts w:asciiTheme="majorHAnsi" w:hAnsiTheme="majorHAnsi" w:cstheme="majorHAnsi"/>
                <w:b/>
                <w:bCs/>
                <w:sz w:val="16"/>
                <w:szCs w:val="16"/>
              </w:rPr>
            </w:pPr>
          </w:p>
        </w:tc>
      </w:tr>
      <w:tr w:rsidR="00311E05" w:rsidRPr="00A75888" w14:paraId="30820EE2" w14:textId="77777777" w:rsidTr="00311E05">
        <w:trPr>
          <w:trHeight w:hRule="exact" w:val="227"/>
        </w:trPr>
        <w:tc>
          <w:tcPr>
            <w:tcW w:w="2577" w:type="pct"/>
            <w:tcBorders>
              <w:top w:val="nil"/>
              <w:left w:val="nil"/>
              <w:bottom w:val="nil"/>
              <w:right w:val="nil"/>
            </w:tcBorders>
            <w:shd w:val="clear" w:color="auto" w:fill="auto"/>
            <w:noWrap/>
            <w:vAlign w:val="bottom"/>
            <w:hideMark/>
          </w:tcPr>
          <w:p w14:paraId="67BF971E" w14:textId="77777777" w:rsidR="00311E05" w:rsidRPr="00A75888" w:rsidRDefault="00311E05" w:rsidP="00311E05">
            <w:pPr>
              <w:rPr>
                <w:rFonts w:asciiTheme="majorHAnsi" w:hAnsiTheme="majorHAnsi" w:cstheme="majorHAnsi"/>
                <w:sz w:val="16"/>
                <w:szCs w:val="16"/>
              </w:rPr>
            </w:pPr>
            <w:r w:rsidRPr="00A75888">
              <w:rPr>
                <w:rFonts w:asciiTheme="majorHAnsi" w:hAnsiTheme="majorHAnsi" w:cstheme="majorHAnsi"/>
                <w:sz w:val="16"/>
                <w:szCs w:val="16"/>
              </w:rPr>
              <w:t xml:space="preserve">               Depósitos de Cauções</w:t>
            </w:r>
          </w:p>
        </w:tc>
        <w:tc>
          <w:tcPr>
            <w:tcW w:w="1093" w:type="pct"/>
            <w:tcBorders>
              <w:top w:val="nil"/>
              <w:left w:val="nil"/>
              <w:bottom w:val="nil"/>
              <w:right w:val="nil"/>
            </w:tcBorders>
            <w:shd w:val="clear" w:color="auto" w:fill="auto"/>
            <w:noWrap/>
            <w:vAlign w:val="bottom"/>
            <w:hideMark/>
          </w:tcPr>
          <w:p w14:paraId="3C154E90" w14:textId="77777777" w:rsidR="00311E05" w:rsidRPr="00A75888" w:rsidRDefault="00311E05" w:rsidP="00311E05">
            <w:pPr>
              <w:jc w:val="right"/>
              <w:rPr>
                <w:rFonts w:asciiTheme="majorHAnsi" w:hAnsiTheme="majorHAnsi" w:cstheme="majorHAnsi"/>
                <w:sz w:val="16"/>
                <w:szCs w:val="16"/>
              </w:rPr>
            </w:pPr>
            <w:r w:rsidRPr="00A75888">
              <w:rPr>
                <w:rFonts w:asciiTheme="majorHAnsi" w:hAnsiTheme="majorHAnsi" w:cstheme="majorHAnsi"/>
                <w:sz w:val="16"/>
                <w:szCs w:val="16"/>
              </w:rPr>
              <w:t xml:space="preserve">                            429.203 </w:t>
            </w:r>
          </w:p>
        </w:tc>
        <w:tc>
          <w:tcPr>
            <w:tcW w:w="936" w:type="pct"/>
            <w:tcBorders>
              <w:top w:val="nil"/>
              <w:left w:val="nil"/>
              <w:bottom w:val="nil"/>
              <w:right w:val="nil"/>
            </w:tcBorders>
            <w:shd w:val="clear" w:color="auto" w:fill="auto"/>
            <w:noWrap/>
            <w:vAlign w:val="bottom"/>
            <w:hideMark/>
          </w:tcPr>
          <w:p w14:paraId="1873BD09" w14:textId="77777777" w:rsidR="00311E05" w:rsidRPr="00A75888" w:rsidRDefault="00311E05" w:rsidP="00311E05">
            <w:pPr>
              <w:jc w:val="right"/>
              <w:rPr>
                <w:rFonts w:asciiTheme="majorHAnsi" w:hAnsiTheme="majorHAnsi" w:cstheme="majorHAnsi"/>
                <w:sz w:val="16"/>
                <w:szCs w:val="16"/>
              </w:rPr>
            </w:pPr>
            <w:r w:rsidRPr="00A75888">
              <w:rPr>
                <w:rFonts w:asciiTheme="majorHAnsi" w:hAnsiTheme="majorHAnsi" w:cstheme="majorHAnsi"/>
                <w:sz w:val="16"/>
                <w:szCs w:val="16"/>
              </w:rPr>
              <w:t xml:space="preserve">                         257.472 </w:t>
            </w:r>
          </w:p>
        </w:tc>
        <w:tc>
          <w:tcPr>
            <w:tcW w:w="394" w:type="pct"/>
            <w:tcBorders>
              <w:top w:val="nil"/>
              <w:left w:val="nil"/>
              <w:bottom w:val="nil"/>
              <w:right w:val="nil"/>
            </w:tcBorders>
            <w:shd w:val="clear" w:color="auto" w:fill="auto"/>
            <w:noWrap/>
            <w:vAlign w:val="center"/>
            <w:hideMark/>
          </w:tcPr>
          <w:p w14:paraId="2B27CA21" w14:textId="77777777" w:rsidR="00311E05" w:rsidRPr="00A75888" w:rsidRDefault="00311E05" w:rsidP="00C20033">
            <w:pPr>
              <w:jc w:val="center"/>
              <w:rPr>
                <w:rFonts w:asciiTheme="majorHAnsi" w:hAnsiTheme="majorHAnsi" w:cstheme="majorHAnsi"/>
                <w:sz w:val="16"/>
                <w:szCs w:val="16"/>
              </w:rPr>
            </w:pPr>
            <w:r w:rsidRPr="00A75888">
              <w:rPr>
                <w:rFonts w:asciiTheme="majorHAnsi" w:hAnsiTheme="majorHAnsi" w:cstheme="majorHAnsi"/>
                <w:sz w:val="16"/>
                <w:szCs w:val="16"/>
              </w:rPr>
              <w:t>(5a)</w:t>
            </w:r>
          </w:p>
        </w:tc>
      </w:tr>
      <w:tr w:rsidR="00311E05" w:rsidRPr="00A75888" w14:paraId="0CA901C9" w14:textId="77777777" w:rsidTr="00311E05">
        <w:trPr>
          <w:trHeight w:hRule="exact" w:val="227"/>
        </w:trPr>
        <w:tc>
          <w:tcPr>
            <w:tcW w:w="2577" w:type="pct"/>
            <w:tcBorders>
              <w:top w:val="nil"/>
              <w:left w:val="nil"/>
              <w:bottom w:val="nil"/>
              <w:right w:val="nil"/>
            </w:tcBorders>
            <w:shd w:val="clear" w:color="auto" w:fill="auto"/>
            <w:noWrap/>
            <w:vAlign w:val="bottom"/>
            <w:hideMark/>
          </w:tcPr>
          <w:p w14:paraId="0881C51A" w14:textId="77777777" w:rsidR="00311E05" w:rsidRPr="00A75888" w:rsidRDefault="00311E05" w:rsidP="00311E05">
            <w:pPr>
              <w:rPr>
                <w:rFonts w:asciiTheme="majorHAnsi" w:hAnsiTheme="majorHAnsi" w:cstheme="majorHAnsi"/>
                <w:sz w:val="16"/>
                <w:szCs w:val="16"/>
              </w:rPr>
            </w:pPr>
            <w:r w:rsidRPr="00A75888">
              <w:rPr>
                <w:rFonts w:asciiTheme="majorHAnsi" w:hAnsiTheme="majorHAnsi" w:cstheme="majorHAnsi"/>
                <w:sz w:val="16"/>
                <w:szCs w:val="16"/>
              </w:rPr>
              <w:t xml:space="preserve">               Depósitos Judiciais</w:t>
            </w:r>
          </w:p>
        </w:tc>
        <w:tc>
          <w:tcPr>
            <w:tcW w:w="1093" w:type="pct"/>
            <w:tcBorders>
              <w:top w:val="nil"/>
              <w:left w:val="nil"/>
              <w:bottom w:val="nil"/>
              <w:right w:val="nil"/>
            </w:tcBorders>
            <w:shd w:val="clear" w:color="auto" w:fill="auto"/>
            <w:noWrap/>
            <w:vAlign w:val="bottom"/>
            <w:hideMark/>
          </w:tcPr>
          <w:p w14:paraId="7573377B" w14:textId="77777777" w:rsidR="00311E05" w:rsidRPr="00A75888" w:rsidRDefault="00311E05" w:rsidP="00311E05">
            <w:pPr>
              <w:jc w:val="right"/>
              <w:rPr>
                <w:rFonts w:asciiTheme="majorHAnsi" w:hAnsiTheme="majorHAnsi" w:cstheme="majorHAnsi"/>
                <w:sz w:val="16"/>
                <w:szCs w:val="16"/>
              </w:rPr>
            </w:pPr>
            <w:r w:rsidRPr="00A75888">
              <w:rPr>
                <w:rFonts w:asciiTheme="majorHAnsi" w:hAnsiTheme="majorHAnsi" w:cstheme="majorHAnsi"/>
                <w:sz w:val="16"/>
                <w:szCs w:val="16"/>
              </w:rPr>
              <w:t xml:space="preserve">                       88.848.858 </w:t>
            </w:r>
          </w:p>
        </w:tc>
        <w:tc>
          <w:tcPr>
            <w:tcW w:w="936" w:type="pct"/>
            <w:tcBorders>
              <w:top w:val="nil"/>
              <w:left w:val="nil"/>
              <w:bottom w:val="nil"/>
              <w:right w:val="nil"/>
            </w:tcBorders>
            <w:shd w:val="clear" w:color="auto" w:fill="auto"/>
            <w:noWrap/>
            <w:vAlign w:val="bottom"/>
            <w:hideMark/>
          </w:tcPr>
          <w:p w14:paraId="60245CFF" w14:textId="77777777" w:rsidR="00311E05" w:rsidRPr="00A75888" w:rsidRDefault="00311E05" w:rsidP="00311E05">
            <w:pPr>
              <w:jc w:val="right"/>
              <w:rPr>
                <w:rFonts w:asciiTheme="majorHAnsi" w:hAnsiTheme="majorHAnsi" w:cstheme="majorHAnsi"/>
                <w:sz w:val="16"/>
                <w:szCs w:val="16"/>
              </w:rPr>
            </w:pPr>
            <w:r w:rsidRPr="00A75888">
              <w:rPr>
                <w:rFonts w:asciiTheme="majorHAnsi" w:hAnsiTheme="majorHAnsi" w:cstheme="majorHAnsi"/>
                <w:sz w:val="16"/>
                <w:szCs w:val="16"/>
              </w:rPr>
              <w:t xml:space="preserve">                    89.713.629 </w:t>
            </w:r>
          </w:p>
        </w:tc>
        <w:tc>
          <w:tcPr>
            <w:tcW w:w="394" w:type="pct"/>
            <w:tcBorders>
              <w:top w:val="nil"/>
              <w:left w:val="nil"/>
              <w:bottom w:val="nil"/>
              <w:right w:val="nil"/>
            </w:tcBorders>
            <w:shd w:val="clear" w:color="auto" w:fill="auto"/>
            <w:noWrap/>
            <w:vAlign w:val="center"/>
            <w:hideMark/>
          </w:tcPr>
          <w:p w14:paraId="6E109174" w14:textId="77777777" w:rsidR="00311E05" w:rsidRPr="00A75888" w:rsidRDefault="00311E05" w:rsidP="00C20033">
            <w:pPr>
              <w:jc w:val="center"/>
              <w:rPr>
                <w:rFonts w:asciiTheme="majorHAnsi" w:hAnsiTheme="majorHAnsi" w:cstheme="majorHAnsi"/>
                <w:sz w:val="16"/>
                <w:szCs w:val="16"/>
              </w:rPr>
            </w:pPr>
            <w:r w:rsidRPr="00A75888">
              <w:rPr>
                <w:rFonts w:asciiTheme="majorHAnsi" w:hAnsiTheme="majorHAnsi" w:cstheme="majorHAnsi"/>
                <w:sz w:val="16"/>
                <w:szCs w:val="16"/>
              </w:rPr>
              <w:t>(5b)</w:t>
            </w:r>
          </w:p>
        </w:tc>
      </w:tr>
      <w:tr w:rsidR="00311E05" w:rsidRPr="00A75888" w14:paraId="5FE82A25" w14:textId="77777777" w:rsidTr="00311E05">
        <w:trPr>
          <w:trHeight w:hRule="exact" w:val="227"/>
        </w:trPr>
        <w:tc>
          <w:tcPr>
            <w:tcW w:w="2577" w:type="pct"/>
            <w:tcBorders>
              <w:top w:val="nil"/>
              <w:left w:val="nil"/>
              <w:bottom w:val="nil"/>
              <w:right w:val="nil"/>
            </w:tcBorders>
            <w:shd w:val="clear" w:color="auto" w:fill="auto"/>
            <w:noWrap/>
            <w:vAlign w:val="bottom"/>
            <w:hideMark/>
          </w:tcPr>
          <w:p w14:paraId="4AB62C33" w14:textId="77777777" w:rsidR="00311E05" w:rsidRPr="00A75888" w:rsidRDefault="00311E05" w:rsidP="00311E05">
            <w:pPr>
              <w:rPr>
                <w:rFonts w:asciiTheme="majorHAnsi" w:hAnsiTheme="majorHAnsi" w:cstheme="majorHAnsi"/>
                <w:sz w:val="16"/>
                <w:szCs w:val="16"/>
              </w:rPr>
            </w:pPr>
            <w:r w:rsidRPr="00A75888">
              <w:rPr>
                <w:rFonts w:asciiTheme="majorHAnsi" w:hAnsiTheme="majorHAnsi" w:cstheme="majorHAnsi"/>
                <w:sz w:val="16"/>
                <w:szCs w:val="16"/>
              </w:rPr>
              <w:t xml:space="preserve">               Permissões p/uso de pátios a receber</w:t>
            </w:r>
          </w:p>
        </w:tc>
        <w:tc>
          <w:tcPr>
            <w:tcW w:w="1093" w:type="pct"/>
            <w:tcBorders>
              <w:top w:val="nil"/>
              <w:left w:val="nil"/>
              <w:bottom w:val="nil"/>
              <w:right w:val="nil"/>
            </w:tcBorders>
            <w:shd w:val="clear" w:color="auto" w:fill="auto"/>
            <w:noWrap/>
            <w:vAlign w:val="bottom"/>
            <w:hideMark/>
          </w:tcPr>
          <w:p w14:paraId="49CA7280" w14:textId="77777777" w:rsidR="00311E05" w:rsidRPr="00A75888" w:rsidRDefault="00311E05" w:rsidP="00311E05">
            <w:pPr>
              <w:jc w:val="right"/>
              <w:rPr>
                <w:rFonts w:asciiTheme="majorHAnsi" w:hAnsiTheme="majorHAnsi" w:cstheme="majorHAnsi"/>
                <w:sz w:val="16"/>
                <w:szCs w:val="16"/>
              </w:rPr>
            </w:pPr>
            <w:r w:rsidRPr="00A75888">
              <w:rPr>
                <w:rFonts w:asciiTheme="majorHAnsi" w:hAnsiTheme="majorHAnsi" w:cstheme="majorHAnsi"/>
                <w:sz w:val="16"/>
                <w:szCs w:val="16"/>
              </w:rPr>
              <w:t xml:space="preserve">                       51.613.627 </w:t>
            </w:r>
          </w:p>
        </w:tc>
        <w:tc>
          <w:tcPr>
            <w:tcW w:w="936" w:type="pct"/>
            <w:tcBorders>
              <w:top w:val="nil"/>
              <w:left w:val="nil"/>
              <w:bottom w:val="nil"/>
              <w:right w:val="nil"/>
            </w:tcBorders>
            <w:shd w:val="clear" w:color="auto" w:fill="auto"/>
            <w:noWrap/>
            <w:vAlign w:val="bottom"/>
            <w:hideMark/>
          </w:tcPr>
          <w:p w14:paraId="76976766" w14:textId="77777777" w:rsidR="00311E05" w:rsidRPr="00A75888" w:rsidRDefault="00311E05" w:rsidP="00311E05">
            <w:pPr>
              <w:jc w:val="right"/>
              <w:rPr>
                <w:rFonts w:asciiTheme="majorHAnsi" w:hAnsiTheme="majorHAnsi" w:cstheme="majorHAnsi"/>
                <w:sz w:val="16"/>
                <w:szCs w:val="16"/>
              </w:rPr>
            </w:pPr>
            <w:r w:rsidRPr="00A75888">
              <w:rPr>
                <w:rFonts w:asciiTheme="majorHAnsi" w:hAnsiTheme="majorHAnsi" w:cstheme="majorHAnsi"/>
                <w:sz w:val="16"/>
                <w:szCs w:val="16"/>
              </w:rPr>
              <w:t xml:space="preserve">                    41.112.262 </w:t>
            </w:r>
          </w:p>
        </w:tc>
        <w:tc>
          <w:tcPr>
            <w:tcW w:w="394" w:type="pct"/>
            <w:tcBorders>
              <w:top w:val="nil"/>
              <w:left w:val="nil"/>
              <w:bottom w:val="nil"/>
              <w:right w:val="nil"/>
            </w:tcBorders>
            <w:shd w:val="clear" w:color="auto" w:fill="auto"/>
            <w:noWrap/>
            <w:vAlign w:val="center"/>
            <w:hideMark/>
          </w:tcPr>
          <w:p w14:paraId="29669829" w14:textId="77777777" w:rsidR="00311E05" w:rsidRPr="00A75888" w:rsidRDefault="00311E05" w:rsidP="00C20033">
            <w:pPr>
              <w:jc w:val="center"/>
              <w:rPr>
                <w:rFonts w:asciiTheme="majorHAnsi" w:hAnsiTheme="majorHAnsi" w:cstheme="majorHAnsi"/>
                <w:sz w:val="16"/>
                <w:szCs w:val="16"/>
              </w:rPr>
            </w:pPr>
            <w:r w:rsidRPr="00A75888">
              <w:rPr>
                <w:rFonts w:asciiTheme="majorHAnsi" w:hAnsiTheme="majorHAnsi" w:cstheme="majorHAnsi"/>
                <w:sz w:val="16"/>
                <w:szCs w:val="16"/>
              </w:rPr>
              <w:t>(6b)</w:t>
            </w:r>
          </w:p>
        </w:tc>
      </w:tr>
      <w:tr w:rsidR="00311E05" w:rsidRPr="00A75888" w14:paraId="1C34C8C6" w14:textId="77777777" w:rsidTr="00311E05">
        <w:trPr>
          <w:trHeight w:hRule="exact" w:val="227"/>
        </w:trPr>
        <w:tc>
          <w:tcPr>
            <w:tcW w:w="2577" w:type="pct"/>
            <w:tcBorders>
              <w:top w:val="nil"/>
              <w:left w:val="nil"/>
              <w:bottom w:val="nil"/>
              <w:right w:val="nil"/>
            </w:tcBorders>
            <w:shd w:val="clear" w:color="auto" w:fill="auto"/>
            <w:noWrap/>
            <w:vAlign w:val="bottom"/>
            <w:hideMark/>
          </w:tcPr>
          <w:p w14:paraId="68A5B1B1" w14:textId="0C1E9483" w:rsidR="00311E05" w:rsidRPr="00A75888" w:rsidRDefault="00311E05" w:rsidP="00311E05">
            <w:pPr>
              <w:rPr>
                <w:rFonts w:asciiTheme="majorHAnsi" w:hAnsiTheme="majorHAnsi" w:cstheme="majorHAnsi"/>
                <w:sz w:val="16"/>
                <w:szCs w:val="16"/>
              </w:rPr>
            </w:pPr>
            <w:r w:rsidRPr="00A75888">
              <w:rPr>
                <w:rFonts w:asciiTheme="majorHAnsi" w:hAnsiTheme="majorHAnsi" w:cstheme="majorHAnsi"/>
                <w:sz w:val="16"/>
                <w:szCs w:val="16"/>
              </w:rPr>
              <w:t xml:space="preserve">               Valores a Receber (Assist. Médica- Geipot)</w:t>
            </w:r>
          </w:p>
        </w:tc>
        <w:tc>
          <w:tcPr>
            <w:tcW w:w="1093" w:type="pct"/>
            <w:tcBorders>
              <w:top w:val="nil"/>
              <w:left w:val="nil"/>
              <w:bottom w:val="nil"/>
              <w:right w:val="nil"/>
            </w:tcBorders>
            <w:shd w:val="clear" w:color="auto" w:fill="auto"/>
            <w:noWrap/>
            <w:vAlign w:val="bottom"/>
            <w:hideMark/>
          </w:tcPr>
          <w:p w14:paraId="379ED4DA" w14:textId="77777777" w:rsidR="00311E05" w:rsidRPr="00A75888" w:rsidRDefault="00311E05" w:rsidP="00311E05">
            <w:pPr>
              <w:jc w:val="right"/>
              <w:rPr>
                <w:rFonts w:asciiTheme="majorHAnsi" w:hAnsiTheme="majorHAnsi" w:cstheme="majorHAnsi"/>
                <w:sz w:val="16"/>
                <w:szCs w:val="16"/>
              </w:rPr>
            </w:pPr>
            <w:r w:rsidRPr="00A75888">
              <w:rPr>
                <w:rFonts w:asciiTheme="majorHAnsi" w:hAnsiTheme="majorHAnsi" w:cstheme="majorHAnsi"/>
                <w:sz w:val="16"/>
                <w:szCs w:val="16"/>
              </w:rPr>
              <w:t xml:space="preserve">                               30.396 </w:t>
            </w:r>
          </w:p>
        </w:tc>
        <w:tc>
          <w:tcPr>
            <w:tcW w:w="936" w:type="pct"/>
            <w:tcBorders>
              <w:top w:val="nil"/>
              <w:left w:val="nil"/>
              <w:bottom w:val="nil"/>
              <w:right w:val="nil"/>
            </w:tcBorders>
            <w:shd w:val="clear" w:color="auto" w:fill="auto"/>
            <w:noWrap/>
            <w:vAlign w:val="bottom"/>
            <w:hideMark/>
          </w:tcPr>
          <w:p w14:paraId="63588B35" w14:textId="77777777" w:rsidR="00311E05" w:rsidRPr="00A75888" w:rsidRDefault="00311E05" w:rsidP="00311E05">
            <w:pPr>
              <w:jc w:val="right"/>
              <w:rPr>
                <w:rFonts w:asciiTheme="majorHAnsi" w:hAnsiTheme="majorHAnsi" w:cstheme="majorHAnsi"/>
                <w:sz w:val="16"/>
                <w:szCs w:val="16"/>
              </w:rPr>
            </w:pPr>
            <w:r w:rsidRPr="00A75888">
              <w:rPr>
                <w:rFonts w:asciiTheme="majorHAnsi" w:hAnsiTheme="majorHAnsi" w:cstheme="majorHAnsi"/>
                <w:sz w:val="16"/>
                <w:szCs w:val="16"/>
              </w:rPr>
              <w:t xml:space="preserve">                           35.147 </w:t>
            </w:r>
          </w:p>
        </w:tc>
        <w:tc>
          <w:tcPr>
            <w:tcW w:w="394" w:type="pct"/>
            <w:tcBorders>
              <w:top w:val="nil"/>
              <w:left w:val="nil"/>
              <w:bottom w:val="nil"/>
              <w:right w:val="nil"/>
            </w:tcBorders>
            <w:shd w:val="clear" w:color="auto" w:fill="auto"/>
            <w:noWrap/>
            <w:vAlign w:val="center"/>
            <w:hideMark/>
          </w:tcPr>
          <w:p w14:paraId="56E14C31" w14:textId="77777777" w:rsidR="00311E05" w:rsidRPr="00A75888" w:rsidRDefault="00311E05" w:rsidP="00C20033">
            <w:pPr>
              <w:jc w:val="center"/>
              <w:rPr>
                <w:rFonts w:asciiTheme="majorHAnsi" w:hAnsiTheme="majorHAnsi" w:cstheme="majorHAnsi"/>
                <w:sz w:val="16"/>
                <w:szCs w:val="16"/>
              </w:rPr>
            </w:pPr>
            <w:r w:rsidRPr="00A75888">
              <w:rPr>
                <w:rFonts w:asciiTheme="majorHAnsi" w:hAnsiTheme="majorHAnsi" w:cstheme="majorHAnsi"/>
                <w:sz w:val="16"/>
                <w:szCs w:val="16"/>
              </w:rPr>
              <w:t>(5c)</w:t>
            </w:r>
          </w:p>
        </w:tc>
      </w:tr>
      <w:tr w:rsidR="00311E05" w:rsidRPr="00A75888" w14:paraId="7FA13B83" w14:textId="77777777" w:rsidTr="00311E05">
        <w:trPr>
          <w:trHeight w:hRule="exact" w:val="227"/>
        </w:trPr>
        <w:tc>
          <w:tcPr>
            <w:tcW w:w="2577" w:type="pct"/>
            <w:tcBorders>
              <w:top w:val="nil"/>
              <w:left w:val="nil"/>
              <w:bottom w:val="nil"/>
              <w:right w:val="nil"/>
            </w:tcBorders>
            <w:shd w:val="clear" w:color="auto" w:fill="auto"/>
            <w:noWrap/>
            <w:vAlign w:val="bottom"/>
            <w:hideMark/>
          </w:tcPr>
          <w:p w14:paraId="1A0552F7" w14:textId="77777777" w:rsidR="00311E05" w:rsidRPr="00A75888" w:rsidRDefault="00311E05" w:rsidP="00311E05">
            <w:pPr>
              <w:rPr>
                <w:rFonts w:asciiTheme="majorHAnsi" w:hAnsiTheme="majorHAnsi" w:cstheme="majorHAnsi"/>
                <w:b/>
                <w:bCs/>
                <w:sz w:val="16"/>
                <w:szCs w:val="16"/>
              </w:rPr>
            </w:pPr>
            <w:r w:rsidRPr="00A75888">
              <w:rPr>
                <w:rFonts w:asciiTheme="majorHAnsi" w:hAnsiTheme="majorHAnsi" w:cstheme="majorHAnsi"/>
                <w:b/>
                <w:bCs/>
                <w:sz w:val="16"/>
                <w:szCs w:val="16"/>
              </w:rPr>
              <w:t xml:space="preserve">      Investimentos</w:t>
            </w:r>
          </w:p>
        </w:tc>
        <w:tc>
          <w:tcPr>
            <w:tcW w:w="1093" w:type="pct"/>
            <w:tcBorders>
              <w:top w:val="nil"/>
              <w:left w:val="nil"/>
              <w:bottom w:val="nil"/>
              <w:right w:val="nil"/>
            </w:tcBorders>
            <w:shd w:val="clear" w:color="auto" w:fill="auto"/>
            <w:noWrap/>
            <w:vAlign w:val="bottom"/>
            <w:hideMark/>
          </w:tcPr>
          <w:p w14:paraId="594C93A3" w14:textId="77777777" w:rsidR="00311E05" w:rsidRPr="00A75888" w:rsidRDefault="00311E05" w:rsidP="00311E05">
            <w:pPr>
              <w:jc w:val="right"/>
              <w:rPr>
                <w:rFonts w:asciiTheme="majorHAnsi" w:hAnsiTheme="majorHAnsi" w:cstheme="majorHAnsi"/>
                <w:b/>
                <w:bCs/>
                <w:sz w:val="16"/>
                <w:szCs w:val="16"/>
              </w:rPr>
            </w:pPr>
            <w:r w:rsidRPr="00A75888">
              <w:rPr>
                <w:rFonts w:asciiTheme="majorHAnsi" w:hAnsiTheme="majorHAnsi" w:cstheme="majorHAnsi"/>
                <w:b/>
                <w:bCs/>
                <w:sz w:val="16"/>
                <w:szCs w:val="16"/>
              </w:rPr>
              <w:t xml:space="preserve">                     908.720.053 </w:t>
            </w:r>
          </w:p>
        </w:tc>
        <w:tc>
          <w:tcPr>
            <w:tcW w:w="936" w:type="pct"/>
            <w:tcBorders>
              <w:top w:val="nil"/>
              <w:left w:val="nil"/>
              <w:bottom w:val="nil"/>
              <w:right w:val="nil"/>
            </w:tcBorders>
            <w:shd w:val="clear" w:color="auto" w:fill="auto"/>
            <w:noWrap/>
            <w:vAlign w:val="bottom"/>
            <w:hideMark/>
          </w:tcPr>
          <w:p w14:paraId="69C8C01C" w14:textId="77777777" w:rsidR="00311E05" w:rsidRPr="00A75888" w:rsidRDefault="00311E05" w:rsidP="00311E05">
            <w:pPr>
              <w:jc w:val="right"/>
              <w:rPr>
                <w:rFonts w:asciiTheme="majorHAnsi" w:hAnsiTheme="majorHAnsi" w:cstheme="majorHAnsi"/>
                <w:b/>
                <w:bCs/>
                <w:sz w:val="16"/>
                <w:szCs w:val="16"/>
              </w:rPr>
            </w:pPr>
            <w:r w:rsidRPr="00A75888">
              <w:rPr>
                <w:rFonts w:asciiTheme="majorHAnsi" w:hAnsiTheme="majorHAnsi" w:cstheme="majorHAnsi"/>
                <w:b/>
                <w:bCs/>
                <w:sz w:val="16"/>
                <w:szCs w:val="16"/>
              </w:rPr>
              <w:t xml:space="preserve">                 921.851.397 </w:t>
            </w:r>
          </w:p>
        </w:tc>
        <w:tc>
          <w:tcPr>
            <w:tcW w:w="394" w:type="pct"/>
            <w:tcBorders>
              <w:top w:val="nil"/>
              <w:left w:val="nil"/>
              <w:bottom w:val="nil"/>
              <w:right w:val="nil"/>
            </w:tcBorders>
            <w:shd w:val="clear" w:color="auto" w:fill="auto"/>
            <w:noWrap/>
            <w:vAlign w:val="bottom"/>
            <w:hideMark/>
          </w:tcPr>
          <w:p w14:paraId="557EE197" w14:textId="7186B327" w:rsidR="00311E05" w:rsidRPr="00A75888" w:rsidRDefault="00311E05" w:rsidP="00C20033">
            <w:pPr>
              <w:jc w:val="center"/>
              <w:rPr>
                <w:rFonts w:asciiTheme="majorHAnsi" w:hAnsiTheme="majorHAnsi" w:cstheme="majorHAnsi"/>
                <w:sz w:val="16"/>
                <w:szCs w:val="16"/>
              </w:rPr>
            </w:pPr>
            <w:r w:rsidRPr="00A75888">
              <w:rPr>
                <w:rFonts w:asciiTheme="majorHAnsi" w:hAnsiTheme="majorHAnsi" w:cstheme="majorHAnsi"/>
                <w:sz w:val="16"/>
                <w:szCs w:val="16"/>
              </w:rPr>
              <w:t>(7)</w:t>
            </w:r>
          </w:p>
        </w:tc>
      </w:tr>
      <w:tr w:rsidR="00311E05" w:rsidRPr="00A75888" w14:paraId="672AE139" w14:textId="77777777" w:rsidTr="00311E05">
        <w:trPr>
          <w:trHeight w:hRule="exact" w:val="227"/>
        </w:trPr>
        <w:tc>
          <w:tcPr>
            <w:tcW w:w="2577" w:type="pct"/>
            <w:tcBorders>
              <w:top w:val="nil"/>
              <w:left w:val="nil"/>
              <w:bottom w:val="nil"/>
              <w:right w:val="nil"/>
            </w:tcBorders>
            <w:shd w:val="clear" w:color="auto" w:fill="auto"/>
            <w:noWrap/>
            <w:vAlign w:val="bottom"/>
            <w:hideMark/>
          </w:tcPr>
          <w:p w14:paraId="677512BD" w14:textId="77777777" w:rsidR="00311E05" w:rsidRPr="00A75888" w:rsidRDefault="00311E05" w:rsidP="00311E05">
            <w:pPr>
              <w:rPr>
                <w:rFonts w:asciiTheme="majorHAnsi" w:hAnsiTheme="majorHAnsi" w:cstheme="majorHAnsi"/>
                <w:sz w:val="16"/>
                <w:szCs w:val="16"/>
              </w:rPr>
            </w:pPr>
            <w:r w:rsidRPr="00A75888">
              <w:rPr>
                <w:rFonts w:asciiTheme="majorHAnsi" w:hAnsiTheme="majorHAnsi" w:cstheme="majorHAnsi"/>
                <w:sz w:val="16"/>
                <w:szCs w:val="16"/>
              </w:rPr>
              <w:t xml:space="preserve">               Participação Societária - MEP</w:t>
            </w:r>
          </w:p>
        </w:tc>
        <w:tc>
          <w:tcPr>
            <w:tcW w:w="1093" w:type="pct"/>
            <w:tcBorders>
              <w:top w:val="nil"/>
              <w:left w:val="nil"/>
              <w:bottom w:val="nil"/>
              <w:right w:val="nil"/>
            </w:tcBorders>
            <w:shd w:val="clear" w:color="auto" w:fill="auto"/>
            <w:noWrap/>
            <w:vAlign w:val="bottom"/>
            <w:hideMark/>
          </w:tcPr>
          <w:p w14:paraId="115CCA22" w14:textId="77777777" w:rsidR="00311E05" w:rsidRPr="00A75888" w:rsidRDefault="00311E05" w:rsidP="00311E05">
            <w:pPr>
              <w:jc w:val="right"/>
              <w:rPr>
                <w:rFonts w:asciiTheme="majorHAnsi" w:hAnsiTheme="majorHAnsi" w:cstheme="majorHAnsi"/>
                <w:sz w:val="16"/>
                <w:szCs w:val="16"/>
              </w:rPr>
            </w:pPr>
            <w:r w:rsidRPr="00A75888">
              <w:rPr>
                <w:rFonts w:asciiTheme="majorHAnsi" w:hAnsiTheme="majorHAnsi" w:cstheme="majorHAnsi"/>
                <w:sz w:val="16"/>
                <w:szCs w:val="16"/>
              </w:rPr>
              <w:t xml:space="preserve">                     908.693.775 </w:t>
            </w:r>
          </w:p>
        </w:tc>
        <w:tc>
          <w:tcPr>
            <w:tcW w:w="936" w:type="pct"/>
            <w:tcBorders>
              <w:top w:val="nil"/>
              <w:left w:val="nil"/>
              <w:bottom w:val="nil"/>
              <w:right w:val="nil"/>
            </w:tcBorders>
            <w:shd w:val="clear" w:color="auto" w:fill="auto"/>
            <w:noWrap/>
            <w:vAlign w:val="bottom"/>
            <w:hideMark/>
          </w:tcPr>
          <w:p w14:paraId="2FC33C4A" w14:textId="77777777" w:rsidR="00311E05" w:rsidRPr="00A75888" w:rsidRDefault="00311E05" w:rsidP="00311E05">
            <w:pPr>
              <w:jc w:val="right"/>
              <w:rPr>
                <w:rFonts w:asciiTheme="majorHAnsi" w:hAnsiTheme="majorHAnsi" w:cstheme="majorHAnsi"/>
                <w:sz w:val="16"/>
                <w:szCs w:val="16"/>
              </w:rPr>
            </w:pPr>
            <w:r w:rsidRPr="00A75888">
              <w:rPr>
                <w:rFonts w:asciiTheme="majorHAnsi" w:hAnsiTheme="majorHAnsi" w:cstheme="majorHAnsi"/>
                <w:sz w:val="16"/>
                <w:szCs w:val="16"/>
              </w:rPr>
              <w:t xml:space="preserve">                 921.825.119 </w:t>
            </w:r>
          </w:p>
        </w:tc>
        <w:tc>
          <w:tcPr>
            <w:tcW w:w="394" w:type="pct"/>
            <w:tcBorders>
              <w:top w:val="nil"/>
              <w:left w:val="nil"/>
              <w:bottom w:val="nil"/>
              <w:right w:val="nil"/>
            </w:tcBorders>
            <w:shd w:val="clear" w:color="auto" w:fill="auto"/>
            <w:noWrap/>
            <w:vAlign w:val="center"/>
            <w:hideMark/>
          </w:tcPr>
          <w:p w14:paraId="6FECB6BA" w14:textId="77777777" w:rsidR="00311E05" w:rsidRPr="00A75888" w:rsidRDefault="00311E05" w:rsidP="00C20033">
            <w:pPr>
              <w:jc w:val="center"/>
              <w:rPr>
                <w:rFonts w:asciiTheme="majorHAnsi" w:hAnsiTheme="majorHAnsi" w:cstheme="majorHAnsi"/>
                <w:sz w:val="16"/>
                <w:szCs w:val="16"/>
              </w:rPr>
            </w:pPr>
            <w:r w:rsidRPr="00A75888">
              <w:rPr>
                <w:rFonts w:asciiTheme="majorHAnsi" w:hAnsiTheme="majorHAnsi" w:cstheme="majorHAnsi"/>
                <w:sz w:val="16"/>
                <w:szCs w:val="16"/>
              </w:rPr>
              <w:t>(7b)</w:t>
            </w:r>
          </w:p>
        </w:tc>
      </w:tr>
      <w:tr w:rsidR="00311E05" w:rsidRPr="00A75888" w14:paraId="5EB73C79" w14:textId="77777777" w:rsidTr="00311E05">
        <w:trPr>
          <w:trHeight w:hRule="exact" w:val="227"/>
        </w:trPr>
        <w:tc>
          <w:tcPr>
            <w:tcW w:w="2577" w:type="pct"/>
            <w:tcBorders>
              <w:top w:val="nil"/>
              <w:left w:val="nil"/>
              <w:bottom w:val="nil"/>
              <w:right w:val="nil"/>
            </w:tcBorders>
            <w:shd w:val="clear" w:color="auto" w:fill="auto"/>
            <w:noWrap/>
            <w:vAlign w:val="bottom"/>
            <w:hideMark/>
          </w:tcPr>
          <w:p w14:paraId="730F3806" w14:textId="77777777" w:rsidR="00311E05" w:rsidRPr="00A75888" w:rsidRDefault="00311E05" w:rsidP="00311E05">
            <w:pPr>
              <w:rPr>
                <w:rFonts w:asciiTheme="majorHAnsi" w:hAnsiTheme="majorHAnsi" w:cstheme="majorHAnsi"/>
                <w:sz w:val="16"/>
                <w:szCs w:val="16"/>
              </w:rPr>
            </w:pPr>
            <w:r w:rsidRPr="00A75888">
              <w:rPr>
                <w:rFonts w:asciiTheme="majorHAnsi" w:hAnsiTheme="majorHAnsi" w:cstheme="majorHAnsi"/>
                <w:sz w:val="16"/>
                <w:szCs w:val="16"/>
              </w:rPr>
              <w:t xml:space="preserve">               Participação Societária - CUSTO</w:t>
            </w:r>
          </w:p>
        </w:tc>
        <w:tc>
          <w:tcPr>
            <w:tcW w:w="1093" w:type="pct"/>
            <w:tcBorders>
              <w:top w:val="nil"/>
              <w:left w:val="nil"/>
              <w:bottom w:val="nil"/>
              <w:right w:val="nil"/>
            </w:tcBorders>
            <w:shd w:val="clear" w:color="auto" w:fill="auto"/>
            <w:noWrap/>
            <w:vAlign w:val="bottom"/>
            <w:hideMark/>
          </w:tcPr>
          <w:p w14:paraId="29E522BC" w14:textId="77777777" w:rsidR="00311E05" w:rsidRPr="00A75888" w:rsidRDefault="00311E05" w:rsidP="00311E05">
            <w:pPr>
              <w:jc w:val="right"/>
              <w:rPr>
                <w:rFonts w:asciiTheme="majorHAnsi" w:hAnsiTheme="majorHAnsi" w:cstheme="majorHAnsi"/>
                <w:sz w:val="16"/>
                <w:szCs w:val="16"/>
              </w:rPr>
            </w:pPr>
            <w:r w:rsidRPr="00A75888">
              <w:rPr>
                <w:rFonts w:asciiTheme="majorHAnsi" w:hAnsiTheme="majorHAnsi" w:cstheme="majorHAnsi"/>
                <w:sz w:val="16"/>
                <w:szCs w:val="16"/>
              </w:rPr>
              <w:t xml:space="preserve">                               26.278 </w:t>
            </w:r>
          </w:p>
        </w:tc>
        <w:tc>
          <w:tcPr>
            <w:tcW w:w="936" w:type="pct"/>
            <w:tcBorders>
              <w:top w:val="nil"/>
              <w:left w:val="nil"/>
              <w:bottom w:val="nil"/>
              <w:right w:val="nil"/>
            </w:tcBorders>
            <w:shd w:val="clear" w:color="auto" w:fill="auto"/>
            <w:noWrap/>
            <w:vAlign w:val="bottom"/>
            <w:hideMark/>
          </w:tcPr>
          <w:p w14:paraId="56725725" w14:textId="77777777" w:rsidR="00311E05" w:rsidRPr="00A75888" w:rsidRDefault="00311E05" w:rsidP="00311E05">
            <w:pPr>
              <w:jc w:val="right"/>
              <w:rPr>
                <w:rFonts w:asciiTheme="majorHAnsi" w:hAnsiTheme="majorHAnsi" w:cstheme="majorHAnsi"/>
                <w:sz w:val="16"/>
                <w:szCs w:val="16"/>
              </w:rPr>
            </w:pPr>
            <w:r w:rsidRPr="00A75888">
              <w:rPr>
                <w:rFonts w:asciiTheme="majorHAnsi" w:hAnsiTheme="majorHAnsi" w:cstheme="majorHAnsi"/>
                <w:sz w:val="16"/>
                <w:szCs w:val="16"/>
              </w:rPr>
              <w:t xml:space="preserve">                           26.278 </w:t>
            </w:r>
          </w:p>
        </w:tc>
        <w:tc>
          <w:tcPr>
            <w:tcW w:w="394" w:type="pct"/>
            <w:tcBorders>
              <w:top w:val="nil"/>
              <w:left w:val="nil"/>
              <w:bottom w:val="nil"/>
              <w:right w:val="nil"/>
            </w:tcBorders>
            <w:shd w:val="clear" w:color="auto" w:fill="auto"/>
            <w:noWrap/>
            <w:vAlign w:val="center"/>
            <w:hideMark/>
          </w:tcPr>
          <w:p w14:paraId="7B85FFE7" w14:textId="77777777" w:rsidR="00311E05" w:rsidRPr="00A75888" w:rsidRDefault="00311E05" w:rsidP="00C20033">
            <w:pPr>
              <w:jc w:val="center"/>
              <w:rPr>
                <w:rFonts w:asciiTheme="majorHAnsi" w:hAnsiTheme="majorHAnsi" w:cstheme="majorHAnsi"/>
                <w:sz w:val="16"/>
                <w:szCs w:val="16"/>
              </w:rPr>
            </w:pPr>
            <w:r w:rsidRPr="00A75888">
              <w:rPr>
                <w:rFonts w:asciiTheme="majorHAnsi" w:hAnsiTheme="majorHAnsi" w:cstheme="majorHAnsi"/>
                <w:sz w:val="16"/>
                <w:szCs w:val="16"/>
              </w:rPr>
              <w:t>(7a)</w:t>
            </w:r>
          </w:p>
        </w:tc>
      </w:tr>
      <w:tr w:rsidR="00311E05" w:rsidRPr="00A75888" w14:paraId="1C8682E2" w14:textId="77777777" w:rsidTr="00311E05">
        <w:trPr>
          <w:trHeight w:hRule="exact" w:val="227"/>
        </w:trPr>
        <w:tc>
          <w:tcPr>
            <w:tcW w:w="2577" w:type="pct"/>
            <w:tcBorders>
              <w:top w:val="nil"/>
              <w:left w:val="nil"/>
              <w:bottom w:val="nil"/>
              <w:right w:val="nil"/>
            </w:tcBorders>
            <w:shd w:val="clear" w:color="auto" w:fill="auto"/>
            <w:noWrap/>
            <w:vAlign w:val="bottom"/>
            <w:hideMark/>
          </w:tcPr>
          <w:p w14:paraId="4162B77E" w14:textId="77777777" w:rsidR="00311E05" w:rsidRPr="00A75888" w:rsidRDefault="00311E05" w:rsidP="00311E05">
            <w:pPr>
              <w:rPr>
                <w:rFonts w:asciiTheme="majorHAnsi" w:hAnsiTheme="majorHAnsi" w:cstheme="majorHAnsi"/>
                <w:b/>
                <w:bCs/>
                <w:sz w:val="16"/>
                <w:szCs w:val="16"/>
              </w:rPr>
            </w:pPr>
            <w:r w:rsidRPr="00A75888">
              <w:rPr>
                <w:rFonts w:asciiTheme="majorHAnsi" w:hAnsiTheme="majorHAnsi" w:cstheme="majorHAnsi"/>
                <w:b/>
                <w:bCs/>
                <w:sz w:val="16"/>
                <w:szCs w:val="16"/>
              </w:rPr>
              <w:t xml:space="preserve">      Imobilizado</w:t>
            </w:r>
          </w:p>
        </w:tc>
        <w:tc>
          <w:tcPr>
            <w:tcW w:w="1093" w:type="pct"/>
            <w:tcBorders>
              <w:top w:val="nil"/>
              <w:left w:val="nil"/>
              <w:bottom w:val="nil"/>
              <w:right w:val="nil"/>
            </w:tcBorders>
            <w:shd w:val="clear" w:color="auto" w:fill="auto"/>
            <w:noWrap/>
            <w:vAlign w:val="bottom"/>
            <w:hideMark/>
          </w:tcPr>
          <w:p w14:paraId="03264514" w14:textId="77777777" w:rsidR="00311E05" w:rsidRPr="00A75888" w:rsidRDefault="00311E05" w:rsidP="00311E05">
            <w:pPr>
              <w:jc w:val="right"/>
              <w:rPr>
                <w:rFonts w:asciiTheme="majorHAnsi" w:hAnsiTheme="majorHAnsi" w:cstheme="majorHAnsi"/>
                <w:b/>
                <w:bCs/>
                <w:sz w:val="16"/>
                <w:szCs w:val="16"/>
              </w:rPr>
            </w:pPr>
            <w:r w:rsidRPr="00A75888">
              <w:rPr>
                <w:rFonts w:asciiTheme="majorHAnsi" w:hAnsiTheme="majorHAnsi" w:cstheme="majorHAnsi"/>
                <w:b/>
                <w:bCs/>
                <w:sz w:val="16"/>
                <w:szCs w:val="16"/>
              </w:rPr>
              <w:t xml:space="preserve">                 3.583.766.138 </w:t>
            </w:r>
          </w:p>
        </w:tc>
        <w:tc>
          <w:tcPr>
            <w:tcW w:w="936" w:type="pct"/>
            <w:tcBorders>
              <w:top w:val="nil"/>
              <w:left w:val="nil"/>
              <w:bottom w:val="nil"/>
              <w:right w:val="nil"/>
            </w:tcBorders>
            <w:shd w:val="clear" w:color="auto" w:fill="auto"/>
            <w:noWrap/>
            <w:vAlign w:val="bottom"/>
            <w:hideMark/>
          </w:tcPr>
          <w:p w14:paraId="6E34BDBF" w14:textId="77777777" w:rsidR="00311E05" w:rsidRPr="00A75888" w:rsidRDefault="00311E05" w:rsidP="00311E05">
            <w:pPr>
              <w:jc w:val="right"/>
              <w:rPr>
                <w:rFonts w:asciiTheme="majorHAnsi" w:hAnsiTheme="majorHAnsi" w:cstheme="majorHAnsi"/>
                <w:b/>
                <w:bCs/>
                <w:sz w:val="16"/>
                <w:szCs w:val="16"/>
              </w:rPr>
            </w:pPr>
            <w:r w:rsidRPr="00A75888">
              <w:rPr>
                <w:rFonts w:asciiTheme="majorHAnsi" w:hAnsiTheme="majorHAnsi" w:cstheme="majorHAnsi"/>
                <w:b/>
                <w:bCs/>
                <w:sz w:val="16"/>
                <w:szCs w:val="16"/>
              </w:rPr>
              <w:t xml:space="preserve">              3.284.926.863 </w:t>
            </w:r>
          </w:p>
        </w:tc>
        <w:tc>
          <w:tcPr>
            <w:tcW w:w="394" w:type="pct"/>
            <w:tcBorders>
              <w:top w:val="nil"/>
              <w:left w:val="nil"/>
              <w:bottom w:val="nil"/>
              <w:right w:val="nil"/>
            </w:tcBorders>
            <w:shd w:val="clear" w:color="auto" w:fill="auto"/>
            <w:noWrap/>
            <w:vAlign w:val="bottom"/>
            <w:hideMark/>
          </w:tcPr>
          <w:p w14:paraId="78602C0A" w14:textId="5793E4C4" w:rsidR="00311E05" w:rsidRPr="00A75888" w:rsidRDefault="00311E05" w:rsidP="00C20033">
            <w:pPr>
              <w:jc w:val="center"/>
              <w:rPr>
                <w:rFonts w:asciiTheme="majorHAnsi" w:hAnsiTheme="majorHAnsi" w:cstheme="majorHAnsi"/>
                <w:sz w:val="16"/>
                <w:szCs w:val="16"/>
              </w:rPr>
            </w:pPr>
            <w:r w:rsidRPr="00A75888">
              <w:rPr>
                <w:rFonts w:asciiTheme="majorHAnsi" w:hAnsiTheme="majorHAnsi" w:cstheme="majorHAnsi"/>
                <w:sz w:val="16"/>
                <w:szCs w:val="16"/>
              </w:rPr>
              <w:t>(8)</w:t>
            </w:r>
          </w:p>
        </w:tc>
      </w:tr>
      <w:tr w:rsidR="00311E05" w:rsidRPr="00A75888" w14:paraId="266F2AB3" w14:textId="77777777" w:rsidTr="00311E05">
        <w:trPr>
          <w:trHeight w:hRule="exact" w:val="227"/>
        </w:trPr>
        <w:tc>
          <w:tcPr>
            <w:tcW w:w="2577" w:type="pct"/>
            <w:tcBorders>
              <w:top w:val="nil"/>
              <w:left w:val="nil"/>
              <w:bottom w:val="nil"/>
              <w:right w:val="nil"/>
            </w:tcBorders>
            <w:shd w:val="clear" w:color="auto" w:fill="auto"/>
            <w:noWrap/>
            <w:vAlign w:val="bottom"/>
            <w:hideMark/>
          </w:tcPr>
          <w:p w14:paraId="6F57C654" w14:textId="77777777" w:rsidR="00311E05" w:rsidRPr="00A75888" w:rsidRDefault="00311E05" w:rsidP="00311E05">
            <w:pPr>
              <w:rPr>
                <w:rFonts w:asciiTheme="majorHAnsi" w:hAnsiTheme="majorHAnsi" w:cstheme="majorHAnsi"/>
                <w:b/>
                <w:bCs/>
                <w:sz w:val="16"/>
                <w:szCs w:val="16"/>
              </w:rPr>
            </w:pPr>
            <w:r w:rsidRPr="00A75888">
              <w:rPr>
                <w:rFonts w:asciiTheme="majorHAnsi" w:hAnsiTheme="majorHAnsi" w:cstheme="majorHAnsi"/>
                <w:b/>
                <w:bCs/>
                <w:sz w:val="16"/>
                <w:szCs w:val="16"/>
              </w:rPr>
              <w:t xml:space="preserve">              Terrenos </w:t>
            </w:r>
          </w:p>
        </w:tc>
        <w:tc>
          <w:tcPr>
            <w:tcW w:w="1093" w:type="pct"/>
            <w:tcBorders>
              <w:top w:val="nil"/>
              <w:left w:val="nil"/>
              <w:bottom w:val="nil"/>
              <w:right w:val="nil"/>
            </w:tcBorders>
            <w:shd w:val="clear" w:color="auto" w:fill="auto"/>
            <w:noWrap/>
            <w:vAlign w:val="bottom"/>
            <w:hideMark/>
          </w:tcPr>
          <w:p w14:paraId="1560877E" w14:textId="77777777" w:rsidR="00311E05" w:rsidRPr="00A75888" w:rsidRDefault="00311E05" w:rsidP="00311E05">
            <w:pPr>
              <w:jc w:val="right"/>
              <w:rPr>
                <w:rFonts w:asciiTheme="majorHAnsi" w:hAnsiTheme="majorHAnsi" w:cstheme="majorHAnsi"/>
                <w:b/>
                <w:bCs/>
                <w:sz w:val="16"/>
                <w:szCs w:val="16"/>
              </w:rPr>
            </w:pPr>
            <w:r w:rsidRPr="00A75888">
              <w:rPr>
                <w:rFonts w:asciiTheme="majorHAnsi" w:hAnsiTheme="majorHAnsi" w:cstheme="majorHAnsi"/>
                <w:b/>
                <w:bCs/>
                <w:sz w:val="16"/>
                <w:szCs w:val="16"/>
              </w:rPr>
              <w:t xml:space="preserve">                     412.471.934 </w:t>
            </w:r>
          </w:p>
        </w:tc>
        <w:tc>
          <w:tcPr>
            <w:tcW w:w="936" w:type="pct"/>
            <w:tcBorders>
              <w:top w:val="nil"/>
              <w:left w:val="nil"/>
              <w:bottom w:val="nil"/>
              <w:right w:val="nil"/>
            </w:tcBorders>
            <w:shd w:val="clear" w:color="auto" w:fill="auto"/>
            <w:noWrap/>
            <w:vAlign w:val="bottom"/>
            <w:hideMark/>
          </w:tcPr>
          <w:p w14:paraId="333AB3BB" w14:textId="77777777" w:rsidR="00311E05" w:rsidRPr="00A75888" w:rsidRDefault="00311E05" w:rsidP="00311E05">
            <w:pPr>
              <w:jc w:val="right"/>
              <w:rPr>
                <w:rFonts w:asciiTheme="majorHAnsi" w:hAnsiTheme="majorHAnsi" w:cstheme="majorHAnsi"/>
                <w:b/>
                <w:bCs/>
                <w:sz w:val="16"/>
                <w:szCs w:val="16"/>
              </w:rPr>
            </w:pPr>
            <w:r w:rsidRPr="00A75888">
              <w:rPr>
                <w:rFonts w:asciiTheme="majorHAnsi" w:hAnsiTheme="majorHAnsi" w:cstheme="majorHAnsi"/>
                <w:b/>
                <w:bCs/>
                <w:sz w:val="16"/>
                <w:szCs w:val="16"/>
              </w:rPr>
              <w:t xml:space="preserve">                 407.966.196 </w:t>
            </w:r>
          </w:p>
        </w:tc>
        <w:tc>
          <w:tcPr>
            <w:tcW w:w="394" w:type="pct"/>
            <w:tcBorders>
              <w:top w:val="nil"/>
              <w:left w:val="nil"/>
              <w:bottom w:val="nil"/>
              <w:right w:val="nil"/>
            </w:tcBorders>
            <w:shd w:val="clear" w:color="auto" w:fill="auto"/>
            <w:noWrap/>
            <w:vAlign w:val="center"/>
            <w:hideMark/>
          </w:tcPr>
          <w:p w14:paraId="6E0DE74B" w14:textId="77777777" w:rsidR="00311E05" w:rsidRPr="00A75888" w:rsidRDefault="00311E05" w:rsidP="00C20033">
            <w:pPr>
              <w:jc w:val="center"/>
              <w:rPr>
                <w:rFonts w:asciiTheme="majorHAnsi" w:hAnsiTheme="majorHAnsi" w:cstheme="majorHAnsi"/>
                <w:b/>
                <w:bCs/>
                <w:sz w:val="16"/>
                <w:szCs w:val="16"/>
              </w:rPr>
            </w:pPr>
          </w:p>
        </w:tc>
      </w:tr>
      <w:tr w:rsidR="00311E05" w:rsidRPr="00A75888" w14:paraId="47C269FA" w14:textId="77777777" w:rsidTr="00311E05">
        <w:trPr>
          <w:trHeight w:hRule="exact" w:val="227"/>
        </w:trPr>
        <w:tc>
          <w:tcPr>
            <w:tcW w:w="2577" w:type="pct"/>
            <w:tcBorders>
              <w:top w:val="nil"/>
              <w:left w:val="nil"/>
              <w:bottom w:val="nil"/>
              <w:right w:val="nil"/>
            </w:tcBorders>
            <w:shd w:val="clear" w:color="auto" w:fill="auto"/>
            <w:noWrap/>
            <w:vAlign w:val="bottom"/>
            <w:hideMark/>
          </w:tcPr>
          <w:p w14:paraId="11C5D1A6" w14:textId="77777777" w:rsidR="00311E05" w:rsidRPr="00A75888" w:rsidRDefault="00311E05" w:rsidP="00311E05">
            <w:pPr>
              <w:rPr>
                <w:rFonts w:asciiTheme="majorHAnsi" w:hAnsiTheme="majorHAnsi" w:cstheme="majorHAnsi"/>
                <w:b/>
                <w:bCs/>
                <w:sz w:val="16"/>
                <w:szCs w:val="16"/>
              </w:rPr>
            </w:pPr>
            <w:r w:rsidRPr="00A75888">
              <w:rPr>
                <w:rFonts w:asciiTheme="majorHAnsi" w:hAnsiTheme="majorHAnsi" w:cstheme="majorHAnsi"/>
                <w:b/>
                <w:bCs/>
                <w:sz w:val="16"/>
                <w:szCs w:val="16"/>
              </w:rPr>
              <w:t xml:space="preserve">              Geral </w:t>
            </w:r>
          </w:p>
        </w:tc>
        <w:tc>
          <w:tcPr>
            <w:tcW w:w="1093" w:type="pct"/>
            <w:tcBorders>
              <w:top w:val="nil"/>
              <w:left w:val="nil"/>
              <w:bottom w:val="nil"/>
              <w:right w:val="nil"/>
            </w:tcBorders>
            <w:shd w:val="clear" w:color="auto" w:fill="auto"/>
            <w:noWrap/>
            <w:vAlign w:val="bottom"/>
            <w:hideMark/>
          </w:tcPr>
          <w:p w14:paraId="6D087EC1" w14:textId="77777777" w:rsidR="00311E05" w:rsidRPr="00A75888" w:rsidRDefault="00311E05" w:rsidP="00311E05">
            <w:pPr>
              <w:jc w:val="right"/>
              <w:rPr>
                <w:rFonts w:asciiTheme="majorHAnsi" w:hAnsiTheme="majorHAnsi" w:cstheme="majorHAnsi"/>
                <w:b/>
                <w:bCs/>
                <w:sz w:val="16"/>
                <w:szCs w:val="16"/>
              </w:rPr>
            </w:pPr>
            <w:r w:rsidRPr="00A75888">
              <w:rPr>
                <w:rFonts w:asciiTheme="majorHAnsi" w:hAnsiTheme="majorHAnsi" w:cstheme="majorHAnsi"/>
                <w:b/>
                <w:bCs/>
                <w:sz w:val="16"/>
                <w:szCs w:val="16"/>
              </w:rPr>
              <w:t xml:space="preserve">                         8.039.605 </w:t>
            </w:r>
          </w:p>
        </w:tc>
        <w:tc>
          <w:tcPr>
            <w:tcW w:w="936" w:type="pct"/>
            <w:tcBorders>
              <w:top w:val="nil"/>
              <w:left w:val="nil"/>
              <w:bottom w:val="nil"/>
              <w:right w:val="nil"/>
            </w:tcBorders>
            <w:shd w:val="clear" w:color="auto" w:fill="auto"/>
            <w:noWrap/>
            <w:vAlign w:val="bottom"/>
            <w:hideMark/>
          </w:tcPr>
          <w:p w14:paraId="79F3ADD1" w14:textId="77777777" w:rsidR="00311E05" w:rsidRPr="00A75888" w:rsidRDefault="00311E05" w:rsidP="00311E05">
            <w:pPr>
              <w:jc w:val="right"/>
              <w:rPr>
                <w:rFonts w:asciiTheme="majorHAnsi" w:hAnsiTheme="majorHAnsi" w:cstheme="majorHAnsi"/>
                <w:b/>
                <w:bCs/>
                <w:sz w:val="16"/>
                <w:szCs w:val="16"/>
              </w:rPr>
            </w:pPr>
            <w:r w:rsidRPr="00A75888">
              <w:rPr>
                <w:rFonts w:asciiTheme="majorHAnsi" w:hAnsiTheme="majorHAnsi" w:cstheme="majorHAnsi"/>
                <w:b/>
                <w:bCs/>
                <w:sz w:val="16"/>
                <w:szCs w:val="16"/>
              </w:rPr>
              <w:t xml:space="preserve">                      9.498.275 </w:t>
            </w:r>
          </w:p>
        </w:tc>
        <w:tc>
          <w:tcPr>
            <w:tcW w:w="394" w:type="pct"/>
            <w:tcBorders>
              <w:top w:val="nil"/>
              <w:left w:val="nil"/>
              <w:bottom w:val="nil"/>
              <w:right w:val="nil"/>
            </w:tcBorders>
            <w:shd w:val="clear" w:color="auto" w:fill="auto"/>
            <w:noWrap/>
            <w:vAlign w:val="center"/>
            <w:hideMark/>
          </w:tcPr>
          <w:p w14:paraId="146026EF" w14:textId="77777777" w:rsidR="00311E05" w:rsidRPr="00A75888" w:rsidRDefault="00311E05" w:rsidP="00C20033">
            <w:pPr>
              <w:jc w:val="center"/>
              <w:rPr>
                <w:rFonts w:asciiTheme="majorHAnsi" w:hAnsiTheme="majorHAnsi" w:cstheme="majorHAnsi"/>
                <w:b/>
                <w:bCs/>
                <w:sz w:val="16"/>
                <w:szCs w:val="16"/>
              </w:rPr>
            </w:pPr>
          </w:p>
        </w:tc>
      </w:tr>
      <w:tr w:rsidR="00311E05" w:rsidRPr="00A75888" w14:paraId="5C4348B9" w14:textId="77777777" w:rsidTr="00311E05">
        <w:trPr>
          <w:trHeight w:hRule="exact" w:val="227"/>
        </w:trPr>
        <w:tc>
          <w:tcPr>
            <w:tcW w:w="2577" w:type="pct"/>
            <w:tcBorders>
              <w:top w:val="nil"/>
              <w:left w:val="nil"/>
              <w:bottom w:val="nil"/>
              <w:right w:val="nil"/>
            </w:tcBorders>
            <w:shd w:val="clear" w:color="auto" w:fill="auto"/>
            <w:noWrap/>
            <w:vAlign w:val="bottom"/>
            <w:hideMark/>
          </w:tcPr>
          <w:p w14:paraId="08687CC8" w14:textId="77777777" w:rsidR="00311E05" w:rsidRPr="00A75888" w:rsidRDefault="00311E05" w:rsidP="00311E05">
            <w:pPr>
              <w:rPr>
                <w:rFonts w:asciiTheme="majorHAnsi" w:hAnsiTheme="majorHAnsi" w:cstheme="majorHAnsi"/>
                <w:sz w:val="16"/>
                <w:szCs w:val="16"/>
              </w:rPr>
            </w:pPr>
            <w:r w:rsidRPr="00A75888">
              <w:rPr>
                <w:rFonts w:asciiTheme="majorHAnsi" w:hAnsiTheme="majorHAnsi" w:cstheme="majorHAnsi"/>
                <w:sz w:val="16"/>
                <w:szCs w:val="16"/>
              </w:rPr>
              <w:t xml:space="preserve">                     Bens Imóveis </w:t>
            </w:r>
          </w:p>
        </w:tc>
        <w:tc>
          <w:tcPr>
            <w:tcW w:w="1093" w:type="pct"/>
            <w:tcBorders>
              <w:top w:val="nil"/>
              <w:left w:val="nil"/>
              <w:bottom w:val="nil"/>
              <w:right w:val="nil"/>
            </w:tcBorders>
            <w:shd w:val="clear" w:color="auto" w:fill="auto"/>
            <w:noWrap/>
            <w:vAlign w:val="bottom"/>
            <w:hideMark/>
          </w:tcPr>
          <w:p w14:paraId="2B87B9C8" w14:textId="77777777" w:rsidR="00311E05" w:rsidRPr="00A75888" w:rsidRDefault="00311E05" w:rsidP="00311E05">
            <w:pPr>
              <w:jc w:val="right"/>
              <w:rPr>
                <w:rFonts w:asciiTheme="majorHAnsi" w:hAnsiTheme="majorHAnsi" w:cstheme="majorHAnsi"/>
                <w:sz w:val="16"/>
                <w:szCs w:val="16"/>
              </w:rPr>
            </w:pPr>
            <w:r w:rsidRPr="00A75888">
              <w:rPr>
                <w:rFonts w:asciiTheme="majorHAnsi" w:hAnsiTheme="majorHAnsi" w:cstheme="majorHAnsi"/>
                <w:sz w:val="16"/>
                <w:szCs w:val="16"/>
              </w:rPr>
              <w:t xml:space="preserve">                         2.196.421 </w:t>
            </w:r>
          </w:p>
        </w:tc>
        <w:tc>
          <w:tcPr>
            <w:tcW w:w="936" w:type="pct"/>
            <w:tcBorders>
              <w:top w:val="nil"/>
              <w:left w:val="nil"/>
              <w:bottom w:val="nil"/>
              <w:right w:val="nil"/>
            </w:tcBorders>
            <w:shd w:val="clear" w:color="auto" w:fill="auto"/>
            <w:noWrap/>
            <w:vAlign w:val="bottom"/>
            <w:hideMark/>
          </w:tcPr>
          <w:p w14:paraId="10EEFF2E" w14:textId="77777777" w:rsidR="00311E05" w:rsidRPr="00A75888" w:rsidRDefault="00311E05" w:rsidP="00311E05">
            <w:pPr>
              <w:jc w:val="right"/>
              <w:rPr>
                <w:rFonts w:asciiTheme="majorHAnsi" w:hAnsiTheme="majorHAnsi" w:cstheme="majorHAnsi"/>
                <w:sz w:val="16"/>
                <w:szCs w:val="16"/>
              </w:rPr>
            </w:pPr>
            <w:r w:rsidRPr="00A75888">
              <w:rPr>
                <w:rFonts w:asciiTheme="majorHAnsi" w:hAnsiTheme="majorHAnsi" w:cstheme="majorHAnsi"/>
                <w:sz w:val="16"/>
                <w:szCs w:val="16"/>
              </w:rPr>
              <w:t xml:space="preserve">                      2.361.441 </w:t>
            </w:r>
          </w:p>
        </w:tc>
        <w:tc>
          <w:tcPr>
            <w:tcW w:w="394" w:type="pct"/>
            <w:tcBorders>
              <w:top w:val="nil"/>
              <w:left w:val="nil"/>
              <w:bottom w:val="nil"/>
              <w:right w:val="nil"/>
            </w:tcBorders>
            <w:shd w:val="clear" w:color="auto" w:fill="auto"/>
            <w:noWrap/>
            <w:vAlign w:val="center"/>
            <w:hideMark/>
          </w:tcPr>
          <w:p w14:paraId="3BC0532A" w14:textId="77777777" w:rsidR="00311E05" w:rsidRPr="00A75888" w:rsidRDefault="00311E05" w:rsidP="00C20033">
            <w:pPr>
              <w:jc w:val="center"/>
              <w:rPr>
                <w:rFonts w:asciiTheme="majorHAnsi" w:hAnsiTheme="majorHAnsi" w:cstheme="majorHAnsi"/>
                <w:sz w:val="16"/>
                <w:szCs w:val="16"/>
              </w:rPr>
            </w:pPr>
          </w:p>
        </w:tc>
      </w:tr>
      <w:tr w:rsidR="00311E05" w:rsidRPr="00A75888" w14:paraId="0B90015D" w14:textId="77777777" w:rsidTr="00311E05">
        <w:trPr>
          <w:trHeight w:hRule="exact" w:val="227"/>
        </w:trPr>
        <w:tc>
          <w:tcPr>
            <w:tcW w:w="2577" w:type="pct"/>
            <w:tcBorders>
              <w:top w:val="nil"/>
              <w:left w:val="nil"/>
              <w:bottom w:val="nil"/>
              <w:right w:val="nil"/>
            </w:tcBorders>
            <w:shd w:val="clear" w:color="auto" w:fill="auto"/>
            <w:noWrap/>
            <w:vAlign w:val="bottom"/>
            <w:hideMark/>
          </w:tcPr>
          <w:p w14:paraId="1C49D293" w14:textId="77777777" w:rsidR="00311E05" w:rsidRPr="00A75888" w:rsidRDefault="00311E05" w:rsidP="00311E05">
            <w:pPr>
              <w:rPr>
                <w:rFonts w:asciiTheme="majorHAnsi" w:hAnsiTheme="majorHAnsi" w:cstheme="majorHAnsi"/>
                <w:sz w:val="16"/>
                <w:szCs w:val="16"/>
              </w:rPr>
            </w:pPr>
            <w:r w:rsidRPr="00A75888">
              <w:rPr>
                <w:rFonts w:asciiTheme="majorHAnsi" w:hAnsiTheme="majorHAnsi" w:cstheme="majorHAnsi"/>
                <w:sz w:val="16"/>
                <w:szCs w:val="16"/>
              </w:rPr>
              <w:t xml:space="preserve">                     Bens Móveis </w:t>
            </w:r>
          </w:p>
        </w:tc>
        <w:tc>
          <w:tcPr>
            <w:tcW w:w="1093" w:type="pct"/>
            <w:tcBorders>
              <w:top w:val="nil"/>
              <w:left w:val="nil"/>
              <w:bottom w:val="nil"/>
              <w:right w:val="nil"/>
            </w:tcBorders>
            <w:shd w:val="clear" w:color="auto" w:fill="auto"/>
            <w:noWrap/>
            <w:vAlign w:val="bottom"/>
            <w:hideMark/>
          </w:tcPr>
          <w:p w14:paraId="5720246C" w14:textId="77777777" w:rsidR="00311E05" w:rsidRPr="00A75888" w:rsidRDefault="00311E05" w:rsidP="00311E05">
            <w:pPr>
              <w:jc w:val="right"/>
              <w:rPr>
                <w:rFonts w:asciiTheme="majorHAnsi" w:hAnsiTheme="majorHAnsi" w:cstheme="majorHAnsi"/>
                <w:sz w:val="16"/>
                <w:szCs w:val="16"/>
              </w:rPr>
            </w:pPr>
            <w:r w:rsidRPr="00A75888">
              <w:rPr>
                <w:rFonts w:asciiTheme="majorHAnsi" w:hAnsiTheme="majorHAnsi" w:cstheme="majorHAnsi"/>
                <w:sz w:val="16"/>
                <w:szCs w:val="16"/>
              </w:rPr>
              <w:t xml:space="preserve">                       39.311.120 </w:t>
            </w:r>
          </w:p>
        </w:tc>
        <w:tc>
          <w:tcPr>
            <w:tcW w:w="936" w:type="pct"/>
            <w:tcBorders>
              <w:top w:val="nil"/>
              <w:left w:val="nil"/>
              <w:bottom w:val="nil"/>
              <w:right w:val="nil"/>
            </w:tcBorders>
            <w:shd w:val="clear" w:color="auto" w:fill="auto"/>
            <w:noWrap/>
            <w:vAlign w:val="bottom"/>
            <w:hideMark/>
          </w:tcPr>
          <w:p w14:paraId="072226F8" w14:textId="77777777" w:rsidR="00311E05" w:rsidRPr="00A75888" w:rsidRDefault="00311E05" w:rsidP="00311E05">
            <w:pPr>
              <w:jc w:val="right"/>
              <w:rPr>
                <w:rFonts w:asciiTheme="majorHAnsi" w:hAnsiTheme="majorHAnsi" w:cstheme="majorHAnsi"/>
                <w:sz w:val="16"/>
                <w:szCs w:val="16"/>
              </w:rPr>
            </w:pPr>
            <w:r w:rsidRPr="00A75888">
              <w:rPr>
                <w:rFonts w:asciiTheme="majorHAnsi" w:hAnsiTheme="majorHAnsi" w:cstheme="majorHAnsi"/>
                <w:sz w:val="16"/>
                <w:szCs w:val="16"/>
              </w:rPr>
              <w:t xml:space="preserve">                    38.761.200 </w:t>
            </w:r>
          </w:p>
        </w:tc>
        <w:tc>
          <w:tcPr>
            <w:tcW w:w="394" w:type="pct"/>
            <w:tcBorders>
              <w:top w:val="nil"/>
              <w:left w:val="nil"/>
              <w:bottom w:val="nil"/>
              <w:right w:val="nil"/>
            </w:tcBorders>
            <w:shd w:val="clear" w:color="auto" w:fill="auto"/>
            <w:noWrap/>
            <w:vAlign w:val="center"/>
            <w:hideMark/>
          </w:tcPr>
          <w:p w14:paraId="443DA281" w14:textId="77777777" w:rsidR="00311E05" w:rsidRPr="00A75888" w:rsidRDefault="00311E05" w:rsidP="00C20033">
            <w:pPr>
              <w:jc w:val="center"/>
              <w:rPr>
                <w:rFonts w:asciiTheme="majorHAnsi" w:hAnsiTheme="majorHAnsi" w:cstheme="majorHAnsi"/>
                <w:sz w:val="16"/>
                <w:szCs w:val="16"/>
              </w:rPr>
            </w:pPr>
          </w:p>
        </w:tc>
      </w:tr>
      <w:tr w:rsidR="00311E05" w:rsidRPr="00A75888" w14:paraId="3F4A96E4" w14:textId="77777777" w:rsidTr="00311E05">
        <w:trPr>
          <w:trHeight w:hRule="exact" w:val="227"/>
        </w:trPr>
        <w:tc>
          <w:tcPr>
            <w:tcW w:w="2577" w:type="pct"/>
            <w:tcBorders>
              <w:top w:val="nil"/>
              <w:left w:val="nil"/>
              <w:bottom w:val="nil"/>
              <w:right w:val="nil"/>
            </w:tcBorders>
            <w:shd w:val="clear" w:color="auto" w:fill="auto"/>
            <w:noWrap/>
            <w:vAlign w:val="bottom"/>
            <w:hideMark/>
          </w:tcPr>
          <w:p w14:paraId="2E90FFBD" w14:textId="77777777" w:rsidR="00311E05" w:rsidRPr="00A75888" w:rsidRDefault="00311E05" w:rsidP="00311E05">
            <w:pPr>
              <w:rPr>
                <w:rFonts w:asciiTheme="majorHAnsi" w:hAnsiTheme="majorHAnsi" w:cstheme="majorHAnsi"/>
                <w:sz w:val="16"/>
                <w:szCs w:val="16"/>
              </w:rPr>
            </w:pPr>
            <w:r w:rsidRPr="00A75888">
              <w:rPr>
                <w:rFonts w:asciiTheme="majorHAnsi" w:hAnsiTheme="majorHAnsi" w:cstheme="majorHAnsi"/>
                <w:sz w:val="16"/>
                <w:szCs w:val="16"/>
              </w:rPr>
              <w:t xml:space="preserve">                    (Depreciações Acumuladas -Bens Imóveis)</w:t>
            </w:r>
          </w:p>
        </w:tc>
        <w:tc>
          <w:tcPr>
            <w:tcW w:w="1093" w:type="pct"/>
            <w:tcBorders>
              <w:top w:val="nil"/>
              <w:left w:val="nil"/>
              <w:bottom w:val="nil"/>
              <w:right w:val="nil"/>
            </w:tcBorders>
            <w:shd w:val="clear" w:color="auto" w:fill="auto"/>
            <w:noWrap/>
            <w:vAlign w:val="bottom"/>
            <w:hideMark/>
          </w:tcPr>
          <w:p w14:paraId="0BAFBCEC" w14:textId="77777777" w:rsidR="00311E05" w:rsidRPr="00A75888" w:rsidRDefault="00311E05" w:rsidP="00311E05">
            <w:pPr>
              <w:jc w:val="right"/>
              <w:rPr>
                <w:rFonts w:asciiTheme="majorHAnsi" w:hAnsiTheme="majorHAnsi" w:cstheme="majorHAnsi"/>
                <w:sz w:val="16"/>
                <w:szCs w:val="16"/>
              </w:rPr>
            </w:pPr>
            <w:r w:rsidRPr="00A75888">
              <w:rPr>
                <w:rFonts w:asciiTheme="majorHAnsi" w:hAnsiTheme="majorHAnsi" w:cstheme="majorHAnsi"/>
                <w:sz w:val="16"/>
                <w:szCs w:val="16"/>
              </w:rPr>
              <w:t xml:space="preserve">                       (2.037.766)</w:t>
            </w:r>
          </w:p>
        </w:tc>
        <w:tc>
          <w:tcPr>
            <w:tcW w:w="936" w:type="pct"/>
            <w:tcBorders>
              <w:top w:val="nil"/>
              <w:left w:val="nil"/>
              <w:bottom w:val="nil"/>
              <w:right w:val="nil"/>
            </w:tcBorders>
            <w:shd w:val="clear" w:color="auto" w:fill="auto"/>
            <w:noWrap/>
            <w:vAlign w:val="bottom"/>
            <w:hideMark/>
          </w:tcPr>
          <w:p w14:paraId="6FEF533E" w14:textId="77777777" w:rsidR="00311E05" w:rsidRPr="00A75888" w:rsidRDefault="00311E05" w:rsidP="00311E05">
            <w:pPr>
              <w:jc w:val="right"/>
              <w:rPr>
                <w:rFonts w:asciiTheme="majorHAnsi" w:hAnsiTheme="majorHAnsi" w:cstheme="majorHAnsi"/>
                <w:sz w:val="16"/>
                <w:szCs w:val="16"/>
              </w:rPr>
            </w:pPr>
            <w:r w:rsidRPr="00A75888">
              <w:rPr>
                <w:rFonts w:asciiTheme="majorHAnsi" w:hAnsiTheme="majorHAnsi" w:cstheme="majorHAnsi"/>
                <w:sz w:val="16"/>
                <w:szCs w:val="16"/>
              </w:rPr>
              <w:t xml:space="preserve">                    (2.160.227)</w:t>
            </w:r>
          </w:p>
        </w:tc>
        <w:tc>
          <w:tcPr>
            <w:tcW w:w="394" w:type="pct"/>
            <w:tcBorders>
              <w:top w:val="nil"/>
              <w:left w:val="nil"/>
              <w:bottom w:val="nil"/>
              <w:right w:val="nil"/>
            </w:tcBorders>
            <w:shd w:val="clear" w:color="auto" w:fill="auto"/>
            <w:noWrap/>
            <w:vAlign w:val="center"/>
            <w:hideMark/>
          </w:tcPr>
          <w:p w14:paraId="4B59637D" w14:textId="77777777" w:rsidR="00311E05" w:rsidRPr="00A75888" w:rsidRDefault="00311E05" w:rsidP="00C20033">
            <w:pPr>
              <w:jc w:val="center"/>
              <w:rPr>
                <w:rFonts w:asciiTheme="majorHAnsi" w:hAnsiTheme="majorHAnsi" w:cstheme="majorHAnsi"/>
                <w:sz w:val="16"/>
                <w:szCs w:val="16"/>
              </w:rPr>
            </w:pPr>
          </w:p>
        </w:tc>
      </w:tr>
      <w:tr w:rsidR="00311E05" w:rsidRPr="00A75888" w14:paraId="7097E8F7" w14:textId="77777777" w:rsidTr="00311E05">
        <w:trPr>
          <w:trHeight w:hRule="exact" w:val="227"/>
        </w:trPr>
        <w:tc>
          <w:tcPr>
            <w:tcW w:w="2577" w:type="pct"/>
            <w:tcBorders>
              <w:top w:val="nil"/>
              <w:left w:val="nil"/>
              <w:bottom w:val="nil"/>
              <w:right w:val="nil"/>
            </w:tcBorders>
            <w:shd w:val="clear" w:color="auto" w:fill="auto"/>
            <w:noWrap/>
            <w:vAlign w:val="bottom"/>
            <w:hideMark/>
          </w:tcPr>
          <w:p w14:paraId="2B8B728F" w14:textId="77777777" w:rsidR="00311E05" w:rsidRPr="00A75888" w:rsidRDefault="00311E05" w:rsidP="00311E05">
            <w:pPr>
              <w:rPr>
                <w:rFonts w:asciiTheme="majorHAnsi" w:hAnsiTheme="majorHAnsi" w:cstheme="majorHAnsi"/>
                <w:sz w:val="16"/>
                <w:szCs w:val="16"/>
              </w:rPr>
            </w:pPr>
            <w:r w:rsidRPr="00A75888">
              <w:rPr>
                <w:rFonts w:asciiTheme="majorHAnsi" w:hAnsiTheme="majorHAnsi" w:cstheme="majorHAnsi"/>
                <w:sz w:val="16"/>
                <w:szCs w:val="16"/>
              </w:rPr>
              <w:t xml:space="preserve">                    (Depreciações Acumuladas -Bens Móveis)</w:t>
            </w:r>
          </w:p>
        </w:tc>
        <w:tc>
          <w:tcPr>
            <w:tcW w:w="1093" w:type="pct"/>
            <w:tcBorders>
              <w:top w:val="nil"/>
              <w:left w:val="nil"/>
              <w:bottom w:val="nil"/>
              <w:right w:val="nil"/>
            </w:tcBorders>
            <w:shd w:val="clear" w:color="auto" w:fill="auto"/>
            <w:noWrap/>
            <w:vAlign w:val="bottom"/>
            <w:hideMark/>
          </w:tcPr>
          <w:p w14:paraId="1FB6A79A" w14:textId="77777777" w:rsidR="00311E05" w:rsidRPr="00A75888" w:rsidRDefault="00311E05" w:rsidP="00311E05">
            <w:pPr>
              <w:jc w:val="right"/>
              <w:rPr>
                <w:rFonts w:asciiTheme="majorHAnsi" w:hAnsiTheme="majorHAnsi" w:cstheme="majorHAnsi"/>
                <w:sz w:val="16"/>
                <w:szCs w:val="16"/>
              </w:rPr>
            </w:pPr>
            <w:r w:rsidRPr="00A75888">
              <w:rPr>
                <w:rFonts w:asciiTheme="majorHAnsi" w:hAnsiTheme="majorHAnsi" w:cstheme="majorHAnsi"/>
                <w:sz w:val="16"/>
                <w:szCs w:val="16"/>
              </w:rPr>
              <w:t xml:space="preserve">                     (31.395.197)</w:t>
            </w:r>
          </w:p>
        </w:tc>
        <w:tc>
          <w:tcPr>
            <w:tcW w:w="936" w:type="pct"/>
            <w:tcBorders>
              <w:top w:val="nil"/>
              <w:left w:val="nil"/>
              <w:bottom w:val="nil"/>
              <w:right w:val="nil"/>
            </w:tcBorders>
            <w:shd w:val="clear" w:color="auto" w:fill="auto"/>
            <w:noWrap/>
            <w:vAlign w:val="bottom"/>
            <w:hideMark/>
          </w:tcPr>
          <w:p w14:paraId="3D4875A5" w14:textId="77777777" w:rsidR="00311E05" w:rsidRPr="00A75888" w:rsidRDefault="00311E05" w:rsidP="00311E05">
            <w:pPr>
              <w:jc w:val="right"/>
              <w:rPr>
                <w:rFonts w:asciiTheme="majorHAnsi" w:hAnsiTheme="majorHAnsi" w:cstheme="majorHAnsi"/>
                <w:sz w:val="16"/>
                <w:szCs w:val="16"/>
              </w:rPr>
            </w:pPr>
            <w:r w:rsidRPr="00A75888">
              <w:rPr>
                <w:rFonts w:asciiTheme="majorHAnsi" w:hAnsiTheme="majorHAnsi" w:cstheme="majorHAnsi"/>
                <w:sz w:val="16"/>
                <w:szCs w:val="16"/>
              </w:rPr>
              <w:t xml:space="preserve">                  (29.429.165)</w:t>
            </w:r>
          </w:p>
        </w:tc>
        <w:tc>
          <w:tcPr>
            <w:tcW w:w="394" w:type="pct"/>
            <w:tcBorders>
              <w:top w:val="nil"/>
              <w:left w:val="nil"/>
              <w:bottom w:val="nil"/>
              <w:right w:val="nil"/>
            </w:tcBorders>
            <w:shd w:val="clear" w:color="auto" w:fill="auto"/>
            <w:noWrap/>
            <w:vAlign w:val="center"/>
            <w:hideMark/>
          </w:tcPr>
          <w:p w14:paraId="1FD60559" w14:textId="77777777" w:rsidR="00311E05" w:rsidRPr="00A75888" w:rsidRDefault="00311E05" w:rsidP="00C20033">
            <w:pPr>
              <w:jc w:val="center"/>
              <w:rPr>
                <w:rFonts w:asciiTheme="majorHAnsi" w:hAnsiTheme="majorHAnsi" w:cstheme="majorHAnsi"/>
                <w:sz w:val="16"/>
                <w:szCs w:val="16"/>
              </w:rPr>
            </w:pPr>
          </w:p>
        </w:tc>
      </w:tr>
      <w:tr w:rsidR="00311E05" w:rsidRPr="00A75888" w14:paraId="5D1F4029" w14:textId="77777777" w:rsidTr="00311E05">
        <w:trPr>
          <w:trHeight w:hRule="exact" w:val="227"/>
        </w:trPr>
        <w:tc>
          <w:tcPr>
            <w:tcW w:w="2577" w:type="pct"/>
            <w:tcBorders>
              <w:top w:val="nil"/>
              <w:left w:val="nil"/>
              <w:bottom w:val="nil"/>
              <w:right w:val="nil"/>
            </w:tcBorders>
            <w:shd w:val="clear" w:color="auto" w:fill="auto"/>
            <w:noWrap/>
            <w:vAlign w:val="bottom"/>
            <w:hideMark/>
          </w:tcPr>
          <w:p w14:paraId="0ED1506F" w14:textId="77777777" w:rsidR="00311E05" w:rsidRPr="00A75888" w:rsidRDefault="00311E05" w:rsidP="00311E05">
            <w:pPr>
              <w:rPr>
                <w:rFonts w:asciiTheme="majorHAnsi" w:hAnsiTheme="majorHAnsi" w:cstheme="majorHAnsi"/>
                <w:sz w:val="16"/>
                <w:szCs w:val="16"/>
              </w:rPr>
            </w:pPr>
            <w:r w:rsidRPr="00A75888">
              <w:rPr>
                <w:rFonts w:asciiTheme="majorHAnsi" w:hAnsiTheme="majorHAnsi" w:cstheme="majorHAnsi"/>
                <w:sz w:val="16"/>
                <w:szCs w:val="16"/>
              </w:rPr>
              <w:t xml:space="preserve">                    (Redução ao Valor Recuperável - Bens Móveis)</w:t>
            </w:r>
          </w:p>
        </w:tc>
        <w:tc>
          <w:tcPr>
            <w:tcW w:w="1093" w:type="pct"/>
            <w:tcBorders>
              <w:top w:val="nil"/>
              <w:left w:val="nil"/>
              <w:bottom w:val="nil"/>
              <w:right w:val="nil"/>
            </w:tcBorders>
            <w:shd w:val="clear" w:color="auto" w:fill="auto"/>
            <w:noWrap/>
            <w:vAlign w:val="bottom"/>
            <w:hideMark/>
          </w:tcPr>
          <w:p w14:paraId="0F0759D1" w14:textId="77777777" w:rsidR="00311E05" w:rsidRPr="00A75888" w:rsidRDefault="00311E05" w:rsidP="00311E05">
            <w:pPr>
              <w:jc w:val="right"/>
              <w:rPr>
                <w:rFonts w:asciiTheme="majorHAnsi" w:hAnsiTheme="majorHAnsi" w:cstheme="majorHAnsi"/>
                <w:sz w:val="16"/>
                <w:szCs w:val="16"/>
              </w:rPr>
            </w:pPr>
            <w:r w:rsidRPr="00A75888">
              <w:rPr>
                <w:rFonts w:asciiTheme="majorHAnsi" w:hAnsiTheme="majorHAnsi" w:cstheme="majorHAnsi"/>
                <w:sz w:val="16"/>
                <w:szCs w:val="16"/>
              </w:rPr>
              <w:t xml:space="preserve">                             (34.974)</w:t>
            </w:r>
          </w:p>
        </w:tc>
        <w:tc>
          <w:tcPr>
            <w:tcW w:w="936" w:type="pct"/>
            <w:tcBorders>
              <w:top w:val="nil"/>
              <w:left w:val="nil"/>
              <w:bottom w:val="nil"/>
              <w:right w:val="nil"/>
            </w:tcBorders>
            <w:shd w:val="clear" w:color="auto" w:fill="auto"/>
            <w:noWrap/>
            <w:vAlign w:val="bottom"/>
            <w:hideMark/>
          </w:tcPr>
          <w:p w14:paraId="280D4FD7" w14:textId="77777777" w:rsidR="00311E05" w:rsidRPr="00A75888" w:rsidRDefault="00311E05" w:rsidP="00311E05">
            <w:pPr>
              <w:jc w:val="right"/>
              <w:rPr>
                <w:rFonts w:asciiTheme="majorHAnsi" w:hAnsiTheme="majorHAnsi" w:cstheme="majorHAnsi"/>
                <w:sz w:val="16"/>
                <w:szCs w:val="16"/>
              </w:rPr>
            </w:pPr>
            <w:r w:rsidRPr="00A75888">
              <w:rPr>
                <w:rFonts w:asciiTheme="majorHAnsi" w:hAnsiTheme="majorHAnsi" w:cstheme="majorHAnsi"/>
                <w:sz w:val="16"/>
                <w:szCs w:val="16"/>
              </w:rPr>
              <w:t xml:space="preserve">                          (34.974)</w:t>
            </w:r>
          </w:p>
        </w:tc>
        <w:tc>
          <w:tcPr>
            <w:tcW w:w="394" w:type="pct"/>
            <w:tcBorders>
              <w:top w:val="nil"/>
              <w:left w:val="nil"/>
              <w:bottom w:val="nil"/>
              <w:right w:val="nil"/>
            </w:tcBorders>
            <w:shd w:val="clear" w:color="auto" w:fill="auto"/>
            <w:noWrap/>
            <w:vAlign w:val="center"/>
            <w:hideMark/>
          </w:tcPr>
          <w:p w14:paraId="21BCA554" w14:textId="77777777" w:rsidR="00311E05" w:rsidRPr="00A75888" w:rsidRDefault="00311E05" w:rsidP="00C20033">
            <w:pPr>
              <w:jc w:val="center"/>
              <w:rPr>
                <w:rFonts w:asciiTheme="majorHAnsi" w:hAnsiTheme="majorHAnsi" w:cstheme="majorHAnsi"/>
                <w:sz w:val="16"/>
                <w:szCs w:val="16"/>
              </w:rPr>
            </w:pPr>
          </w:p>
        </w:tc>
      </w:tr>
      <w:tr w:rsidR="00311E05" w:rsidRPr="00A75888" w14:paraId="1CCC22B3" w14:textId="77777777" w:rsidTr="00311E05">
        <w:trPr>
          <w:trHeight w:hRule="exact" w:val="227"/>
        </w:trPr>
        <w:tc>
          <w:tcPr>
            <w:tcW w:w="2577" w:type="pct"/>
            <w:tcBorders>
              <w:top w:val="nil"/>
              <w:left w:val="nil"/>
              <w:bottom w:val="nil"/>
              <w:right w:val="nil"/>
            </w:tcBorders>
            <w:shd w:val="clear" w:color="auto" w:fill="auto"/>
            <w:noWrap/>
            <w:vAlign w:val="bottom"/>
            <w:hideMark/>
          </w:tcPr>
          <w:p w14:paraId="12ED4B06" w14:textId="77777777" w:rsidR="00311E05" w:rsidRPr="00A75888" w:rsidRDefault="00311E05" w:rsidP="00311E05">
            <w:pPr>
              <w:rPr>
                <w:rFonts w:asciiTheme="majorHAnsi" w:hAnsiTheme="majorHAnsi" w:cstheme="majorHAnsi"/>
                <w:sz w:val="16"/>
                <w:szCs w:val="16"/>
              </w:rPr>
            </w:pPr>
            <w:r w:rsidRPr="00A75888">
              <w:rPr>
                <w:rFonts w:asciiTheme="majorHAnsi" w:hAnsiTheme="majorHAnsi" w:cstheme="majorHAnsi"/>
                <w:sz w:val="16"/>
                <w:szCs w:val="16"/>
              </w:rPr>
              <w:t xml:space="preserve">            </w:t>
            </w:r>
            <w:r w:rsidRPr="00A75888">
              <w:rPr>
                <w:rFonts w:asciiTheme="majorHAnsi" w:hAnsiTheme="majorHAnsi" w:cstheme="majorHAnsi"/>
                <w:b/>
                <w:bCs/>
                <w:sz w:val="16"/>
                <w:szCs w:val="16"/>
              </w:rPr>
              <w:t>FIOL - Ferrovia de Integração Oeste Leste</w:t>
            </w:r>
          </w:p>
        </w:tc>
        <w:tc>
          <w:tcPr>
            <w:tcW w:w="1093" w:type="pct"/>
            <w:tcBorders>
              <w:top w:val="nil"/>
              <w:left w:val="nil"/>
              <w:bottom w:val="nil"/>
              <w:right w:val="nil"/>
            </w:tcBorders>
            <w:shd w:val="clear" w:color="auto" w:fill="auto"/>
            <w:noWrap/>
            <w:vAlign w:val="bottom"/>
            <w:hideMark/>
          </w:tcPr>
          <w:p w14:paraId="3463EEC3" w14:textId="77777777" w:rsidR="00311E05" w:rsidRPr="00A75888" w:rsidRDefault="00311E05" w:rsidP="00311E05">
            <w:pPr>
              <w:jc w:val="right"/>
              <w:rPr>
                <w:rFonts w:asciiTheme="majorHAnsi" w:hAnsiTheme="majorHAnsi" w:cstheme="majorHAnsi"/>
                <w:b/>
                <w:bCs/>
                <w:sz w:val="16"/>
                <w:szCs w:val="16"/>
              </w:rPr>
            </w:pPr>
            <w:r w:rsidRPr="00A75888">
              <w:rPr>
                <w:rFonts w:asciiTheme="majorHAnsi" w:hAnsiTheme="majorHAnsi" w:cstheme="majorHAnsi"/>
                <w:b/>
                <w:bCs/>
                <w:sz w:val="16"/>
                <w:szCs w:val="16"/>
              </w:rPr>
              <w:t xml:space="preserve">                 2.940.544.976 </w:t>
            </w:r>
          </w:p>
        </w:tc>
        <w:tc>
          <w:tcPr>
            <w:tcW w:w="936" w:type="pct"/>
            <w:tcBorders>
              <w:top w:val="nil"/>
              <w:left w:val="nil"/>
              <w:bottom w:val="nil"/>
              <w:right w:val="nil"/>
            </w:tcBorders>
            <w:shd w:val="clear" w:color="auto" w:fill="auto"/>
            <w:noWrap/>
            <w:vAlign w:val="bottom"/>
            <w:hideMark/>
          </w:tcPr>
          <w:p w14:paraId="78CB708C" w14:textId="77777777" w:rsidR="00311E05" w:rsidRPr="00A75888" w:rsidRDefault="00311E05" w:rsidP="00311E05">
            <w:pPr>
              <w:jc w:val="right"/>
              <w:rPr>
                <w:rFonts w:asciiTheme="majorHAnsi" w:hAnsiTheme="majorHAnsi" w:cstheme="majorHAnsi"/>
                <w:b/>
                <w:bCs/>
                <w:sz w:val="16"/>
                <w:szCs w:val="16"/>
              </w:rPr>
            </w:pPr>
            <w:r w:rsidRPr="00A75888">
              <w:rPr>
                <w:rFonts w:asciiTheme="majorHAnsi" w:hAnsiTheme="majorHAnsi" w:cstheme="majorHAnsi"/>
                <w:b/>
                <w:bCs/>
                <w:sz w:val="16"/>
                <w:szCs w:val="16"/>
              </w:rPr>
              <w:t xml:space="preserve">              2.674.948.289 </w:t>
            </w:r>
          </w:p>
        </w:tc>
        <w:tc>
          <w:tcPr>
            <w:tcW w:w="394" w:type="pct"/>
            <w:tcBorders>
              <w:top w:val="nil"/>
              <w:left w:val="nil"/>
              <w:bottom w:val="nil"/>
              <w:right w:val="nil"/>
            </w:tcBorders>
            <w:shd w:val="clear" w:color="auto" w:fill="auto"/>
            <w:noWrap/>
            <w:vAlign w:val="center"/>
            <w:hideMark/>
          </w:tcPr>
          <w:p w14:paraId="2FA9B687" w14:textId="77777777" w:rsidR="00311E05" w:rsidRPr="00A75888" w:rsidRDefault="00311E05" w:rsidP="00C20033">
            <w:pPr>
              <w:jc w:val="center"/>
              <w:rPr>
                <w:rFonts w:asciiTheme="majorHAnsi" w:hAnsiTheme="majorHAnsi" w:cstheme="majorHAnsi"/>
                <w:b/>
                <w:bCs/>
                <w:sz w:val="16"/>
                <w:szCs w:val="16"/>
              </w:rPr>
            </w:pPr>
          </w:p>
        </w:tc>
      </w:tr>
      <w:tr w:rsidR="00311E05" w:rsidRPr="00A75888" w14:paraId="5D189470" w14:textId="77777777" w:rsidTr="00311E05">
        <w:trPr>
          <w:trHeight w:hRule="exact" w:val="227"/>
        </w:trPr>
        <w:tc>
          <w:tcPr>
            <w:tcW w:w="2577" w:type="pct"/>
            <w:tcBorders>
              <w:top w:val="nil"/>
              <w:left w:val="nil"/>
              <w:bottom w:val="nil"/>
              <w:right w:val="nil"/>
            </w:tcBorders>
            <w:shd w:val="clear" w:color="auto" w:fill="auto"/>
            <w:noWrap/>
            <w:vAlign w:val="bottom"/>
            <w:hideMark/>
          </w:tcPr>
          <w:p w14:paraId="5E5BF5B5" w14:textId="77777777" w:rsidR="00311E05" w:rsidRPr="00A75888" w:rsidRDefault="00311E05" w:rsidP="00311E05">
            <w:pPr>
              <w:rPr>
                <w:rFonts w:asciiTheme="majorHAnsi" w:hAnsiTheme="majorHAnsi" w:cstheme="majorHAnsi"/>
                <w:sz w:val="16"/>
                <w:szCs w:val="16"/>
              </w:rPr>
            </w:pPr>
            <w:r w:rsidRPr="00A75888">
              <w:rPr>
                <w:rFonts w:asciiTheme="majorHAnsi" w:hAnsiTheme="majorHAnsi" w:cstheme="majorHAnsi"/>
                <w:sz w:val="16"/>
                <w:szCs w:val="16"/>
              </w:rPr>
              <w:t xml:space="preserve">                    Implantação de Ferrovias - FIOL</w:t>
            </w:r>
          </w:p>
        </w:tc>
        <w:tc>
          <w:tcPr>
            <w:tcW w:w="1093" w:type="pct"/>
            <w:tcBorders>
              <w:top w:val="nil"/>
              <w:left w:val="nil"/>
              <w:bottom w:val="nil"/>
              <w:right w:val="nil"/>
            </w:tcBorders>
            <w:shd w:val="clear" w:color="auto" w:fill="auto"/>
            <w:noWrap/>
            <w:vAlign w:val="bottom"/>
            <w:hideMark/>
          </w:tcPr>
          <w:p w14:paraId="08EE01F1" w14:textId="77777777" w:rsidR="00311E05" w:rsidRPr="00A75888" w:rsidRDefault="00311E05" w:rsidP="00311E05">
            <w:pPr>
              <w:jc w:val="right"/>
              <w:rPr>
                <w:rFonts w:asciiTheme="majorHAnsi" w:hAnsiTheme="majorHAnsi" w:cstheme="majorHAnsi"/>
                <w:sz w:val="16"/>
                <w:szCs w:val="16"/>
              </w:rPr>
            </w:pPr>
            <w:r w:rsidRPr="00A75888">
              <w:rPr>
                <w:rFonts w:asciiTheme="majorHAnsi" w:hAnsiTheme="majorHAnsi" w:cstheme="majorHAnsi"/>
                <w:sz w:val="16"/>
                <w:szCs w:val="16"/>
              </w:rPr>
              <w:t xml:space="preserve">                 2.245.534.867 </w:t>
            </w:r>
          </w:p>
        </w:tc>
        <w:tc>
          <w:tcPr>
            <w:tcW w:w="936" w:type="pct"/>
            <w:tcBorders>
              <w:top w:val="nil"/>
              <w:left w:val="nil"/>
              <w:bottom w:val="nil"/>
              <w:right w:val="nil"/>
            </w:tcBorders>
            <w:shd w:val="clear" w:color="auto" w:fill="auto"/>
            <w:noWrap/>
            <w:vAlign w:val="bottom"/>
            <w:hideMark/>
          </w:tcPr>
          <w:p w14:paraId="2DCD1E38" w14:textId="77777777" w:rsidR="00311E05" w:rsidRPr="00A75888" w:rsidRDefault="00311E05" w:rsidP="00311E05">
            <w:pPr>
              <w:jc w:val="right"/>
              <w:rPr>
                <w:rFonts w:asciiTheme="majorHAnsi" w:hAnsiTheme="majorHAnsi" w:cstheme="majorHAnsi"/>
                <w:sz w:val="16"/>
                <w:szCs w:val="16"/>
              </w:rPr>
            </w:pPr>
            <w:r w:rsidRPr="00A75888">
              <w:rPr>
                <w:rFonts w:asciiTheme="majorHAnsi" w:hAnsiTheme="majorHAnsi" w:cstheme="majorHAnsi"/>
                <w:sz w:val="16"/>
                <w:szCs w:val="16"/>
              </w:rPr>
              <w:t xml:space="preserve">              2.134.403.275 </w:t>
            </w:r>
          </w:p>
        </w:tc>
        <w:tc>
          <w:tcPr>
            <w:tcW w:w="394" w:type="pct"/>
            <w:tcBorders>
              <w:top w:val="nil"/>
              <w:left w:val="nil"/>
              <w:bottom w:val="nil"/>
              <w:right w:val="nil"/>
            </w:tcBorders>
            <w:shd w:val="clear" w:color="auto" w:fill="auto"/>
            <w:noWrap/>
            <w:vAlign w:val="center"/>
            <w:hideMark/>
          </w:tcPr>
          <w:p w14:paraId="310D0F81" w14:textId="77777777" w:rsidR="00311E05" w:rsidRPr="00A75888" w:rsidRDefault="00311E05" w:rsidP="00C20033">
            <w:pPr>
              <w:jc w:val="center"/>
              <w:rPr>
                <w:rFonts w:asciiTheme="majorHAnsi" w:hAnsiTheme="majorHAnsi" w:cstheme="majorHAnsi"/>
                <w:sz w:val="16"/>
                <w:szCs w:val="16"/>
              </w:rPr>
            </w:pPr>
          </w:p>
        </w:tc>
      </w:tr>
      <w:tr w:rsidR="00311E05" w:rsidRPr="00A75888" w14:paraId="318D9635" w14:textId="77777777" w:rsidTr="00311E05">
        <w:trPr>
          <w:trHeight w:hRule="exact" w:val="227"/>
        </w:trPr>
        <w:tc>
          <w:tcPr>
            <w:tcW w:w="2577" w:type="pct"/>
            <w:tcBorders>
              <w:top w:val="nil"/>
              <w:left w:val="nil"/>
              <w:bottom w:val="nil"/>
              <w:right w:val="nil"/>
            </w:tcBorders>
            <w:shd w:val="clear" w:color="auto" w:fill="auto"/>
            <w:noWrap/>
            <w:vAlign w:val="bottom"/>
            <w:hideMark/>
          </w:tcPr>
          <w:p w14:paraId="13037EF5" w14:textId="77777777" w:rsidR="00311E05" w:rsidRPr="00A75888" w:rsidRDefault="00311E05" w:rsidP="00311E05">
            <w:pPr>
              <w:rPr>
                <w:rFonts w:asciiTheme="majorHAnsi" w:hAnsiTheme="majorHAnsi" w:cstheme="majorHAnsi"/>
                <w:sz w:val="16"/>
                <w:szCs w:val="16"/>
              </w:rPr>
            </w:pPr>
            <w:r w:rsidRPr="00A75888">
              <w:rPr>
                <w:rFonts w:asciiTheme="majorHAnsi" w:hAnsiTheme="majorHAnsi" w:cstheme="majorHAnsi"/>
                <w:sz w:val="16"/>
                <w:szCs w:val="16"/>
              </w:rPr>
              <w:t xml:space="preserve">                    Estudos e Projetos - FIOL</w:t>
            </w:r>
          </w:p>
        </w:tc>
        <w:tc>
          <w:tcPr>
            <w:tcW w:w="1093" w:type="pct"/>
            <w:tcBorders>
              <w:top w:val="nil"/>
              <w:left w:val="nil"/>
              <w:bottom w:val="nil"/>
              <w:right w:val="nil"/>
            </w:tcBorders>
            <w:shd w:val="clear" w:color="auto" w:fill="auto"/>
            <w:noWrap/>
            <w:vAlign w:val="bottom"/>
            <w:hideMark/>
          </w:tcPr>
          <w:p w14:paraId="082A308F" w14:textId="77777777" w:rsidR="00311E05" w:rsidRPr="00A75888" w:rsidRDefault="00311E05" w:rsidP="00311E05">
            <w:pPr>
              <w:jc w:val="right"/>
              <w:rPr>
                <w:rFonts w:asciiTheme="majorHAnsi" w:hAnsiTheme="majorHAnsi" w:cstheme="majorHAnsi"/>
                <w:sz w:val="16"/>
                <w:szCs w:val="16"/>
              </w:rPr>
            </w:pPr>
            <w:r w:rsidRPr="00A75888">
              <w:rPr>
                <w:rFonts w:asciiTheme="majorHAnsi" w:hAnsiTheme="majorHAnsi" w:cstheme="majorHAnsi"/>
                <w:sz w:val="16"/>
                <w:szCs w:val="16"/>
              </w:rPr>
              <w:t xml:space="preserve">                            929.968 </w:t>
            </w:r>
          </w:p>
        </w:tc>
        <w:tc>
          <w:tcPr>
            <w:tcW w:w="936" w:type="pct"/>
            <w:tcBorders>
              <w:top w:val="nil"/>
              <w:left w:val="nil"/>
              <w:bottom w:val="nil"/>
              <w:right w:val="nil"/>
            </w:tcBorders>
            <w:shd w:val="clear" w:color="auto" w:fill="auto"/>
            <w:noWrap/>
            <w:vAlign w:val="bottom"/>
            <w:hideMark/>
          </w:tcPr>
          <w:p w14:paraId="5595903A" w14:textId="77777777" w:rsidR="00311E05" w:rsidRPr="00A75888" w:rsidRDefault="00311E05" w:rsidP="00311E05">
            <w:pPr>
              <w:jc w:val="right"/>
              <w:rPr>
                <w:rFonts w:asciiTheme="majorHAnsi" w:hAnsiTheme="majorHAnsi" w:cstheme="majorHAnsi"/>
                <w:sz w:val="16"/>
                <w:szCs w:val="16"/>
              </w:rPr>
            </w:pPr>
            <w:r w:rsidRPr="00A75888">
              <w:rPr>
                <w:rFonts w:asciiTheme="majorHAnsi" w:hAnsiTheme="majorHAnsi" w:cstheme="majorHAnsi"/>
                <w:sz w:val="16"/>
                <w:szCs w:val="16"/>
              </w:rPr>
              <w:t xml:space="preserve">                         640.741 </w:t>
            </w:r>
          </w:p>
        </w:tc>
        <w:tc>
          <w:tcPr>
            <w:tcW w:w="394" w:type="pct"/>
            <w:tcBorders>
              <w:top w:val="nil"/>
              <w:left w:val="nil"/>
              <w:bottom w:val="nil"/>
              <w:right w:val="nil"/>
            </w:tcBorders>
            <w:shd w:val="clear" w:color="auto" w:fill="auto"/>
            <w:noWrap/>
            <w:vAlign w:val="center"/>
            <w:hideMark/>
          </w:tcPr>
          <w:p w14:paraId="65CAD656" w14:textId="77777777" w:rsidR="00311E05" w:rsidRPr="00A75888" w:rsidRDefault="00311E05" w:rsidP="00C20033">
            <w:pPr>
              <w:jc w:val="center"/>
              <w:rPr>
                <w:rFonts w:asciiTheme="majorHAnsi" w:hAnsiTheme="majorHAnsi" w:cstheme="majorHAnsi"/>
                <w:sz w:val="16"/>
                <w:szCs w:val="16"/>
              </w:rPr>
            </w:pPr>
          </w:p>
        </w:tc>
      </w:tr>
      <w:tr w:rsidR="00311E05" w:rsidRPr="00A75888" w14:paraId="019AEFA8" w14:textId="77777777" w:rsidTr="00311E05">
        <w:trPr>
          <w:trHeight w:hRule="exact" w:val="227"/>
        </w:trPr>
        <w:tc>
          <w:tcPr>
            <w:tcW w:w="2577" w:type="pct"/>
            <w:tcBorders>
              <w:top w:val="nil"/>
              <w:left w:val="nil"/>
              <w:bottom w:val="nil"/>
              <w:right w:val="nil"/>
            </w:tcBorders>
            <w:shd w:val="clear" w:color="auto" w:fill="auto"/>
            <w:noWrap/>
            <w:vAlign w:val="bottom"/>
            <w:hideMark/>
          </w:tcPr>
          <w:p w14:paraId="1FC8377D" w14:textId="77777777" w:rsidR="00311E05" w:rsidRPr="00A75888" w:rsidRDefault="00311E05" w:rsidP="00311E05">
            <w:pPr>
              <w:rPr>
                <w:rFonts w:asciiTheme="majorHAnsi" w:hAnsiTheme="majorHAnsi" w:cstheme="majorHAnsi"/>
                <w:sz w:val="16"/>
                <w:szCs w:val="16"/>
              </w:rPr>
            </w:pPr>
            <w:r w:rsidRPr="00A75888">
              <w:rPr>
                <w:rFonts w:asciiTheme="majorHAnsi" w:hAnsiTheme="majorHAnsi" w:cstheme="majorHAnsi"/>
                <w:sz w:val="16"/>
                <w:szCs w:val="16"/>
              </w:rPr>
              <w:t xml:space="preserve">                    Impl. De Ferrovias - Investimento Cruzado - FIOL</w:t>
            </w:r>
          </w:p>
        </w:tc>
        <w:tc>
          <w:tcPr>
            <w:tcW w:w="1093" w:type="pct"/>
            <w:tcBorders>
              <w:top w:val="nil"/>
              <w:left w:val="nil"/>
              <w:bottom w:val="nil"/>
              <w:right w:val="nil"/>
            </w:tcBorders>
            <w:shd w:val="clear" w:color="auto" w:fill="auto"/>
            <w:noWrap/>
            <w:vAlign w:val="bottom"/>
            <w:hideMark/>
          </w:tcPr>
          <w:p w14:paraId="5F056DC8" w14:textId="77777777" w:rsidR="00311E05" w:rsidRPr="00A75888" w:rsidRDefault="00311E05" w:rsidP="00311E05">
            <w:pPr>
              <w:jc w:val="right"/>
              <w:rPr>
                <w:rFonts w:asciiTheme="majorHAnsi" w:hAnsiTheme="majorHAnsi" w:cstheme="majorHAnsi"/>
                <w:sz w:val="16"/>
                <w:szCs w:val="16"/>
              </w:rPr>
            </w:pPr>
            <w:r w:rsidRPr="00A75888">
              <w:rPr>
                <w:rFonts w:asciiTheme="majorHAnsi" w:hAnsiTheme="majorHAnsi" w:cstheme="majorHAnsi"/>
                <w:sz w:val="16"/>
                <w:szCs w:val="16"/>
              </w:rPr>
              <w:t xml:space="preserve">                     412.707.985 </w:t>
            </w:r>
          </w:p>
        </w:tc>
        <w:tc>
          <w:tcPr>
            <w:tcW w:w="936" w:type="pct"/>
            <w:tcBorders>
              <w:top w:val="nil"/>
              <w:left w:val="nil"/>
              <w:bottom w:val="nil"/>
              <w:right w:val="nil"/>
            </w:tcBorders>
            <w:shd w:val="clear" w:color="auto" w:fill="auto"/>
            <w:noWrap/>
            <w:vAlign w:val="bottom"/>
            <w:hideMark/>
          </w:tcPr>
          <w:p w14:paraId="6E517469" w14:textId="77777777" w:rsidR="00311E05" w:rsidRPr="00A75888" w:rsidRDefault="00311E05" w:rsidP="00311E05">
            <w:pPr>
              <w:jc w:val="right"/>
              <w:rPr>
                <w:rFonts w:asciiTheme="majorHAnsi" w:hAnsiTheme="majorHAnsi" w:cstheme="majorHAnsi"/>
                <w:sz w:val="16"/>
                <w:szCs w:val="16"/>
              </w:rPr>
            </w:pPr>
            <w:r w:rsidRPr="00A75888">
              <w:rPr>
                <w:rFonts w:asciiTheme="majorHAnsi" w:hAnsiTheme="majorHAnsi" w:cstheme="majorHAnsi"/>
                <w:sz w:val="16"/>
                <w:szCs w:val="16"/>
              </w:rPr>
              <w:t xml:space="preserve">                 258.532.118 </w:t>
            </w:r>
          </w:p>
        </w:tc>
        <w:tc>
          <w:tcPr>
            <w:tcW w:w="394" w:type="pct"/>
            <w:tcBorders>
              <w:top w:val="nil"/>
              <w:left w:val="nil"/>
              <w:bottom w:val="nil"/>
              <w:right w:val="nil"/>
            </w:tcBorders>
            <w:shd w:val="clear" w:color="auto" w:fill="auto"/>
            <w:noWrap/>
            <w:vAlign w:val="center"/>
            <w:hideMark/>
          </w:tcPr>
          <w:p w14:paraId="45EBC96B" w14:textId="77777777" w:rsidR="00311E05" w:rsidRPr="00A75888" w:rsidRDefault="00311E05" w:rsidP="00C20033">
            <w:pPr>
              <w:jc w:val="center"/>
              <w:rPr>
                <w:rFonts w:asciiTheme="majorHAnsi" w:hAnsiTheme="majorHAnsi" w:cstheme="majorHAnsi"/>
                <w:sz w:val="16"/>
                <w:szCs w:val="16"/>
              </w:rPr>
            </w:pPr>
          </w:p>
        </w:tc>
      </w:tr>
      <w:tr w:rsidR="00311E05" w:rsidRPr="00A75888" w14:paraId="693252D5" w14:textId="77777777" w:rsidTr="00311E05">
        <w:trPr>
          <w:trHeight w:hRule="exact" w:val="227"/>
        </w:trPr>
        <w:tc>
          <w:tcPr>
            <w:tcW w:w="2577" w:type="pct"/>
            <w:tcBorders>
              <w:top w:val="nil"/>
              <w:left w:val="nil"/>
              <w:bottom w:val="nil"/>
              <w:right w:val="nil"/>
            </w:tcBorders>
            <w:shd w:val="clear" w:color="auto" w:fill="auto"/>
            <w:noWrap/>
            <w:vAlign w:val="bottom"/>
            <w:hideMark/>
          </w:tcPr>
          <w:p w14:paraId="2FE8B515" w14:textId="77777777" w:rsidR="00311E05" w:rsidRPr="00A75888" w:rsidRDefault="00311E05" w:rsidP="00311E05">
            <w:pPr>
              <w:rPr>
                <w:rFonts w:asciiTheme="majorHAnsi" w:hAnsiTheme="majorHAnsi" w:cstheme="majorHAnsi"/>
                <w:sz w:val="16"/>
                <w:szCs w:val="16"/>
              </w:rPr>
            </w:pPr>
            <w:r w:rsidRPr="00A75888">
              <w:rPr>
                <w:rFonts w:asciiTheme="majorHAnsi" w:hAnsiTheme="majorHAnsi" w:cstheme="majorHAnsi"/>
                <w:sz w:val="16"/>
                <w:szCs w:val="16"/>
              </w:rPr>
              <w:t xml:space="preserve">                    Ativos de Concessão Imóveis - FIOL I</w:t>
            </w:r>
          </w:p>
        </w:tc>
        <w:tc>
          <w:tcPr>
            <w:tcW w:w="1093" w:type="pct"/>
            <w:tcBorders>
              <w:top w:val="nil"/>
              <w:left w:val="nil"/>
              <w:bottom w:val="nil"/>
              <w:right w:val="nil"/>
            </w:tcBorders>
            <w:shd w:val="clear" w:color="auto" w:fill="auto"/>
            <w:noWrap/>
            <w:vAlign w:val="bottom"/>
            <w:hideMark/>
          </w:tcPr>
          <w:p w14:paraId="0D77B130" w14:textId="77777777" w:rsidR="00311E05" w:rsidRPr="00A75888" w:rsidRDefault="00311E05" w:rsidP="00311E05">
            <w:pPr>
              <w:jc w:val="right"/>
              <w:rPr>
                <w:rFonts w:asciiTheme="majorHAnsi" w:hAnsiTheme="majorHAnsi" w:cstheme="majorHAnsi"/>
                <w:sz w:val="16"/>
                <w:szCs w:val="16"/>
              </w:rPr>
            </w:pPr>
            <w:r w:rsidRPr="00A75888">
              <w:rPr>
                <w:rFonts w:asciiTheme="majorHAnsi" w:hAnsiTheme="majorHAnsi" w:cstheme="majorHAnsi"/>
                <w:sz w:val="16"/>
                <w:szCs w:val="16"/>
              </w:rPr>
              <w:t xml:space="preserve">                 3.498.893.434 </w:t>
            </w:r>
          </w:p>
        </w:tc>
        <w:tc>
          <w:tcPr>
            <w:tcW w:w="936" w:type="pct"/>
            <w:tcBorders>
              <w:top w:val="nil"/>
              <w:left w:val="nil"/>
              <w:bottom w:val="nil"/>
              <w:right w:val="nil"/>
            </w:tcBorders>
            <w:shd w:val="clear" w:color="auto" w:fill="auto"/>
            <w:noWrap/>
            <w:vAlign w:val="bottom"/>
            <w:hideMark/>
          </w:tcPr>
          <w:p w14:paraId="43D53326" w14:textId="77777777" w:rsidR="00311E05" w:rsidRPr="00A75888" w:rsidRDefault="00311E05" w:rsidP="00311E05">
            <w:pPr>
              <w:jc w:val="right"/>
              <w:rPr>
                <w:rFonts w:asciiTheme="majorHAnsi" w:hAnsiTheme="majorHAnsi" w:cstheme="majorHAnsi"/>
                <w:sz w:val="16"/>
                <w:szCs w:val="16"/>
              </w:rPr>
            </w:pPr>
            <w:r w:rsidRPr="00A75888">
              <w:rPr>
                <w:rFonts w:asciiTheme="majorHAnsi" w:hAnsiTheme="majorHAnsi" w:cstheme="majorHAnsi"/>
                <w:sz w:val="16"/>
                <w:szCs w:val="16"/>
              </w:rPr>
              <w:t xml:space="preserve">              3.498.893.434 </w:t>
            </w:r>
          </w:p>
        </w:tc>
        <w:tc>
          <w:tcPr>
            <w:tcW w:w="394" w:type="pct"/>
            <w:tcBorders>
              <w:top w:val="nil"/>
              <w:left w:val="nil"/>
              <w:bottom w:val="nil"/>
              <w:right w:val="nil"/>
            </w:tcBorders>
            <w:shd w:val="clear" w:color="auto" w:fill="auto"/>
            <w:noWrap/>
            <w:vAlign w:val="center"/>
            <w:hideMark/>
          </w:tcPr>
          <w:p w14:paraId="65181D8B" w14:textId="77777777" w:rsidR="00311E05" w:rsidRPr="00A75888" w:rsidRDefault="00311E05" w:rsidP="00C20033">
            <w:pPr>
              <w:jc w:val="center"/>
              <w:rPr>
                <w:rFonts w:asciiTheme="majorHAnsi" w:hAnsiTheme="majorHAnsi" w:cstheme="majorHAnsi"/>
                <w:sz w:val="16"/>
                <w:szCs w:val="16"/>
              </w:rPr>
            </w:pPr>
          </w:p>
        </w:tc>
      </w:tr>
      <w:tr w:rsidR="00311E05" w:rsidRPr="00A75888" w14:paraId="5E8A426F" w14:textId="77777777" w:rsidTr="00311E05">
        <w:trPr>
          <w:trHeight w:hRule="exact" w:val="227"/>
        </w:trPr>
        <w:tc>
          <w:tcPr>
            <w:tcW w:w="2577" w:type="pct"/>
            <w:tcBorders>
              <w:top w:val="nil"/>
              <w:left w:val="nil"/>
              <w:bottom w:val="nil"/>
              <w:right w:val="nil"/>
            </w:tcBorders>
            <w:shd w:val="clear" w:color="auto" w:fill="auto"/>
            <w:noWrap/>
            <w:vAlign w:val="bottom"/>
            <w:hideMark/>
          </w:tcPr>
          <w:p w14:paraId="4AA0A073" w14:textId="77777777" w:rsidR="00311E05" w:rsidRPr="00A75888" w:rsidRDefault="00311E05" w:rsidP="00311E05">
            <w:pPr>
              <w:rPr>
                <w:rFonts w:asciiTheme="majorHAnsi" w:hAnsiTheme="majorHAnsi" w:cstheme="majorHAnsi"/>
                <w:sz w:val="16"/>
                <w:szCs w:val="16"/>
              </w:rPr>
            </w:pPr>
            <w:r w:rsidRPr="00A75888">
              <w:rPr>
                <w:rFonts w:asciiTheme="majorHAnsi" w:hAnsiTheme="majorHAnsi" w:cstheme="majorHAnsi"/>
                <w:sz w:val="16"/>
                <w:szCs w:val="16"/>
              </w:rPr>
              <w:t xml:space="preserve">                   (Redução ao Valor Recuperável -FIOL I )</w:t>
            </w:r>
          </w:p>
        </w:tc>
        <w:tc>
          <w:tcPr>
            <w:tcW w:w="1093" w:type="pct"/>
            <w:tcBorders>
              <w:top w:val="nil"/>
              <w:left w:val="nil"/>
              <w:bottom w:val="nil"/>
              <w:right w:val="nil"/>
            </w:tcBorders>
            <w:shd w:val="clear" w:color="auto" w:fill="auto"/>
            <w:noWrap/>
            <w:vAlign w:val="bottom"/>
            <w:hideMark/>
          </w:tcPr>
          <w:p w14:paraId="0F384B46" w14:textId="77777777" w:rsidR="00311E05" w:rsidRPr="00A75888" w:rsidRDefault="00311E05" w:rsidP="00311E05">
            <w:pPr>
              <w:jc w:val="right"/>
              <w:rPr>
                <w:rFonts w:asciiTheme="majorHAnsi" w:hAnsiTheme="majorHAnsi" w:cstheme="majorHAnsi"/>
                <w:sz w:val="16"/>
                <w:szCs w:val="16"/>
              </w:rPr>
            </w:pPr>
            <w:r w:rsidRPr="00A75888">
              <w:rPr>
                <w:rFonts w:asciiTheme="majorHAnsi" w:hAnsiTheme="majorHAnsi" w:cstheme="majorHAnsi"/>
                <w:sz w:val="16"/>
                <w:szCs w:val="16"/>
              </w:rPr>
              <w:t xml:space="preserve">               (3.217.521.279)</w:t>
            </w:r>
          </w:p>
        </w:tc>
        <w:tc>
          <w:tcPr>
            <w:tcW w:w="936" w:type="pct"/>
            <w:tcBorders>
              <w:top w:val="nil"/>
              <w:left w:val="nil"/>
              <w:bottom w:val="nil"/>
              <w:right w:val="nil"/>
            </w:tcBorders>
            <w:shd w:val="clear" w:color="auto" w:fill="auto"/>
            <w:noWrap/>
            <w:vAlign w:val="bottom"/>
            <w:hideMark/>
          </w:tcPr>
          <w:p w14:paraId="7DAC7AB1" w14:textId="77777777" w:rsidR="00311E05" w:rsidRPr="00A75888" w:rsidRDefault="00311E05" w:rsidP="00311E05">
            <w:pPr>
              <w:jc w:val="right"/>
              <w:rPr>
                <w:rFonts w:asciiTheme="majorHAnsi" w:hAnsiTheme="majorHAnsi" w:cstheme="majorHAnsi"/>
                <w:sz w:val="16"/>
                <w:szCs w:val="16"/>
              </w:rPr>
            </w:pPr>
            <w:r w:rsidRPr="00A75888">
              <w:rPr>
                <w:rFonts w:asciiTheme="majorHAnsi" w:hAnsiTheme="majorHAnsi" w:cstheme="majorHAnsi"/>
                <w:sz w:val="16"/>
                <w:szCs w:val="16"/>
              </w:rPr>
              <w:t xml:space="preserve">            (3.217.521.279)</w:t>
            </w:r>
          </w:p>
        </w:tc>
        <w:tc>
          <w:tcPr>
            <w:tcW w:w="394" w:type="pct"/>
            <w:tcBorders>
              <w:top w:val="nil"/>
              <w:left w:val="nil"/>
              <w:bottom w:val="nil"/>
              <w:right w:val="nil"/>
            </w:tcBorders>
            <w:shd w:val="clear" w:color="auto" w:fill="auto"/>
            <w:noWrap/>
            <w:vAlign w:val="center"/>
            <w:hideMark/>
          </w:tcPr>
          <w:p w14:paraId="5CEBD654" w14:textId="77777777" w:rsidR="00311E05" w:rsidRPr="00A75888" w:rsidRDefault="00311E05" w:rsidP="00C20033">
            <w:pPr>
              <w:jc w:val="center"/>
              <w:rPr>
                <w:rFonts w:asciiTheme="majorHAnsi" w:hAnsiTheme="majorHAnsi" w:cstheme="majorHAnsi"/>
                <w:sz w:val="16"/>
                <w:szCs w:val="16"/>
              </w:rPr>
            </w:pPr>
          </w:p>
        </w:tc>
      </w:tr>
      <w:tr w:rsidR="00311E05" w:rsidRPr="00A75888" w14:paraId="33822812" w14:textId="77777777" w:rsidTr="00311E05">
        <w:trPr>
          <w:trHeight w:hRule="exact" w:val="227"/>
        </w:trPr>
        <w:tc>
          <w:tcPr>
            <w:tcW w:w="2577" w:type="pct"/>
            <w:tcBorders>
              <w:top w:val="nil"/>
              <w:left w:val="nil"/>
              <w:bottom w:val="nil"/>
              <w:right w:val="nil"/>
            </w:tcBorders>
            <w:shd w:val="clear" w:color="auto" w:fill="auto"/>
            <w:noWrap/>
            <w:vAlign w:val="bottom"/>
            <w:hideMark/>
          </w:tcPr>
          <w:p w14:paraId="79238811" w14:textId="77777777" w:rsidR="00311E05" w:rsidRPr="00A75888" w:rsidRDefault="00311E05" w:rsidP="00311E05">
            <w:pPr>
              <w:rPr>
                <w:rFonts w:asciiTheme="majorHAnsi" w:hAnsiTheme="majorHAnsi" w:cstheme="majorHAnsi"/>
                <w:b/>
                <w:bCs/>
                <w:sz w:val="16"/>
                <w:szCs w:val="16"/>
              </w:rPr>
            </w:pPr>
            <w:r w:rsidRPr="00A75888">
              <w:rPr>
                <w:rFonts w:asciiTheme="majorHAnsi" w:hAnsiTheme="majorHAnsi" w:cstheme="majorHAnsi"/>
                <w:b/>
                <w:bCs/>
                <w:sz w:val="16"/>
                <w:szCs w:val="16"/>
              </w:rPr>
              <w:t xml:space="preserve">              Outros</w:t>
            </w:r>
          </w:p>
        </w:tc>
        <w:tc>
          <w:tcPr>
            <w:tcW w:w="1093" w:type="pct"/>
            <w:tcBorders>
              <w:top w:val="nil"/>
              <w:left w:val="nil"/>
              <w:bottom w:val="nil"/>
              <w:right w:val="nil"/>
            </w:tcBorders>
            <w:shd w:val="clear" w:color="auto" w:fill="auto"/>
            <w:noWrap/>
            <w:vAlign w:val="bottom"/>
            <w:hideMark/>
          </w:tcPr>
          <w:p w14:paraId="6327FC05" w14:textId="77777777" w:rsidR="00311E05" w:rsidRPr="00A75888" w:rsidRDefault="00311E05" w:rsidP="00311E05">
            <w:pPr>
              <w:jc w:val="right"/>
              <w:rPr>
                <w:rFonts w:asciiTheme="majorHAnsi" w:hAnsiTheme="majorHAnsi" w:cstheme="majorHAnsi"/>
                <w:b/>
                <w:bCs/>
                <w:sz w:val="16"/>
                <w:szCs w:val="16"/>
              </w:rPr>
            </w:pPr>
            <w:r w:rsidRPr="00A75888">
              <w:rPr>
                <w:rFonts w:asciiTheme="majorHAnsi" w:hAnsiTheme="majorHAnsi" w:cstheme="majorHAnsi"/>
                <w:b/>
                <w:bCs/>
                <w:sz w:val="16"/>
                <w:szCs w:val="16"/>
              </w:rPr>
              <w:t xml:space="preserve">                     209.978.524 </w:t>
            </w:r>
          </w:p>
        </w:tc>
        <w:tc>
          <w:tcPr>
            <w:tcW w:w="936" w:type="pct"/>
            <w:tcBorders>
              <w:top w:val="nil"/>
              <w:left w:val="nil"/>
              <w:bottom w:val="nil"/>
              <w:right w:val="nil"/>
            </w:tcBorders>
            <w:shd w:val="clear" w:color="auto" w:fill="auto"/>
            <w:noWrap/>
            <w:vAlign w:val="bottom"/>
            <w:hideMark/>
          </w:tcPr>
          <w:p w14:paraId="0FFC31CC" w14:textId="77777777" w:rsidR="00311E05" w:rsidRPr="00A75888" w:rsidRDefault="00311E05" w:rsidP="00311E05">
            <w:pPr>
              <w:jc w:val="right"/>
              <w:rPr>
                <w:rFonts w:asciiTheme="majorHAnsi" w:hAnsiTheme="majorHAnsi" w:cstheme="majorHAnsi"/>
                <w:b/>
                <w:bCs/>
                <w:sz w:val="16"/>
                <w:szCs w:val="16"/>
              </w:rPr>
            </w:pPr>
            <w:r w:rsidRPr="00A75888">
              <w:rPr>
                <w:rFonts w:asciiTheme="majorHAnsi" w:hAnsiTheme="majorHAnsi" w:cstheme="majorHAnsi"/>
                <w:b/>
                <w:bCs/>
                <w:sz w:val="16"/>
                <w:szCs w:val="16"/>
              </w:rPr>
              <w:t xml:space="preserve">                 170.842.803 </w:t>
            </w:r>
          </w:p>
        </w:tc>
        <w:tc>
          <w:tcPr>
            <w:tcW w:w="394" w:type="pct"/>
            <w:tcBorders>
              <w:top w:val="nil"/>
              <w:left w:val="nil"/>
              <w:bottom w:val="nil"/>
              <w:right w:val="nil"/>
            </w:tcBorders>
            <w:shd w:val="clear" w:color="auto" w:fill="auto"/>
            <w:noWrap/>
            <w:vAlign w:val="center"/>
            <w:hideMark/>
          </w:tcPr>
          <w:p w14:paraId="590F1AC0" w14:textId="77777777" w:rsidR="00311E05" w:rsidRPr="00A75888" w:rsidRDefault="00311E05" w:rsidP="00C20033">
            <w:pPr>
              <w:jc w:val="center"/>
              <w:rPr>
                <w:rFonts w:asciiTheme="majorHAnsi" w:hAnsiTheme="majorHAnsi" w:cstheme="majorHAnsi"/>
                <w:b/>
                <w:bCs/>
                <w:sz w:val="16"/>
                <w:szCs w:val="16"/>
              </w:rPr>
            </w:pPr>
          </w:p>
        </w:tc>
      </w:tr>
      <w:tr w:rsidR="00311E05" w:rsidRPr="00A75888" w14:paraId="352989BB" w14:textId="77777777" w:rsidTr="00311E05">
        <w:trPr>
          <w:trHeight w:hRule="exact" w:val="227"/>
        </w:trPr>
        <w:tc>
          <w:tcPr>
            <w:tcW w:w="2577" w:type="pct"/>
            <w:tcBorders>
              <w:top w:val="nil"/>
              <w:left w:val="nil"/>
              <w:bottom w:val="nil"/>
              <w:right w:val="nil"/>
            </w:tcBorders>
            <w:shd w:val="clear" w:color="auto" w:fill="auto"/>
            <w:noWrap/>
            <w:vAlign w:val="bottom"/>
            <w:hideMark/>
          </w:tcPr>
          <w:p w14:paraId="2347F8BB" w14:textId="77777777" w:rsidR="00311E05" w:rsidRPr="00A75888" w:rsidRDefault="00311E05" w:rsidP="00311E05">
            <w:pPr>
              <w:rPr>
                <w:rFonts w:asciiTheme="majorHAnsi" w:hAnsiTheme="majorHAnsi" w:cstheme="majorHAnsi"/>
                <w:sz w:val="16"/>
                <w:szCs w:val="16"/>
              </w:rPr>
            </w:pPr>
            <w:r w:rsidRPr="00A75888">
              <w:rPr>
                <w:rFonts w:asciiTheme="majorHAnsi" w:hAnsiTheme="majorHAnsi" w:cstheme="majorHAnsi"/>
                <w:sz w:val="16"/>
                <w:szCs w:val="16"/>
              </w:rPr>
              <w:t xml:space="preserve">                     Implantação de Ferrovias - FICO</w:t>
            </w:r>
          </w:p>
        </w:tc>
        <w:tc>
          <w:tcPr>
            <w:tcW w:w="1093" w:type="pct"/>
            <w:tcBorders>
              <w:top w:val="nil"/>
              <w:left w:val="nil"/>
              <w:bottom w:val="nil"/>
              <w:right w:val="nil"/>
            </w:tcBorders>
            <w:shd w:val="clear" w:color="auto" w:fill="auto"/>
            <w:noWrap/>
            <w:vAlign w:val="bottom"/>
            <w:hideMark/>
          </w:tcPr>
          <w:p w14:paraId="1B1DEEA2" w14:textId="77777777" w:rsidR="00311E05" w:rsidRPr="00A75888" w:rsidRDefault="00311E05" w:rsidP="00311E05">
            <w:pPr>
              <w:jc w:val="right"/>
              <w:rPr>
                <w:rFonts w:asciiTheme="majorHAnsi" w:hAnsiTheme="majorHAnsi" w:cstheme="majorHAnsi"/>
                <w:sz w:val="16"/>
                <w:szCs w:val="16"/>
              </w:rPr>
            </w:pPr>
            <w:r w:rsidRPr="00A75888">
              <w:rPr>
                <w:rFonts w:asciiTheme="majorHAnsi" w:hAnsiTheme="majorHAnsi" w:cstheme="majorHAnsi"/>
                <w:sz w:val="16"/>
                <w:szCs w:val="16"/>
              </w:rPr>
              <w:t xml:space="preserve">                         2.106.194 </w:t>
            </w:r>
          </w:p>
        </w:tc>
        <w:tc>
          <w:tcPr>
            <w:tcW w:w="936" w:type="pct"/>
            <w:tcBorders>
              <w:top w:val="nil"/>
              <w:left w:val="nil"/>
              <w:bottom w:val="nil"/>
              <w:right w:val="nil"/>
            </w:tcBorders>
            <w:shd w:val="clear" w:color="auto" w:fill="auto"/>
            <w:noWrap/>
            <w:vAlign w:val="bottom"/>
            <w:hideMark/>
          </w:tcPr>
          <w:p w14:paraId="66588861" w14:textId="77777777" w:rsidR="00311E05" w:rsidRPr="00A75888" w:rsidRDefault="00311E05" w:rsidP="00311E05">
            <w:pPr>
              <w:jc w:val="right"/>
              <w:rPr>
                <w:rFonts w:asciiTheme="majorHAnsi" w:hAnsiTheme="majorHAnsi" w:cstheme="majorHAnsi"/>
                <w:sz w:val="16"/>
                <w:szCs w:val="16"/>
              </w:rPr>
            </w:pPr>
            <w:r w:rsidRPr="00A75888">
              <w:rPr>
                <w:rFonts w:asciiTheme="majorHAnsi" w:hAnsiTheme="majorHAnsi" w:cstheme="majorHAnsi"/>
                <w:sz w:val="16"/>
                <w:szCs w:val="16"/>
              </w:rPr>
              <w:t xml:space="preserve">                         504.021 </w:t>
            </w:r>
          </w:p>
        </w:tc>
        <w:tc>
          <w:tcPr>
            <w:tcW w:w="394" w:type="pct"/>
            <w:tcBorders>
              <w:top w:val="nil"/>
              <w:left w:val="nil"/>
              <w:bottom w:val="nil"/>
              <w:right w:val="nil"/>
            </w:tcBorders>
            <w:shd w:val="clear" w:color="auto" w:fill="auto"/>
            <w:noWrap/>
            <w:vAlign w:val="center"/>
            <w:hideMark/>
          </w:tcPr>
          <w:p w14:paraId="6D74CEAC" w14:textId="77777777" w:rsidR="00311E05" w:rsidRPr="00A75888" w:rsidRDefault="00311E05" w:rsidP="00C20033">
            <w:pPr>
              <w:jc w:val="center"/>
              <w:rPr>
                <w:rFonts w:asciiTheme="majorHAnsi" w:hAnsiTheme="majorHAnsi" w:cstheme="majorHAnsi"/>
                <w:sz w:val="16"/>
                <w:szCs w:val="16"/>
              </w:rPr>
            </w:pPr>
          </w:p>
        </w:tc>
      </w:tr>
      <w:tr w:rsidR="00311E05" w:rsidRPr="00A75888" w14:paraId="53C4D35A" w14:textId="77777777" w:rsidTr="00311E05">
        <w:trPr>
          <w:trHeight w:hRule="exact" w:val="227"/>
        </w:trPr>
        <w:tc>
          <w:tcPr>
            <w:tcW w:w="2577" w:type="pct"/>
            <w:tcBorders>
              <w:top w:val="nil"/>
              <w:left w:val="nil"/>
              <w:bottom w:val="nil"/>
              <w:right w:val="nil"/>
            </w:tcBorders>
            <w:shd w:val="clear" w:color="auto" w:fill="auto"/>
            <w:noWrap/>
            <w:vAlign w:val="bottom"/>
            <w:hideMark/>
          </w:tcPr>
          <w:p w14:paraId="15959E7B" w14:textId="77777777" w:rsidR="00311E05" w:rsidRPr="00A75888" w:rsidRDefault="00311E05" w:rsidP="00311E05">
            <w:pPr>
              <w:rPr>
                <w:rFonts w:asciiTheme="majorHAnsi" w:hAnsiTheme="majorHAnsi" w:cstheme="majorHAnsi"/>
                <w:sz w:val="16"/>
                <w:szCs w:val="16"/>
              </w:rPr>
            </w:pPr>
            <w:r w:rsidRPr="00A75888">
              <w:rPr>
                <w:rFonts w:asciiTheme="majorHAnsi" w:hAnsiTheme="majorHAnsi" w:cstheme="majorHAnsi"/>
                <w:sz w:val="16"/>
                <w:szCs w:val="16"/>
              </w:rPr>
              <w:t xml:space="preserve">                     Impl. De Ferrovias - Investimento Cruzado - FICO</w:t>
            </w:r>
          </w:p>
        </w:tc>
        <w:tc>
          <w:tcPr>
            <w:tcW w:w="1093" w:type="pct"/>
            <w:tcBorders>
              <w:top w:val="nil"/>
              <w:left w:val="nil"/>
              <w:bottom w:val="nil"/>
              <w:right w:val="nil"/>
            </w:tcBorders>
            <w:shd w:val="clear" w:color="auto" w:fill="auto"/>
            <w:noWrap/>
            <w:vAlign w:val="bottom"/>
            <w:hideMark/>
          </w:tcPr>
          <w:p w14:paraId="27ED9C77" w14:textId="77777777" w:rsidR="00311E05" w:rsidRPr="00A75888" w:rsidRDefault="00311E05" w:rsidP="00311E05">
            <w:pPr>
              <w:jc w:val="right"/>
              <w:rPr>
                <w:rFonts w:asciiTheme="majorHAnsi" w:hAnsiTheme="majorHAnsi" w:cstheme="majorHAnsi"/>
                <w:sz w:val="16"/>
                <w:szCs w:val="16"/>
              </w:rPr>
            </w:pPr>
            <w:r w:rsidRPr="00A75888">
              <w:rPr>
                <w:rFonts w:asciiTheme="majorHAnsi" w:hAnsiTheme="majorHAnsi" w:cstheme="majorHAnsi"/>
                <w:sz w:val="16"/>
                <w:szCs w:val="16"/>
              </w:rPr>
              <w:t xml:space="preserve">                       42.905.194 </w:t>
            </w:r>
          </w:p>
        </w:tc>
        <w:tc>
          <w:tcPr>
            <w:tcW w:w="936" w:type="pct"/>
            <w:tcBorders>
              <w:top w:val="nil"/>
              <w:left w:val="nil"/>
              <w:bottom w:val="nil"/>
              <w:right w:val="nil"/>
            </w:tcBorders>
            <w:shd w:val="clear" w:color="auto" w:fill="auto"/>
            <w:noWrap/>
            <w:vAlign w:val="bottom"/>
            <w:hideMark/>
          </w:tcPr>
          <w:p w14:paraId="61985B84" w14:textId="77777777" w:rsidR="00311E05" w:rsidRPr="00A75888" w:rsidRDefault="00311E05" w:rsidP="00311E05">
            <w:pPr>
              <w:jc w:val="right"/>
              <w:rPr>
                <w:rFonts w:asciiTheme="majorHAnsi" w:hAnsiTheme="majorHAnsi" w:cstheme="majorHAnsi"/>
                <w:sz w:val="16"/>
                <w:szCs w:val="16"/>
              </w:rPr>
            </w:pPr>
            <w:r w:rsidRPr="00A75888">
              <w:rPr>
                <w:rFonts w:asciiTheme="majorHAnsi" w:hAnsiTheme="majorHAnsi" w:cstheme="majorHAnsi"/>
                <w:sz w:val="16"/>
                <w:szCs w:val="16"/>
              </w:rPr>
              <w:t xml:space="preserve">                      5.398.692 </w:t>
            </w:r>
          </w:p>
        </w:tc>
        <w:tc>
          <w:tcPr>
            <w:tcW w:w="394" w:type="pct"/>
            <w:tcBorders>
              <w:top w:val="nil"/>
              <w:left w:val="nil"/>
              <w:bottom w:val="nil"/>
              <w:right w:val="nil"/>
            </w:tcBorders>
            <w:shd w:val="clear" w:color="auto" w:fill="auto"/>
            <w:noWrap/>
            <w:vAlign w:val="center"/>
            <w:hideMark/>
          </w:tcPr>
          <w:p w14:paraId="2CFBD270" w14:textId="77777777" w:rsidR="00311E05" w:rsidRPr="00A75888" w:rsidRDefault="00311E05" w:rsidP="00C20033">
            <w:pPr>
              <w:jc w:val="center"/>
              <w:rPr>
                <w:rFonts w:asciiTheme="majorHAnsi" w:hAnsiTheme="majorHAnsi" w:cstheme="majorHAnsi"/>
                <w:sz w:val="16"/>
                <w:szCs w:val="16"/>
              </w:rPr>
            </w:pPr>
          </w:p>
        </w:tc>
      </w:tr>
      <w:tr w:rsidR="00311E05" w:rsidRPr="00A75888" w14:paraId="0CE8416D" w14:textId="77777777" w:rsidTr="00311E05">
        <w:trPr>
          <w:trHeight w:hRule="exact" w:val="227"/>
        </w:trPr>
        <w:tc>
          <w:tcPr>
            <w:tcW w:w="2577" w:type="pct"/>
            <w:tcBorders>
              <w:top w:val="nil"/>
              <w:left w:val="nil"/>
              <w:bottom w:val="nil"/>
              <w:right w:val="nil"/>
            </w:tcBorders>
            <w:shd w:val="clear" w:color="auto" w:fill="auto"/>
            <w:noWrap/>
            <w:vAlign w:val="bottom"/>
            <w:hideMark/>
          </w:tcPr>
          <w:p w14:paraId="40ECF42B" w14:textId="77777777" w:rsidR="00311E05" w:rsidRPr="00A75888" w:rsidRDefault="00311E05" w:rsidP="00311E05">
            <w:pPr>
              <w:rPr>
                <w:rFonts w:asciiTheme="majorHAnsi" w:hAnsiTheme="majorHAnsi" w:cstheme="majorHAnsi"/>
                <w:sz w:val="16"/>
                <w:szCs w:val="16"/>
              </w:rPr>
            </w:pPr>
            <w:r w:rsidRPr="00A75888">
              <w:rPr>
                <w:rFonts w:asciiTheme="majorHAnsi" w:hAnsiTheme="majorHAnsi" w:cstheme="majorHAnsi"/>
                <w:sz w:val="16"/>
                <w:szCs w:val="16"/>
              </w:rPr>
              <w:t xml:space="preserve">                     Estudos e Projetos - Outros</w:t>
            </w:r>
          </w:p>
        </w:tc>
        <w:tc>
          <w:tcPr>
            <w:tcW w:w="1093" w:type="pct"/>
            <w:tcBorders>
              <w:top w:val="nil"/>
              <w:left w:val="nil"/>
              <w:bottom w:val="nil"/>
              <w:right w:val="nil"/>
            </w:tcBorders>
            <w:shd w:val="clear" w:color="auto" w:fill="auto"/>
            <w:noWrap/>
            <w:vAlign w:val="bottom"/>
            <w:hideMark/>
          </w:tcPr>
          <w:p w14:paraId="5D5FF29B" w14:textId="77777777" w:rsidR="00311E05" w:rsidRPr="00A75888" w:rsidRDefault="00311E05" w:rsidP="00311E05">
            <w:pPr>
              <w:jc w:val="right"/>
              <w:rPr>
                <w:rFonts w:asciiTheme="majorHAnsi" w:hAnsiTheme="majorHAnsi" w:cstheme="majorHAnsi"/>
                <w:sz w:val="16"/>
                <w:szCs w:val="16"/>
              </w:rPr>
            </w:pPr>
            <w:r w:rsidRPr="00A75888">
              <w:rPr>
                <w:rFonts w:asciiTheme="majorHAnsi" w:hAnsiTheme="majorHAnsi" w:cstheme="majorHAnsi"/>
                <w:sz w:val="16"/>
                <w:szCs w:val="16"/>
              </w:rPr>
              <w:t xml:space="preserve">                     157.314.016 </w:t>
            </w:r>
          </w:p>
        </w:tc>
        <w:tc>
          <w:tcPr>
            <w:tcW w:w="936" w:type="pct"/>
            <w:tcBorders>
              <w:top w:val="nil"/>
              <w:left w:val="nil"/>
              <w:bottom w:val="nil"/>
              <w:right w:val="nil"/>
            </w:tcBorders>
            <w:shd w:val="clear" w:color="auto" w:fill="auto"/>
            <w:noWrap/>
            <w:vAlign w:val="bottom"/>
            <w:hideMark/>
          </w:tcPr>
          <w:p w14:paraId="44EB0E1B" w14:textId="77777777" w:rsidR="00311E05" w:rsidRPr="00A75888" w:rsidRDefault="00311E05" w:rsidP="00311E05">
            <w:pPr>
              <w:jc w:val="right"/>
              <w:rPr>
                <w:rFonts w:asciiTheme="majorHAnsi" w:hAnsiTheme="majorHAnsi" w:cstheme="majorHAnsi"/>
                <w:sz w:val="16"/>
                <w:szCs w:val="16"/>
              </w:rPr>
            </w:pPr>
            <w:r w:rsidRPr="00A75888">
              <w:rPr>
                <w:rFonts w:asciiTheme="majorHAnsi" w:hAnsiTheme="majorHAnsi" w:cstheme="majorHAnsi"/>
                <w:sz w:val="16"/>
                <w:szCs w:val="16"/>
              </w:rPr>
              <w:t xml:space="preserve">                 157.106.125 </w:t>
            </w:r>
          </w:p>
        </w:tc>
        <w:tc>
          <w:tcPr>
            <w:tcW w:w="394" w:type="pct"/>
            <w:tcBorders>
              <w:top w:val="nil"/>
              <w:left w:val="nil"/>
              <w:bottom w:val="nil"/>
              <w:right w:val="nil"/>
            </w:tcBorders>
            <w:shd w:val="clear" w:color="auto" w:fill="auto"/>
            <w:noWrap/>
            <w:vAlign w:val="center"/>
            <w:hideMark/>
          </w:tcPr>
          <w:p w14:paraId="08890DEF" w14:textId="77777777" w:rsidR="00311E05" w:rsidRPr="00A75888" w:rsidRDefault="00311E05" w:rsidP="00C20033">
            <w:pPr>
              <w:jc w:val="center"/>
              <w:rPr>
                <w:rFonts w:asciiTheme="majorHAnsi" w:hAnsiTheme="majorHAnsi" w:cstheme="majorHAnsi"/>
                <w:sz w:val="16"/>
                <w:szCs w:val="16"/>
              </w:rPr>
            </w:pPr>
          </w:p>
        </w:tc>
      </w:tr>
      <w:tr w:rsidR="00311E05" w:rsidRPr="00A75888" w14:paraId="22AFA125" w14:textId="77777777" w:rsidTr="00311E05">
        <w:trPr>
          <w:trHeight w:hRule="exact" w:val="227"/>
        </w:trPr>
        <w:tc>
          <w:tcPr>
            <w:tcW w:w="2577" w:type="pct"/>
            <w:tcBorders>
              <w:top w:val="nil"/>
              <w:left w:val="nil"/>
              <w:bottom w:val="nil"/>
              <w:right w:val="nil"/>
            </w:tcBorders>
            <w:shd w:val="clear" w:color="auto" w:fill="auto"/>
            <w:noWrap/>
            <w:vAlign w:val="bottom"/>
            <w:hideMark/>
          </w:tcPr>
          <w:p w14:paraId="45229D88" w14:textId="77777777" w:rsidR="00311E05" w:rsidRPr="00A75888" w:rsidRDefault="00311E05" w:rsidP="00311E05">
            <w:pPr>
              <w:rPr>
                <w:rFonts w:asciiTheme="majorHAnsi" w:hAnsiTheme="majorHAnsi" w:cstheme="majorHAnsi"/>
                <w:sz w:val="16"/>
                <w:szCs w:val="16"/>
              </w:rPr>
            </w:pPr>
            <w:r w:rsidRPr="00A75888">
              <w:rPr>
                <w:rFonts w:asciiTheme="majorHAnsi" w:hAnsiTheme="majorHAnsi" w:cstheme="majorHAnsi"/>
                <w:sz w:val="16"/>
                <w:szCs w:val="16"/>
              </w:rPr>
              <w:t xml:space="preserve">                     Ativo de Concessão Imóveis - Pátios</w:t>
            </w:r>
          </w:p>
        </w:tc>
        <w:tc>
          <w:tcPr>
            <w:tcW w:w="1093" w:type="pct"/>
            <w:tcBorders>
              <w:top w:val="nil"/>
              <w:left w:val="nil"/>
              <w:bottom w:val="nil"/>
              <w:right w:val="nil"/>
            </w:tcBorders>
            <w:shd w:val="clear" w:color="auto" w:fill="auto"/>
            <w:noWrap/>
            <w:vAlign w:val="bottom"/>
            <w:hideMark/>
          </w:tcPr>
          <w:p w14:paraId="5C024751" w14:textId="77777777" w:rsidR="00311E05" w:rsidRPr="00A75888" w:rsidRDefault="00311E05" w:rsidP="00311E05">
            <w:pPr>
              <w:jc w:val="right"/>
              <w:rPr>
                <w:rFonts w:asciiTheme="majorHAnsi" w:hAnsiTheme="majorHAnsi" w:cstheme="majorHAnsi"/>
                <w:sz w:val="16"/>
                <w:szCs w:val="16"/>
              </w:rPr>
            </w:pPr>
            <w:r w:rsidRPr="00A75888">
              <w:rPr>
                <w:rFonts w:asciiTheme="majorHAnsi" w:hAnsiTheme="majorHAnsi" w:cstheme="majorHAnsi"/>
                <w:sz w:val="16"/>
                <w:szCs w:val="16"/>
              </w:rPr>
              <w:t xml:space="preserve">                         9.009.461 </w:t>
            </w:r>
          </w:p>
        </w:tc>
        <w:tc>
          <w:tcPr>
            <w:tcW w:w="936" w:type="pct"/>
            <w:tcBorders>
              <w:top w:val="nil"/>
              <w:left w:val="nil"/>
              <w:bottom w:val="nil"/>
              <w:right w:val="nil"/>
            </w:tcBorders>
            <w:shd w:val="clear" w:color="auto" w:fill="auto"/>
            <w:noWrap/>
            <w:vAlign w:val="bottom"/>
            <w:hideMark/>
          </w:tcPr>
          <w:p w14:paraId="5E76D141" w14:textId="77777777" w:rsidR="00311E05" w:rsidRPr="00A75888" w:rsidRDefault="00311E05" w:rsidP="00311E05">
            <w:pPr>
              <w:jc w:val="right"/>
              <w:rPr>
                <w:rFonts w:asciiTheme="majorHAnsi" w:hAnsiTheme="majorHAnsi" w:cstheme="majorHAnsi"/>
                <w:sz w:val="16"/>
                <w:szCs w:val="16"/>
              </w:rPr>
            </w:pPr>
            <w:r w:rsidRPr="00A75888">
              <w:rPr>
                <w:rFonts w:asciiTheme="majorHAnsi" w:hAnsiTheme="majorHAnsi" w:cstheme="majorHAnsi"/>
                <w:sz w:val="16"/>
                <w:szCs w:val="16"/>
              </w:rPr>
              <w:t xml:space="preserve">                      9.009.461 </w:t>
            </w:r>
          </w:p>
        </w:tc>
        <w:tc>
          <w:tcPr>
            <w:tcW w:w="394" w:type="pct"/>
            <w:tcBorders>
              <w:top w:val="nil"/>
              <w:left w:val="nil"/>
              <w:bottom w:val="nil"/>
              <w:right w:val="nil"/>
            </w:tcBorders>
            <w:shd w:val="clear" w:color="auto" w:fill="auto"/>
            <w:noWrap/>
            <w:vAlign w:val="center"/>
            <w:hideMark/>
          </w:tcPr>
          <w:p w14:paraId="0F469ADC" w14:textId="77777777" w:rsidR="00311E05" w:rsidRPr="00A75888" w:rsidRDefault="00311E05" w:rsidP="00C20033">
            <w:pPr>
              <w:jc w:val="center"/>
              <w:rPr>
                <w:rFonts w:asciiTheme="majorHAnsi" w:hAnsiTheme="majorHAnsi" w:cstheme="majorHAnsi"/>
                <w:sz w:val="16"/>
                <w:szCs w:val="16"/>
              </w:rPr>
            </w:pPr>
          </w:p>
        </w:tc>
      </w:tr>
      <w:tr w:rsidR="00311E05" w:rsidRPr="00A75888" w14:paraId="76D4A5C1" w14:textId="77777777" w:rsidTr="00311E05">
        <w:trPr>
          <w:trHeight w:hRule="exact" w:val="227"/>
        </w:trPr>
        <w:tc>
          <w:tcPr>
            <w:tcW w:w="2577" w:type="pct"/>
            <w:tcBorders>
              <w:top w:val="nil"/>
              <w:left w:val="nil"/>
              <w:bottom w:val="nil"/>
              <w:right w:val="nil"/>
            </w:tcBorders>
            <w:shd w:val="clear" w:color="auto" w:fill="auto"/>
            <w:noWrap/>
            <w:vAlign w:val="bottom"/>
            <w:hideMark/>
          </w:tcPr>
          <w:p w14:paraId="46C5DD43" w14:textId="77777777" w:rsidR="00311E05" w:rsidRPr="00A75888" w:rsidRDefault="00311E05" w:rsidP="00311E05">
            <w:pPr>
              <w:rPr>
                <w:rFonts w:asciiTheme="majorHAnsi" w:hAnsiTheme="majorHAnsi" w:cstheme="majorHAnsi"/>
                <w:sz w:val="16"/>
                <w:szCs w:val="16"/>
              </w:rPr>
            </w:pPr>
            <w:r w:rsidRPr="00A75888">
              <w:rPr>
                <w:rFonts w:asciiTheme="majorHAnsi" w:hAnsiTheme="majorHAnsi" w:cstheme="majorHAnsi"/>
                <w:sz w:val="16"/>
                <w:szCs w:val="16"/>
              </w:rPr>
              <w:t xml:space="preserve">                    (Depreciações Acumuladas - Pátios)</w:t>
            </w:r>
          </w:p>
        </w:tc>
        <w:tc>
          <w:tcPr>
            <w:tcW w:w="1093" w:type="pct"/>
            <w:tcBorders>
              <w:top w:val="nil"/>
              <w:left w:val="nil"/>
              <w:bottom w:val="nil"/>
              <w:right w:val="nil"/>
            </w:tcBorders>
            <w:shd w:val="clear" w:color="auto" w:fill="auto"/>
            <w:noWrap/>
            <w:vAlign w:val="bottom"/>
            <w:hideMark/>
          </w:tcPr>
          <w:p w14:paraId="2FC61E7F" w14:textId="77777777" w:rsidR="00311E05" w:rsidRPr="00A75888" w:rsidRDefault="00311E05" w:rsidP="00311E05">
            <w:pPr>
              <w:jc w:val="right"/>
              <w:rPr>
                <w:rFonts w:asciiTheme="majorHAnsi" w:hAnsiTheme="majorHAnsi" w:cstheme="majorHAnsi"/>
                <w:sz w:val="16"/>
                <w:szCs w:val="16"/>
              </w:rPr>
            </w:pPr>
            <w:r w:rsidRPr="00A75888">
              <w:rPr>
                <w:rFonts w:asciiTheme="majorHAnsi" w:hAnsiTheme="majorHAnsi" w:cstheme="majorHAnsi"/>
                <w:sz w:val="16"/>
                <w:szCs w:val="16"/>
              </w:rPr>
              <w:t xml:space="preserve">                       (1.356.341)</w:t>
            </w:r>
          </w:p>
        </w:tc>
        <w:tc>
          <w:tcPr>
            <w:tcW w:w="936" w:type="pct"/>
            <w:tcBorders>
              <w:top w:val="nil"/>
              <w:left w:val="nil"/>
              <w:bottom w:val="nil"/>
              <w:right w:val="nil"/>
            </w:tcBorders>
            <w:shd w:val="clear" w:color="auto" w:fill="auto"/>
            <w:noWrap/>
            <w:vAlign w:val="bottom"/>
            <w:hideMark/>
          </w:tcPr>
          <w:p w14:paraId="5E8CA8BB" w14:textId="77777777" w:rsidR="00311E05" w:rsidRPr="00A75888" w:rsidRDefault="00311E05" w:rsidP="00311E05">
            <w:pPr>
              <w:jc w:val="right"/>
              <w:rPr>
                <w:rFonts w:asciiTheme="majorHAnsi" w:hAnsiTheme="majorHAnsi" w:cstheme="majorHAnsi"/>
                <w:sz w:val="16"/>
                <w:szCs w:val="16"/>
              </w:rPr>
            </w:pPr>
            <w:r w:rsidRPr="00A75888">
              <w:rPr>
                <w:rFonts w:asciiTheme="majorHAnsi" w:hAnsiTheme="majorHAnsi" w:cstheme="majorHAnsi"/>
                <w:sz w:val="16"/>
                <w:szCs w:val="16"/>
              </w:rPr>
              <w:t xml:space="preserve">                    (1.175.496)</w:t>
            </w:r>
          </w:p>
        </w:tc>
        <w:tc>
          <w:tcPr>
            <w:tcW w:w="394" w:type="pct"/>
            <w:tcBorders>
              <w:top w:val="nil"/>
              <w:left w:val="nil"/>
              <w:bottom w:val="nil"/>
              <w:right w:val="nil"/>
            </w:tcBorders>
            <w:shd w:val="clear" w:color="auto" w:fill="auto"/>
            <w:noWrap/>
            <w:vAlign w:val="center"/>
            <w:hideMark/>
          </w:tcPr>
          <w:p w14:paraId="5531E96C" w14:textId="77777777" w:rsidR="00311E05" w:rsidRPr="00A75888" w:rsidRDefault="00311E05" w:rsidP="00C20033">
            <w:pPr>
              <w:jc w:val="center"/>
              <w:rPr>
                <w:rFonts w:asciiTheme="majorHAnsi" w:hAnsiTheme="majorHAnsi" w:cstheme="majorHAnsi"/>
                <w:sz w:val="16"/>
                <w:szCs w:val="16"/>
              </w:rPr>
            </w:pPr>
          </w:p>
        </w:tc>
      </w:tr>
      <w:tr w:rsidR="00311E05" w:rsidRPr="00A75888" w14:paraId="52F65E2E" w14:textId="77777777" w:rsidTr="00311E05">
        <w:trPr>
          <w:trHeight w:hRule="exact" w:val="227"/>
        </w:trPr>
        <w:tc>
          <w:tcPr>
            <w:tcW w:w="2577" w:type="pct"/>
            <w:tcBorders>
              <w:top w:val="nil"/>
              <w:left w:val="nil"/>
              <w:bottom w:val="nil"/>
              <w:right w:val="nil"/>
            </w:tcBorders>
            <w:shd w:val="clear" w:color="auto" w:fill="auto"/>
            <w:noWrap/>
            <w:vAlign w:val="bottom"/>
            <w:hideMark/>
          </w:tcPr>
          <w:p w14:paraId="56E7CEEE" w14:textId="77777777" w:rsidR="00311E05" w:rsidRPr="00A75888" w:rsidRDefault="00311E05" w:rsidP="00311E05">
            <w:pPr>
              <w:rPr>
                <w:rFonts w:asciiTheme="majorHAnsi" w:hAnsiTheme="majorHAnsi" w:cstheme="majorHAnsi"/>
                <w:b/>
                <w:bCs/>
                <w:sz w:val="16"/>
                <w:szCs w:val="16"/>
              </w:rPr>
            </w:pPr>
            <w:r w:rsidRPr="00A75888">
              <w:rPr>
                <w:rFonts w:asciiTheme="majorHAnsi" w:hAnsiTheme="majorHAnsi" w:cstheme="majorHAnsi"/>
                <w:b/>
                <w:bCs/>
                <w:sz w:val="16"/>
                <w:szCs w:val="16"/>
              </w:rPr>
              <w:t xml:space="preserve">              Direito de Uso</w:t>
            </w:r>
          </w:p>
        </w:tc>
        <w:tc>
          <w:tcPr>
            <w:tcW w:w="1093" w:type="pct"/>
            <w:tcBorders>
              <w:top w:val="nil"/>
              <w:left w:val="nil"/>
              <w:bottom w:val="nil"/>
              <w:right w:val="nil"/>
            </w:tcBorders>
            <w:shd w:val="clear" w:color="auto" w:fill="auto"/>
            <w:noWrap/>
            <w:vAlign w:val="bottom"/>
            <w:hideMark/>
          </w:tcPr>
          <w:p w14:paraId="15FA5702" w14:textId="77777777" w:rsidR="00311E05" w:rsidRPr="00A75888" w:rsidRDefault="00311E05" w:rsidP="00311E05">
            <w:pPr>
              <w:jc w:val="right"/>
              <w:rPr>
                <w:rFonts w:asciiTheme="majorHAnsi" w:hAnsiTheme="majorHAnsi" w:cstheme="majorHAnsi"/>
                <w:b/>
                <w:bCs/>
                <w:sz w:val="16"/>
                <w:szCs w:val="16"/>
              </w:rPr>
            </w:pPr>
            <w:r w:rsidRPr="00A75888">
              <w:rPr>
                <w:rFonts w:asciiTheme="majorHAnsi" w:hAnsiTheme="majorHAnsi" w:cstheme="majorHAnsi"/>
                <w:b/>
                <w:bCs/>
                <w:sz w:val="16"/>
                <w:szCs w:val="16"/>
              </w:rPr>
              <w:t xml:space="preserve">                       12.731.099 </w:t>
            </w:r>
          </w:p>
        </w:tc>
        <w:tc>
          <w:tcPr>
            <w:tcW w:w="936" w:type="pct"/>
            <w:tcBorders>
              <w:top w:val="nil"/>
              <w:left w:val="nil"/>
              <w:bottom w:val="nil"/>
              <w:right w:val="nil"/>
            </w:tcBorders>
            <w:shd w:val="clear" w:color="auto" w:fill="auto"/>
            <w:noWrap/>
            <w:vAlign w:val="bottom"/>
            <w:hideMark/>
          </w:tcPr>
          <w:p w14:paraId="3FE89356" w14:textId="77777777" w:rsidR="00311E05" w:rsidRPr="00A75888" w:rsidRDefault="00311E05" w:rsidP="00311E05">
            <w:pPr>
              <w:jc w:val="right"/>
              <w:rPr>
                <w:rFonts w:asciiTheme="majorHAnsi" w:hAnsiTheme="majorHAnsi" w:cstheme="majorHAnsi"/>
                <w:b/>
                <w:bCs/>
                <w:sz w:val="16"/>
                <w:szCs w:val="16"/>
              </w:rPr>
            </w:pPr>
            <w:r w:rsidRPr="00A75888">
              <w:rPr>
                <w:rFonts w:asciiTheme="majorHAnsi" w:hAnsiTheme="majorHAnsi" w:cstheme="majorHAnsi"/>
                <w:b/>
                <w:bCs/>
                <w:sz w:val="16"/>
                <w:szCs w:val="16"/>
              </w:rPr>
              <w:t xml:space="preserve">                    21.671.300 </w:t>
            </w:r>
          </w:p>
        </w:tc>
        <w:tc>
          <w:tcPr>
            <w:tcW w:w="394" w:type="pct"/>
            <w:tcBorders>
              <w:top w:val="nil"/>
              <w:left w:val="nil"/>
              <w:bottom w:val="nil"/>
              <w:right w:val="nil"/>
            </w:tcBorders>
            <w:shd w:val="clear" w:color="auto" w:fill="auto"/>
            <w:noWrap/>
            <w:vAlign w:val="bottom"/>
            <w:hideMark/>
          </w:tcPr>
          <w:p w14:paraId="58691924" w14:textId="5FBC07F2" w:rsidR="00311E05" w:rsidRPr="00A75888" w:rsidRDefault="00311E05" w:rsidP="00C20033">
            <w:pPr>
              <w:jc w:val="center"/>
              <w:rPr>
                <w:rFonts w:asciiTheme="majorHAnsi" w:hAnsiTheme="majorHAnsi" w:cstheme="majorHAnsi"/>
                <w:sz w:val="16"/>
                <w:szCs w:val="16"/>
              </w:rPr>
            </w:pPr>
            <w:r w:rsidRPr="00A75888">
              <w:rPr>
                <w:rFonts w:asciiTheme="majorHAnsi" w:hAnsiTheme="majorHAnsi" w:cstheme="majorHAnsi"/>
                <w:sz w:val="16"/>
                <w:szCs w:val="16"/>
              </w:rPr>
              <w:t>(15)</w:t>
            </w:r>
          </w:p>
        </w:tc>
      </w:tr>
      <w:tr w:rsidR="00311E05" w:rsidRPr="00A75888" w14:paraId="047C07C0" w14:textId="77777777" w:rsidTr="00311E05">
        <w:trPr>
          <w:trHeight w:hRule="exact" w:val="227"/>
        </w:trPr>
        <w:tc>
          <w:tcPr>
            <w:tcW w:w="2577" w:type="pct"/>
            <w:tcBorders>
              <w:top w:val="nil"/>
              <w:left w:val="nil"/>
              <w:bottom w:val="nil"/>
              <w:right w:val="nil"/>
            </w:tcBorders>
            <w:shd w:val="clear" w:color="auto" w:fill="auto"/>
            <w:noWrap/>
            <w:vAlign w:val="bottom"/>
            <w:hideMark/>
          </w:tcPr>
          <w:p w14:paraId="5087FE53" w14:textId="77777777" w:rsidR="00311E05" w:rsidRPr="00A75888" w:rsidRDefault="00311E05" w:rsidP="00311E05">
            <w:pPr>
              <w:rPr>
                <w:rFonts w:asciiTheme="majorHAnsi" w:hAnsiTheme="majorHAnsi" w:cstheme="majorHAnsi"/>
                <w:sz w:val="16"/>
                <w:szCs w:val="16"/>
              </w:rPr>
            </w:pPr>
            <w:r w:rsidRPr="00A75888">
              <w:rPr>
                <w:rFonts w:asciiTheme="majorHAnsi" w:hAnsiTheme="majorHAnsi" w:cstheme="majorHAnsi"/>
                <w:sz w:val="16"/>
                <w:szCs w:val="16"/>
              </w:rPr>
              <w:t xml:space="preserve">                    Direito de Uso de Imóveis</w:t>
            </w:r>
          </w:p>
        </w:tc>
        <w:tc>
          <w:tcPr>
            <w:tcW w:w="1093" w:type="pct"/>
            <w:tcBorders>
              <w:top w:val="nil"/>
              <w:left w:val="nil"/>
              <w:bottom w:val="nil"/>
              <w:right w:val="nil"/>
            </w:tcBorders>
            <w:shd w:val="clear" w:color="auto" w:fill="auto"/>
            <w:noWrap/>
            <w:vAlign w:val="bottom"/>
            <w:hideMark/>
          </w:tcPr>
          <w:p w14:paraId="0C349A69" w14:textId="77777777" w:rsidR="00311E05" w:rsidRPr="00A75888" w:rsidRDefault="00311E05" w:rsidP="00311E05">
            <w:pPr>
              <w:jc w:val="right"/>
              <w:rPr>
                <w:rFonts w:asciiTheme="majorHAnsi" w:hAnsiTheme="majorHAnsi" w:cstheme="majorHAnsi"/>
                <w:sz w:val="16"/>
                <w:szCs w:val="16"/>
              </w:rPr>
            </w:pPr>
            <w:r w:rsidRPr="00A75888">
              <w:rPr>
                <w:rFonts w:asciiTheme="majorHAnsi" w:hAnsiTheme="majorHAnsi" w:cstheme="majorHAnsi"/>
                <w:sz w:val="16"/>
                <w:szCs w:val="16"/>
              </w:rPr>
              <w:t xml:space="preserve">                       13.955.607 </w:t>
            </w:r>
          </w:p>
        </w:tc>
        <w:tc>
          <w:tcPr>
            <w:tcW w:w="936" w:type="pct"/>
            <w:tcBorders>
              <w:top w:val="nil"/>
              <w:left w:val="nil"/>
              <w:bottom w:val="nil"/>
              <w:right w:val="nil"/>
            </w:tcBorders>
            <w:shd w:val="clear" w:color="auto" w:fill="auto"/>
            <w:noWrap/>
            <w:vAlign w:val="bottom"/>
            <w:hideMark/>
          </w:tcPr>
          <w:p w14:paraId="591462F8" w14:textId="77777777" w:rsidR="00311E05" w:rsidRPr="00A75888" w:rsidRDefault="00311E05" w:rsidP="00311E05">
            <w:pPr>
              <w:jc w:val="right"/>
              <w:rPr>
                <w:rFonts w:asciiTheme="majorHAnsi" w:hAnsiTheme="majorHAnsi" w:cstheme="majorHAnsi"/>
                <w:sz w:val="16"/>
                <w:szCs w:val="16"/>
              </w:rPr>
            </w:pPr>
            <w:r w:rsidRPr="00A75888">
              <w:rPr>
                <w:rFonts w:asciiTheme="majorHAnsi" w:hAnsiTheme="majorHAnsi" w:cstheme="majorHAnsi"/>
                <w:sz w:val="16"/>
                <w:szCs w:val="16"/>
              </w:rPr>
              <w:t xml:space="preserve">                    57.207.327 </w:t>
            </w:r>
          </w:p>
        </w:tc>
        <w:tc>
          <w:tcPr>
            <w:tcW w:w="394" w:type="pct"/>
            <w:tcBorders>
              <w:top w:val="nil"/>
              <w:left w:val="nil"/>
              <w:bottom w:val="nil"/>
              <w:right w:val="nil"/>
            </w:tcBorders>
            <w:shd w:val="clear" w:color="auto" w:fill="auto"/>
            <w:noWrap/>
            <w:vAlign w:val="center"/>
            <w:hideMark/>
          </w:tcPr>
          <w:p w14:paraId="7E25A01A" w14:textId="77777777" w:rsidR="00311E05" w:rsidRPr="00A75888" w:rsidRDefault="00311E05" w:rsidP="00C20033">
            <w:pPr>
              <w:jc w:val="center"/>
              <w:rPr>
                <w:rFonts w:asciiTheme="majorHAnsi" w:hAnsiTheme="majorHAnsi" w:cstheme="majorHAnsi"/>
                <w:sz w:val="16"/>
                <w:szCs w:val="16"/>
              </w:rPr>
            </w:pPr>
          </w:p>
        </w:tc>
      </w:tr>
      <w:tr w:rsidR="00311E05" w:rsidRPr="00A75888" w14:paraId="06FA204F" w14:textId="77777777" w:rsidTr="00311E05">
        <w:trPr>
          <w:trHeight w:hRule="exact" w:val="227"/>
        </w:trPr>
        <w:tc>
          <w:tcPr>
            <w:tcW w:w="2577" w:type="pct"/>
            <w:tcBorders>
              <w:top w:val="nil"/>
              <w:left w:val="nil"/>
              <w:bottom w:val="nil"/>
              <w:right w:val="nil"/>
            </w:tcBorders>
            <w:shd w:val="clear" w:color="auto" w:fill="auto"/>
            <w:noWrap/>
            <w:vAlign w:val="bottom"/>
            <w:hideMark/>
          </w:tcPr>
          <w:p w14:paraId="2541FF6F" w14:textId="0C340AD5" w:rsidR="00311E05" w:rsidRPr="00A75888" w:rsidRDefault="00311E05" w:rsidP="00311E05">
            <w:pPr>
              <w:rPr>
                <w:rFonts w:asciiTheme="majorHAnsi" w:hAnsiTheme="majorHAnsi" w:cstheme="majorHAnsi"/>
                <w:sz w:val="16"/>
                <w:szCs w:val="16"/>
              </w:rPr>
            </w:pPr>
            <w:r w:rsidRPr="00A75888">
              <w:rPr>
                <w:rFonts w:asciiTheme="majorHAnsi" w:hAnsiTheme="majorHAnsi" w:cstheme="majorHAnsi"/>
                <w:sz w:val="16"/>
                <w:szCs w:val="16"/>
              </w:rPr>
              <w:t xml:space="preserve">                    (Depreciação Acumulada - Direito de Uso)</w:t>
            </w:r>
          </w:p>
        </w:tc>
        <w:tc>
          <w:tcPr>
            <w:tcW w:w="1093" w:type="pct"/>
            <w:tcBorders>
              <w:top w:val="nil"/>
              <w:left w:val="nil"/>
              <w:bottom w:val="nil"/>
              <w:right w:val="nil"/>
            </w:tcBorders>
            <w:shd w:val="clear" w:color="auto" w:fill="auto"/>
            <w:noWrap/>
            <w:vAlign w:val="bottom"/>
            <w:hideMark/>
          </w:tcPr>
          <w:p w14:paraId="6FF0FF04" w14:textId="77777777" w:rsidR="00311E05" w:rsidRPr="00A75888" w:rsidRDefault="00311E05" w:rsidP="00311E05">
            <w:pPr>
              <w:jc w:val="right"/>
              <w:rPr>
                <w:rFonts w:asciiTheme="majorHAnsi" w:hAnsiTheme="majorHAnsi" w:cstheme="majorHAnsi"/>
                <w:sz w:val="16"/>
                <w:szCs w:val="16"/>
              </w:rPr>
            </w:pPr>
            <w:r w:rsidRPr="00A75888">
              <w:rPr>
                <w:rFonts w:asciiTheme="majorHAnsi" w:hAnsiTheme="majorHAnsi" w:cstheme="majorHAnsi"/>
                <w:sz w:val="16"/>
                <w:szCs w:val="16"/>
              </w:rPr>
              <w:t xml:space="preserve">                       (1.224.508)</w:t>
            </w:r>
          </w:p>
        </w:tc>
        <w:tc>
          <w:tcPr>
            <w:tcW w:w="936" w:type="pct"/>
            <w:tcBorders>
              <w:top w:val="nil"/>
              <w:left w:val="nil"/>
              <w:bottom w:val="nil"/>
              <w:right w:val="nil"/>
            </w:tcBorders>
            <w:shd w:val="clear" w:color="auto" w:fill="auto"/>
            <w:noWrap/>
            <w:vAlign w:val="bottom"/>
            <w:hideMark/>
          </w:tcPr>
          <w:p w14:paraId="0B74376A" w14:textId="77777777" w:rsidR="00311E05" w:rsidRPr="00A75888" w:rsidRDefault="00311E05" w:rsidP="00311E05">
            <w:pPr>
              <w:jc w:val="right"/>
              <w:rPr>
                <w:rFonts w:asciiTheme="majorHAnsi" w:hAnsiTheme="majorHAnsi" w:cstheme="majorHAnsi"/>
                <w:sz w:val="16"/>
                <w:szCs w:val="16"/>
              </w:rPr>
            </w:pPr>
            <w:r w:rsidRPr="00A75888">
              <w:rPr>
                <w:rFonts w:asciiTheme="majorHAnsi" w:hAnsiTheme="majorHAnsi" w:cstheme="majorHAnsi"/>
                <w:sz w:val="16"/>
                <w:szCs w:val="16"/>
              </w:rPr>
              <w:t xml:space="preserve">                  (35.536.027)</w:t>
            </w:r>
          </w:p>
        </w:tc>
        <w:tc>
          <w:tcPr>
            <w:tcW w:w="394" w:type="pct"/>
            <w:tcBorders>
              <w:top w:val="nil"/>
              <w:left w:val="nil"/>
              <w:bottom w:val="nil"/>
              <w:right w:val="nil"/>
            </w:tcBorders>
            <w:shd w:val="clear" w:color="auto" w:fill="auto"/>
            <w:noWrap/>
            <w:vAlign w:val="center"/>
            <w:hideMark/>
          </w:tcPr>
          <w:p w14:paraId="047E93D6" w14:textId="77777777" w:rsidR="00311E05" w:rsidRPr="00A75888" w:rsidRDefault="00311E05" w:rsidP="00C20033">
            <w:pPr>
              <w:jc w:val="center"/>
              <w:rPr>
                <w:rFonts w:asciiTheme="majorHAnsi" w:hAnsiTheme="majorHAnsi" w:cstheme="majorHAnsi"/>
                <w:sz w:val="16"/>
                <w:szCs w:val="16"/>
              </w:rPr>
            </w:pPr>
          </w:p>
        </w:tc>
      </w:tr>
      <w:tr w:rsidR="00311E05" w:rsidRPr="00A75888" w14:paraId="21944DE8" w14:textId="77777777" w:rsidTr="00311E05">
        <w:trPr>
          <w:trHeight w:hRule="exact" w:val="227"/>
        </w:trPr>
        <w:tc>
          <w:tcPr>
            <w:tcW w:w="2577" w:type="pct"/>
            <w:tcBorders>
              <w:top w:val="nil"/>
              <w:left w:val="nil"/>
              <w:bottom w:val="nil"/>
              <w:right w:val="nil"/>
            </w:tcBorders>
            <w:shd w:val="clear" w:color="auto" w:fill="auto"/>
            <w:noWrap/>
            <w:vAlign w:val="bottom"/>
            <w:hideMark/>
          </w:tcPr>
          <w:p w14:paraId="45638128" w14:textId="77777777" w:rsidR="00311E05" w:rsidRPr="00A75888" w:rsidRDefault="00311E05" w:rsidP="00311E05">
            <w:pPr>
              <w:rPr>
                <w:rFonts w:asciiTheme="majorHAnsi" w:hAnsiTheme="majorHAnsi" w:cstheme="majorHAnsi"/>
                <w:b/>
                <w:bCs/>
                <w:sz w:val="16"/>
                <w:szCs w:val="16"/>
              </w:rPr>
            </w:pPr>
            <w:r w:rsidRPr="00A75888">
              <w:rPr>
                <w:rFonts w:asciiTheme="majorHAnsi" w:hAnsiTheme="majorHAnsi" w:cstheme="majorHAnsi"/>
                <w:b/>
                <w:bCs/>
                <w:sz w:val="16"/>
                <w:szCs w:val="16"/>
              </w:rPr>
              <w:t xml:space="preserve">      Intangível</w:t>
            </w:r>
          </w:p>
        </w:tc>
        <w:tc>
          <w:tcPr>
            <w:tcW w:w="1093" w:type="pct"/>
            <w:tcBorders>
              <w:top w:val="nil"/>
              <w:left w:val="nil"/>
              <w:bottom w:val="nil"/>
              <w:right w:val="nil"/>
            </w:tcBorders>
            <w:shd w:val="clear" w:color="auto" w:fill="auto"/>
            <w:noWrap/>
            <w:vAlign w:val="bottom"/>
            <w:hideMark/>
          </w:tcPr>
          <w:p w14:paraId="155EAF3B" w14:textId="77777777" w:rsidR="00311E05" w:rsidRPr="00A75888" w:rsidRDefault="00311E05" w:rsidP="00311E05">
            <w:pPr>
              <w:jc w:val="right"/>
              <w:rPr>
                <w:rFonts w:asciiTheme="majorHAnsi" w:hAnsiTheme="majorHAnsi" w:cstheme="majorHAnsi"/>
                <w:b/>
                <w:bCs/>
                <w:sz w:val="16"/>
                <w:szCs w:val="16"/>
              </w:rPr>
            </w:pPr>
            <w:r w:rsidRPr="00A75888">
              <w:rPr>
                <w:rFonts w:asciiTheme="majorHAnsi" w:hAnsiTheme="majorHAnsi" w:cstheme="majorHAnsi"/>
                <w:b/>
                <w:bCs/>
                <w:sz w:val="16"/>
                <w:szCs w:val="16"/>
              </w:rPr>
              <w:t xml:space="preserve">                         1.844.769 </w:t>
            </w:r>
          </w:p>
        </w:tc>
        <w:tc>
          <w:tcPr>
            <w:tcW w:w="936" w:type="pct"/>
            <w:tcBorders>
              <w:top w:val="nil"/>
              <w:left w:val="nil"/>
              <w:bottom w:val="nil"/>
              <w:right w:val="nil"/>
            </w:tcBorders>
            <w:shd w:val="clear" w:color="auto" w:fill="auto"/>
            <w:noWrap/>
            <w:vAlign w:val="bottom"/>
            <w:hideMark/>
          </w:tcPr>
          <w:p w14:paraId="6C7519C9" w14:textId="77777777" w:rsidR="00311E05" w:rsidRPr="00A75888" w:rsidRDefault="00311E05" w:rsidP="00311E05">
            <w:pPr>
              <w:jc w:val="right"/>
              <w:rPr>
                <w:rFonts w:asciiTheme="majorHAnsi" w:hAnsiTheme="majorHAnsi" w:cstheme="majorHAnsi"/>
                <w:b/>
                <w:bCs/>
                <w:sz w:val="16"/>
                <w:szCs w:val="16"/>
              </w:rPr>
            </w:pPr>
            <w:r w:rsidRPr="00A75888">
              <w:rPr>
                <w:rFonts w:asciiTheme="majorHAnsi" w:hAnsiTheme="majorHAnsi" w:cstheme="majorHAnsi"/>
                <w:b/>
                <w:bCs/>
                <w:sz w:val="16"/>
                <w:szCs w:val="16"/>
              </w:rPr>
              <w:t xml:space="preserve">                      2.884.312 </w:t>
            </w:r>
          </w:p>
        </w:tc>
        <w:tc>
          <w:tcPr>
            <w:tcW w:w="394" w:type="pct"/>
            <w:tcBorders>
              <w:top w:val="nil"/>
              <w:left w:val="nil"/>
              <w:bottom w:val="nil"/>
              <w:right w:val="nil"/>
            </w:tcBorders>
            <w:shd w:val="clear" w:color="auto" w:fill="auto"/>
            <w:noWrap/>
            <w:vAlign w:val="bottom"/>
            <w:hideMark/>
          </w:tcPr>
          <w:p w14:paraId="636B2C6D" w14:textId="4B89B976" w:rsidR="00311E05" w:rsidRPr="00A75888" w:rsidRDefault="00311E05" w:rsidP="00C20033">
            <w:pPr>
              <w:jc w:val="center"/>
              <w:rPr>
                <w:rFonts w:asciiTheme="majorHAnsi" w:hAnsiTheme="majorHAnsi" w:cstheme="majorHAnsi"/>
                <w:sz w:val="16"/>
                <w:szCs w:val="16"/>
              </w:rPr>
            </w:pPr>
            <w:r w:rsidRPr="00A75888">
              <w:rPr>
                <w:rFonts w:asciiTheme="majorHAnsi" w:hAnsiTheme="majorHAnsi" w:cstheme="majorHAnsi"/>
                <w:sz w:val="16"/>
                <w:szCs w:val="16"/>
              </w:rPr>
              <w:t>(9)</w:t>
            </w:r>
          </w:p>
        </w:tc>
      </w:tr>
      <w:tr w:rsidR="00311E05" w:rsidRPr="00A75888" w14:paraId="514EA4A7" w14:textId="77777777" w:rsidTr="00311E05">
        <w:trPr>
          <w:trHeight w:hRule="exact" w:val="227"/>
        </w:trPr>
        <w:tc>
          <w:tcPr>
            <w:tcW w:w="2577" w:type="pct"/>
            <w:tcBorders>
              <w:top w:val="nil"/>
              <w:left w:val="nil"/>
              <w:bottom w:val="nil"/>
              <w:right w:val="nil"/>
            </w:tcBorders>
            <w:shd w:val="clear" w:color="auto" w:fill="auto"/>
            <w:noWrap/>
            <w:vAlign w:val="bottom"/>
            <w:hideMark/>
          </w:tcPr>
          <w:p w14:paraId="517D7DDE" w14:textId="77777777" w:rsidR="00311E05" w:rsidRPr="00A75888" w:rsidRDefault="00311E05" w:rsidP="00311E05">
            <w:pPr>
              <w:rPr>
                <w:rFonts w:asciiTheme="majorHAnsi" w:hAnsiTheme="majorHAnsi" w:cstheme="majorHAnsi"/>
                <w:sz w:val="16"/>
                <w:szCs w:val="16"/>
              </w:rPr>
            </w:pPr>
            <w:r w:rsidRPr="00A75888">
              <w:rPr>
                <w:rFonts w:asciiTheme="majorHAnsi" w:hAnsiTheme="majorHAnsi" w:cstheme="majorHAnsi"/>
                <w:sz w:val="16"/>
                <w:szCs w:val="16"/>
              </w:rPr>
              <w:t xml:space="preserve">               Direito de uso de Comunicação</w:t>
            </w:r>
          </w:p>
        </w:tc>
        <w:tc>
          <w:tcPr>
            <w:tcW w:w="1093" w:type="pct"/>
            <w:tcBorders>
              <w:top w:val="nil"/>
              <w:left w:val="nil"/>
              <w:bottom w:val="nil"/>
              <w:right w:val="nil"/>
            </w:tcBorders>
            <w:shd w:val="clear" w:color="auto" w:fill="auto"/>
            <w:noWrap/>
            <w:vAlign w:val="bottom"/>
            <w:hideMark/>
          </w:tcPr>
          <w:p w14:paraId="56529D84" w14:textId="77777777" w:rsidR="00311E05" w:rsidRPr="00A75888" w:rsidRDefault="00311E05" w:rsidP="00311E05">
            <w:pPr>
              <w:jc w:val="right"/>
              <w:rPr>
                <w:rFonts w:asciiTheme="majorHAnsi" w:hAnsiTheme="majorHAnsi" w:cstheme="majorHAnsi"/>
                <w:sz w:val="16"/>
                <w:szCs w:val="16"/>
              </w:rPr>
            </w:pPr>
            <w:r w:rsidRPr="00A75888">
              <w:rPr>
                <w:rFonts w:asciiTheme="majorHAnsi" w:hAnsiTheme="majorHAnsi" w:cstheme="majorHAnsi"/>
                <w:sz w:val="16"/>
                <w:szCs w:val="16"/>
              </w:rPr>
              <w:t xml:space="preserve">                            139.790 </w:t>
            </w:r>
          </w:p>
        </w:tc>
        <w:tc>
          <w:tcPr>
            <w:tcW w:w="936" w:type="pct"/>
            <w:tcBorders>
              <w:top w:val="nil"/>
              <w:left w:val="nil"/>
              <w:bottom w:val="nil"/>
              <w:right w:val="nil"/>
            </w:tcBorders>
            <w:shd w:val="clear" w:color="auto" w:fill="auto"/>
            <w:noWrap/>
            <w:vAlign w:val="bottom"/>
            <w:hideMark/>
          </w:tcPr>
          <w:p w14:paraId="3A71B210" w14:textId="77777777" w:rsidR="00311E05" w:rsidRPr="00A75888" w:rsidRDefault="00311E05" w:rsidP="00311E05">
            <w:pPr>
              <w:jc w:val="right"/>
              <w:rPr>
                <w:rFonts w:asciiTheme="majorHAnsi" w:hAnsiTheme="majorHAnsi" w:cstheme="majorHAnsi"/>
                <w:sz w:val="16"/>
                <w:szCs w:val="16"/>
              </w:rPr>
            </w:pPr>
            <w:r w:rsidRPr="00A75888">
              <w:rPr>
                <w:rFonts w:asciiTheme="majorHAnsi" w:hAnsiTheme="majorHAnsi" w:cstheme="majorHAnsi"/>
                <w:sz w:val="16"/>
                <w:szCs w:val="16"/>
              </w:rPr>
              <w:t xml:space="preserve">                         139.790 </w:t>
            </w:r>
          </w:p>
        </w:tc>
        <w:tc>
          <w:tcPr>
            <w:tcW w:w="394" w:type="pct"/>
            <w:tcBorders>
              <w:top w:val="nil"/>
              <w:left w:val="nil"/>
              <w:bottom w:val="nil"/>
              <w:right w:val="nil"/>
            </w:tcBorders>
            <w:shd w:val="clear" w:color="auto" w:fill="auto"/>
            <w:noWrap/>
            <w:vAlign w:val="center"/>
            <w:hideMark/>
          </w:tcPr>
          <w:p w14:paraId="36C8D2E0" w14:textId="77777777" w:rsidR="00311E05" w:rsidRPr="00A75888" w:rsidRDefault="00311E05" w:rsidP="00C20033">
            <w:pPr>
              <w:jc w:val="center"/>
              <w:rPr>
                <w:rFonts w:asciiTheme="majorHAnsi" w:hAnsiTheme="majorHAnsi" w:cstheme="majorHAnsi"/>
                <w:sz w:val="16"/>
                <w:szCs w:val="16"/>
              </w:rPr>
            </w:pPr>
          </w:p>
        </w:tc>
      </w:tr>
      <w:tr w:rsidR="00311E05" w:rsidRPr="00A75888" w14:paraId="12685A9B" w14:textId="77777777" w:rsidTr="00311E05">
        <w:trPr>
          <w:trHeight w:hRule="exact" w:val="227"/>
        </w:trPr>
        <w:tc>
          <w:tcPr>
            <w:tcW w:w="2577" w:type="pct"/>
            <w:tcBorders>
              <w:top w:val="nil"/>
              <w:left w:val="nil"/>
              <w:bottom w:val="nil"/>
              <w:right w:val="nil"/>
            </w:tcBorders>
            <w:shd w:val="clear" w:color="auto" w:fill="auto"/>
            <w:noWrap/>
            <w:vAlign w:val="bottom"/>
            <w:hideMark/>
          </w:tcPr>
          <w:p w14:paraId="510F8D3C" w14:textId="77777777" w:rsidR="00311E05" w:rsidRPr="00A75888" w:rsidRDefault="00311E05" w:rsidP="00311E05">
            <w:pPr>
              <w:rPr>
                <w:rFonts w:asciiTheme="majorHAnsi" w:hAnsiTheme="majorHAnsi" w:cstheme="majorHAnsi"/>
                <w:sz w:val="16"/>
                <w:szCs w:val="16"/>
              </w:rPr>
            </w:pPr>
            <w:r w:rsidRPr="00A75888">
              <w:rPr>
                <w:rFonts w:asciiTheme="majorHAnsi" w:hAnsiTheme="majorHAnsi" w:cstheme="majorHAnsi"/>
                <w:sz w:val="16"/>
                <w:szCs w:val="16"/>
              </w:rPr>
              <w:t xml:space="preserve">               Software</w:t>
            </w:r>
          </w:p>
        </w:tc>
        <w:tc>
          <w:tcPr>
            <w:tcW w:w="1093" w:type="pct"/>
            <w:tcBorders>
              <w:top w:val="nil"/>
              <w:left w:val="nil"/>
              <w:bottom w:val="nil"/>
              <w:right w:val="nil"/>
            </w:tcBorders>
            <w:shd w:val="clear" w:color="auto" w:fill="auto"/>
            <w:noWrap/>
            <w:vAlign w:val="bottom"/>
            <w:hideMark/>
          </w:tcPr>
          <w:p w14:paraId="5CAA0638" w14:textId="77777777" w:rsidR="00311E05" w:rsidRPr="00A75888" w:rsidRDefault="00311E05" w:rsidP="00311E05">
            <w:pPr>
              <w:jc w:val="right"/>
              <w:rPr>
                <w:rFonts w:asciiTheme="majorHAnsi" w:hAnsiTheme="majorHAnsi" w:cstheme="majorHAnsi"/>
                <w:sz w:val="16"/>
                <w:szCs w:val="16"/>
              </w:rPr>
            </w:pPr>
            <w:r w:rsidRPr="00A75888">
              <w:rPr>
                <w:rFonts w:asciiTheme="majorHAnsi" w:hAnsiTheme="majorHAnsi" w:cstheme="majorHAnsi"/>
                <w:sz w:val="16"/>
                <w:szCs w:val="16"/>
              </w:rPr>
              <w:t xml:space="preserve">                       11.731.207 </w:t>
            </w:r>
          </w:p>
        </w:tc>
        <w:tc>
          <w:tcPr>
            <w:tcW w:w="936" w:type="pct"/>
            <w:tcBorders>
              <w:top w:val="nil"/>
              <w:left w:val="nil"/>
              <w:bottom w:val="nil"/>
              <w:right w:val="nil"/>
            </w:tcBorders>
            <w:shd w:val="clear" w:color="auto" w:fill="auto"/>
            <w:noWrap/>
            <w:vAlign w:val="bottom"/>
            <w:hideMark/>
          </w:tcPr>
          <w:p w14:paraId="01BD80DE" w14:textId="77777777" w:rsidR="00311E05" w:rsidRPr="00A75888" w:rsidRDefault="00311E05" w:rsidP="00311E05">
            <w:pPr>
              <w:jc w:val="right"/>
              <w:rPr>
                <w:rFonts w:asciiTheme="majorHAnsi" w:hAnsiTheme="majorHAnsi" w:cstheme="majorHAnsi"/>
                <w:sz w:val="16"/>
                <w:szCs w:val="16"/>
              </w:rPr>
            </w:pPr>
            <w:r w:rsidRPr="00A75888">
              <w:rPr>
                <w:rFonts w:asciiTheme="majorHAnsi" w:hAnsiTheme="majorHAnsi" w:cstheme="majorHAnsi"/>
                <w:sz w:val="16"/>
                <w:szCs w:val="16"/>
              </w:rPr>
              <w:t xml:space="preserve">                    11.731.207 </w:t>
            </w:r>
          </w:p>
        </w:tc>
        <w:tc>
          <w:tcPr>
            <w:tcW w:w="394" w:type="pct"/>
            <w:tcBorders>
              <w:top w:val="nil"/>
              <w:left w:val="nil"/>
              <w:bottom w:val="nil"/>
              <w:right w:val="nil"/>
            </w:tcBorders>
            <w:shd w:val="clear" w:color="auto" w:fill="auto"/>
            <w:noWrap/>
            <w:vAlign w:val="center"/>
            <w:hideMark/>
          </w:tcPr>
          <w:p w14:paraId="5E05750D" w14:textId="77777777" w:rsidR="00311E05" w:rsidRPr="00A75888" w:rsidRDefault="00311E05" w:rsidP="00C20033">
            <w:pPr>
              <w:jc w:val="center"/>
              <w:rPr>
                <w:rFonts w:asciiTheme="majorHAnsi" w:hAnsiTheme="majorHAnsi" w:cstheme="majorHAnsi"/>
                <w:sz w:val="16"/>
                <w:szCs w:val="16"/>
              </w:rPr>
            </w:pPr>
          </w:p>
        </w:tc>
      </w:tr>
      <w:tr w:rsidR="00311E05" w:rsidRPr="00A75888" w14:paraId="71282330" w14:textId="77777777" w:rsidTr="00311E05">
        <w:trPr>
          <w:trHeight w:hRule="exact" w:val="227"/>
        </w:trPr>
        <w:tc>
          <w:tcPr>
            <w:tcW w:w="2577" w:type="pct"/>
            <w:tcBorders>
              <w:top w:val="nil"/>
              <w:left w:val="nil"/>
              <w:bottom w:val="nil"/>
              <w:right w:val="nil"/>
            </w:tcBorders>
            <w:shd w:val="clear" w:color="auto" w:fill="auto"/>
            <w:noWrap/>
            <w:vAlign w:val="bottom"/>
            <w:hideMark/>
          </w:tcPr>
          <w:p w14:paraId="48689F7C" w14:textId="77777777" w:rsidR="00311E05" w:rsidRPr="00A75888" w:rsidRDefault="00311E05" w:rsidP="00311E05">
            <w:pPr>
              <w:rPr>
                <w:rFonts w:asciiTheme="majorHAnsi" w:hAnsiTheme="majorHAnsi" w:cstheme="majorHAnsi"/>
                <w:sz w:val="16"/>
                <w:szCs w:val="16"/>
              </w:rPr>
            </w:pPr>
            <w:r w:rsidRPr="00A75888">
              <w:rPr>
                <w:rFonts w:asciiTheme="majorHAnsi" w:hAnsiTheme="majorHAnsi" w:cstheme="majorHAnsi"/>
                <w:sz w:val="16"/>
                <w:szCs w:val="16"/>
              </w:rPr>
              <w:t xml:space="preserve">               (Amortizações Acumuladas)</w:t>
            </w:r>
          </w:p>
        </w:tc>
        <w:tc>
          <w:tcPr>
            <w:tcW w:w="1093" w:type="pct"/>
            <w:tcBorders>
              <w:top w:val="nil"/>
              <w:left w:val="nil"/>
              <w:bottom w:val="nil"/>
              <w:right w:val="nil"/>
            </w:tcBorders>
            <w:shd w:val="clear" w:color="auto" w:fill="auto"/>
            <w:noWrap/>
            <w:vAlign w:val="bottom"/>
            <w:hideMark/>
          </w:tcPr>
          <w:p w14:paraId="70BB3435" w14:textId="77777777" w:rsidR="00311E05" w:rsidRPr="00A75888" w:rsidRDefault="00311E05" w:rsidP="00311E05">
            <w:pPr>
              <w:jc w:val="right"/>
              <w:rPr>
                <w:rFonts w:asciiTheme="majorHAnsi" w:hAnsiTheme="majorHAnsi" w:cstheme="majorHAnsi"/>
                <w:sz w:val="16"/>
                <w:szCs w:val="16"/>
              </w:rPr>
            </w:pPr>
            <w:r w:rsidRPr="00A75888">
              <w:rPr>
                <w:rFonts w:asciiTheme="majorHAnsi" w:hAnsiTheme="majorHAnsi" w:cstheme="majorHAnsi"/>
                <w:sz w:val="16"/>
                <w:szCs w:val="16"/>
              </w:rPr>
              <w:t xml:space="preserve">                     (10.026.229)</w:t>
            </w:r>
          </w:p>
        </w:tc>
        <w:tc>
          <w:tcPr>
            <w:tcW w:w="936" w:type="pct"/>
            <w:tcBorders>
              <w:top w:val="nil"/>
              <w:left w:val="nil"/>
              <w:bottom w:val="nil"/>
              <w:right w:val="nil"/>
            </w:tcBorders>
            <w:shd w:val="clear" w:color="auto" w:fill="auto"/>
            <w:noWrap/>
            <w:vAlign w:val="bottom"/>
            <w:hideMark/>
          </w:tcPr>
          <w:p w14:paraId="58CEBF20" w14:textId="77777777" w:rsidR="00311E05" w:rsidRPr="00A75888" w:rsidRDefault="00311E05" w:rsidP="00311E05">
            <w:pPr>
              <w:jc w:val="right"/>
              <w:rPr>
                <w:rFonts w:asciiTheme="majorHAnsi" w:hAnsiTheme="majorHAnsi" w:cstheme="majorHAnsi"/>
                <w:sz w:val="16"/>
                <w:szCs w:val="16"/>
              </w:rPr>
            </w:pPr>
            <w:r w:rsidRPr="00A75888">
              <w:rPr>
                <w:rFonts w:asciiTheme="majorHAnsi" w:hAnsiTheme="majorHAnsi" w:cstheme="majorHAnsi"/>
                <w:sz w:val="16"/>
                <w:szCs w:val="16"/>
              </w:rPr>
              <w:t xml:space="preserve">                    (8.986.685)</w:t>
            </w:r>
          </w:p>
        </w:tc>
        <w:tc>
          <w:tcPr>
            <w:tcW w:w="394" w:type="pct"/>
            <w:tcBorders>
              <w:top w:val="nil"/>
              <w:left w:val="nil"/>
              <w:bottom w:val="nil"/>
              <w:right w:val="nil"/>
            </w:tcBorders>
            <w:shd w:val="clear" w:color="auto" w:fill="auto"/>
            <w:noWrap/>
            <w:vAlign w:val="center"/>
            <w:hideMark/>
          </w:tcPr>
          <w:p w14:paraId="0E8721CB" w14:textId="77777777" w:rsidR="00311E05" w:rsidRPr="00A75888" w:rsidRDefault="00311E05" w:rsidP="00311E05">
            <w:pPr>
              <w:rPr>
                <w:rFonts w:asciiTheme="majorHAnsi" w:hAnsiTheme="majorHAnsi" w:cstheme="majorHAnsi"/>
                <w:sz w:val="16"/>
                <w:szCs w:val="16"/>
              </w:rPr>
            </w:pPr>
          </w:p>
        </w:tc>
      </w:tr>
      <w:tr w:rsidR="00311E05" w:rsidRPr="00A75888" w14:paraId="0C689048" w14:textId="77777777" w:rsidTr="00311E05">
        <w:trPr>
          <w:trHeight w:hRule="exact" w:val="227"/>
        </w:trPr>
        <w:tc>
          <w:tcPr>
            <w:tcW w:w="2577" w:type="pct"/>
            <w:tcBorders>
              <w:top w:val="nil"/>
              <w:left w:val="nil"/>
              <w:bottom w:val="nil"/>
              <w:right w:val="nil"/>
            </w:tcBorders>
            <w:shd w:val="clear" w:color="auto" w:fill="auto"/>
            <w:noWrap/>
            <w:vAlign w:val="bottom"/>
            <w:hideMark/>
          </w:tcPr>
          <w:p w14:paraId="2BDADC5A" w14:textId="77777777" w:rsidR="00311E05" w:rsidRPr="00A75888" w:rsidRDefault="00311E05" w:rsidP="00311E05">
            <w:pPr>
              <w:jc w:val="right"/>
              <w:rPr>
                <w:rFonts w:asciiTheme="majorHAnsi" w:hAnsiTheme="majorHAnsi" w:cstheme="majorHAnsi"/>
                <w:sz w:val="16"/>
                <w:szCs w:val="16"/>
              </w:rPr>
            </w:pPr>
          </w:p>
        </w:tc>
        <w:tc>
          <w:tcPr>
            <w:tcW w:w="1093" w:type="pct"/>
            <w:tcBorders>
              <w:top w:val="nil"/>
              <w:left w:val="nil"/>
              <w:bottom w:val="nil"/>
              <w:right w:val="nil"/>
            </w:tcBorders>
            <w:shd w:val="clear" w:color="auto" w:fill="auto"/>
            <w:noWrap/>
            <w:vAlign w:val="bottom"/>
            <w:hideMark/>
          </w:tcPr>
          <w:p w14:paraId="0644428A" w14:textId="77777777" w:rsidR="00311E05" w:rsidRPr="00A75888" w:rsidRDefault="00311E05" w:rsidP="00311E05">
            <w:pPr>
              <w:jc w:val="right"/>
              <w:rPr>
                <w:rFonts w:asciiTheme="majorHAnsi" w:hAnsiTheme="majorHAnsi" w:cstheme="majorHAnsi"/>
                <w:sz w:val="16"/>
                <w:szCs w:val="16"/>
              </w:rPr>
            </w:pPr>
          </w:p>
        </w:tc>
        <w:tc>
          <w:tcPr>
            <w:tcW w:w="936" w:type="pct"/>
            <w:tcBorders>
              <w:top w:val="nil"/>
              <w:left w:val="nil"/>
              <w:bottom w:val="nil"/>
              <w:right w:val="nil"/>
            </w:tcBorders>
            <w:shd w:val="clear" w:color="auto" w:fill="auto"/>
            <w:noWrap/>
            <w:vAlign w:val="bottom"/>
            <w:hideMark/>
          </w:tcPr>
          <w:p w14:paraId="03B95372" w14:textId="77777777" w:rsidR="00311E05" w:rsidRPr="00A75888" w:rsidRDefault="00311E05" w:rsidP="00311E05">
            <w:pPr>
              <w:rPr>
                <w:rFonts w:asciiTheme="majorHAnsi" w:hAnsiTheme="majorHAnsi" w:cstheme="majorHAnsi"/>
                <w:sz w:val="16"/>
                <w:szCs w:val="16"/>
              </w:rPr>
            </w:pPr>
          </w:p>
        </w:tc>
        <w:tc>
          <w:tcPr>
            <w:tcW w:w="394" w:type="pct"/>
            <w:tcBorders>
              <w:top w:val="nil"/>
              <w:left w:val="nil"/>
              <w:bottom w:val="nil"/>
              <w:right w:val="nil"/>
            </w:tcBorders>
            <w:shd w:val="clear" w:color="auto" w:fill="auto"/>
            <w:noWrap/>
            <w:vAlign w:val="center"/>
            <w:hideMark/>
          </w:tcPr>
          <w:p w14:paraId="77C2EF70" w14:textId="77777777" w:rsidR="00311E05" w:rsidRPr="00A75888" w:rsidRDefault="00311E05" w:rsidP="00311E05">
            <w:pPr>
              <w:rPr>
                <w:rFonts w:asciiTheme="majorHAnsi" w:hAnsiTheme="majorHAnsi" w:cstheme="majorHAnsi"/>
                <w:sz w:val="16"/>
                <w:szCs w:val="16"/>
              </w:rPr>
            </w:pPr>
          </w:p>
        </w:tc>
      </w:tr>
      <w:tr w:rsidR="00311E05" w:rsidRPr="00A75888" w14:paraId="0ECDC367" w14:textId="77777777" w:rsidTr="00311E05">
        <w:trPr>
          <w:trHeight w:hRule="exact" w:val="227"/>
        </w:trPr>
        <w:tc>
          <w:tcPr>
            <w:tcW w:w="2577" w:type="pct"/>
            <w:tcBorders>
              <w:top w:val="nil"/>
              <w:left w:val="nil"/>
              <w:bottom w:val="nil"/>
              <w:right w:val="nil"/>
            </w:tcBorders>
            <w:shd w:val="clear" w:color="auto" w:fill="auto"/>
            <w:noWrap/>
            <w:vAlign w:val="bottom"/>
            <w:hideMark/>
          </w:tcPr>
          <w:p w14:paraId="08972993" w14:textId="77777777" w:rsidR="00311E05" w:rsidRPr="00A75888" w:rsidRDefault="00311E05" w:rsidP="00311E05">
            <w:pPr>
              <w:rPr>
                <w:rFonts w:asciiTheme="majorHAnsi" w:hAnsiTheme="majorHAnsi" w:cstheme="majorHAnsi"/>
                <w:b/>
                <w:bCs/>
                <w:sz w:val="16"/>
                <w:szCs w:val="16"/>
              </w:rPr>
            </w:pPr>
            <w:r w:rsidRPr="00A75888">
              <w:rPr>
                <w:rFonts w:asciiTheme="majorHAnsi" w:hAnsiTheme="majorHAnsi" w:cstheme="majorHAnsi"/>
                <w:b/>
                <w:bCs/>
                <w:sz w:val="16"/>
                <w:szCs w:val="16"/>
              </w:rPr>
              <w:t>TOTAL DO ATIVO</w:t>
            </w:r>
          </w:p>
        </w:tc>
        <w:tc>
          <w:tcPr>
            <w:tcW w:w="1093" w:type="pct"/>
            <w:tcBorders>
              <w:top w:val="nil"/>
              <w:left w:val="nil"/>
              <w:bottom w:val="nil"/>
              <w:right w:val="nil"/>
            </w:tcBorders>
            <w:shd w:val="clear" w:color="auto" w:fill="auto"/>
            <w:noWrap/>
            <w:vAlign w:val="bottom"/>
            <w:hideMark/>
          </w:tcPr>
          <w:p w14:paraId="2A22A008" w14:textId="77777777" w:rsidR="00311E05" w:rsidRPr="00A75888" w:rsidRDefault="00311E05" w:rsidP="00311E05">
            <w:pPr>
              <w:jc w:val="right"/>
              <w:rPr>
                <w:rFonts w:asciiTheme="majorHAnsi" w:hAnsiTheme="majorHAnsi" w:cstheme="majorHAnsi"/>
                <w:b/>
                <w:bCs/>
                <w:sz w:val="16"/>
                <w:szCs w:val="16"/>
              </w:rPr>
            </w:pPr>
            <w:r w:rsidRPr="00A75888">
              <w:rPr>
                <w:rFonts w:asciiTheme="majorHAnsi" w:hAnsiTheme="majorHAnsi" w:cstheme="majorHAnsi"/>
                <w:b/>
                <w:bCs/>
                <w:sz w:val="16"/>
                <w:szCs w:val="16"/>
              </w:rPr>
              <w:t xml:space="preserve">                 4.721.965.653 </w:t>
            </w:r>
          </w:p>
        </w:tc>
        <w:tc>
          <w:tcPr>
            <w:tcW w:w="936" w:type="pct"/>
            <w:tcBorders>
              <w:top w:val="nil"/>
              <w:left w:val="nil"/>
              <w:bottom w:val="nil"/>
              <w:right w:val="nil"/>
            </w:tcBorders>
            <w:shd w:val="clear" w:color="auto" w:fill="auto"/>
            <w:noWrap/>
            <w:vAlign w:val="bottom"/>
            <w:hideMark/>
          </w:tcPr>
          <w:p w14:paraId="0D620C28" w14:textId="77777777" w:rsidR="00311E05" w:rsidRPr="00A75888" w:rsidRDefault="00311E05" w:rsidP="00311E05">
            <w:pPr>
              <w:jc w:val="right"/>
              <w:rPr>
                <w:rFonts w:asciiTheme="majorHAnsi" w:hAnsiTheme="majorHAnsi" w:cstheme="majorHAnsi"/>
                <w:b/>
                <w:bCs/>
                <w:sz w:val="16"/>
                <w:szCs w:val="16"/>
              </w:rPr>
            </w:pPr>
            <w:r w:rsidRPr="00A75888">
              <w:rPr>
                <w:rFonts w:asciiTheme="majorHAnsi" w:hAnsiTheme="majorHAnsi" w:cstheme="majorHAnsi"/>
                <w:b/>
                <w:bCs/>
                <w:sz w:val="16"/>
                <w:szCs w:val="16"/>
              </w:rPr>
              <w:t xml:space="preserve">              4.416.348.569 </w:t>
            </w:r>
          </w:p>
        </w:tc>
        <w:tc>
          <w:tcPr>
            <w:tcW w:w="394" w:type="pct"/>
            <w:tcBorders>
              <w:top w:val="nil"/>
              <w:left w:val="nil"/>
              <w:bottom w:val="nil"/>
              <w:right w:val="nil"/>
            </w:tcBorders>
            <w:shd w:val="clear" w:color="auto" w:fill="auto"/>
            <w:noWrap/>
            <w:vAlign w:val="center"/>
            <w:hideMark/>
          </w:tcPr>
          <w:p w14:paraId="05790552" w14:textId="77777777" w:rsidR="00311E05" w:rsidRPr="00A75888" w:rsidRDefault="00311E05" w:rsidP="00311E05">
            <w:pPr>
              <w:jc w:val="right"/>
              <w:rPr>
                <w:rFonts w:asciiTheme="majorHAnsi" w:hAnsiTheme="majorHAnsi" w:cstheme="majorHAnsi"/>
                <w:b/>
                <w:bCs/>
                <w:sz w:val="16"/>
                <w:szCs w:val="16"/>
              </w:rPr>
            </w:pPr>
          </w:p>
        </w:tc>
      </w:tr>
      <w:tr w:rsidR="00311E05" w:rsidRPr="00A75888" w14:paraId="29A9F487" w14:textId="77777777" w:rsidTr="00311E05">
        <w:trPr>
          <w:trHeight w:hRule="exact" w:val="227"/>
        </w:trPr>
        <w:tc>
          <w:tcPr>
            <w:tcW w:w="2577" w:type="pct"/>
            <w:tcBorders>
              <w:top w:val="nil"/>
              <w:left w:val="nil"/>
              <w:bottom w:val="nil"/>
              <w:right w:val="nil"/>
            </w:tcBorders>
            <w:shd w:val="clear" w:color="auto" w:fill="auto"/>
            <w:noWrap/>
            <w:vAlign w:val="bottom"/>
            <w:hideMark/>
          </w:tcPr>
          <w:p w14:paraId="06CE0B22" w14:textId="77777777" w:rsidR="00311E05" w:rsidRPr="00A75888" w:rsidRDefault="00311E05" w:rsidP="00311E05">
            <w:pPr>
              <w:jc w:val="right"/>
              <w:rPr>
                <w:rFonts w:asciiTheme="majorHAnsi" w:hAnsiTheme="majorHAnsi" w:cstheme="majorHAnsi"/>
                <w:sz w:val="16"/>
                <w:szCs w:val="16"/>
              </w:rPr>
            </w:pPr>
          </w:p>
        </w:tc>
        <w:tc>
          <w:tcPr>
            <w:tcW w:w="1093" w:type="pct"/>
            <w:tcBorders>
              <w:top w:val="nil"/>
              <w:left w:val="nil"/>
              <w:bottom w:val="nil"/>
              <w:right w:val="nil"/>
            </w:tcBorders>
            <w:shd w:val="clear" w:color="auto" w:fill="auto"/>
            <w:noWrap/>
            <w:vAlign w:val="bottom"/>
            <w:hideMark/>
          </w:tcPr>
          <w:p w14:paraId="298DBA1F" w14:textId="77777777" w:rsidR="00311E05" w:rsidRPr="00A75888" w:rsidRDefault="00311E05" w:rsidP="00311E05">
            <w:pPr>
              <w:rPr>
                <w:rFonts w:asciiTheme="majorHAnsi" w:hAnsiTheme="majorHAnsi" w:cstheme="majorHAnsi"/>
                <w:sz w:val="16"/>
                <w:szCs w:val="16"/>
              </w:rPr>
            </w:pPr>
          </w:p>
        </w:tc>
        <w:tc>
          <w:tcPr>
            <w:tcW w:w="936" w:type="pct"/>
            <w:tcBorders>
              <w:top w:val="nil"/>
              <w:left w:val="nil"/>
              <w:bottom w:val="nil"/>
              <w:right w:val="nil"/>
            </w:tcBorders>
            <w:shd w:val="clear" w:color="auto" w:fill="auto"/>
            <w:noWrap/>
            <w:vAlign w:val="bottom"/>
            <w:hideMark/>
          </w:tcPr>
          <w:p w14:paraId="3D29F587" w14:textId="77777777" w:rsidR="00311E05" w:rsidRPr="00A75888" w:rsidRDefault="00311E05" w:rsidP="00311E05">
            <w:pPr>
              <w:rPr>
                <w:rFonts w:asciiTheme="majorHAnsi" w:hAnsiTheme="majorHAnsi" w:cstheme="majorHAnsi"/>
                <w:sz w:val="16"/>
                <w:szCs w:val="16"/>
              </w:rPr>
            </w:pPr>
          </w:p>
        </w:tc>
        <w:tc>
          <w:tcPr>
            <w:tcW w:w="394" w:type="pct"/>
            <w:tcBorders>
              <w:top w:val="nil"/>
              <w:left w:val="nil"/>
              <w:bottom w:val="nil"/>
              <w:right w:val="nil"/>
            </w:tcBorders>
            <w:shd w:val="clear" w:color="auto" w:fill="auto"/>
            <w:noWrap/>
            <w:vAlign w:val="center"/>
            <w:hideMark/>
          </w:tcPr>
          <w:p w14:paraId="0DBD13B6" w14:textId="77777777" w:rsidR="00311E05" w:rsidRPr="00A75888" w:rsidRDefault="00311E05" w:rsidP="00311E05">
            <w:pPr>
              <w:jc w:val="right"/>
              <w:rPr>
                <w:rFonts w:asciiTheme="majorHAnsi" w:hAnsiTheme="majorHAnsi" w:cstheme="majorHAnsi"/>
                <w:sz w:val="16"/>
                <w:szCs w:val="16"/>
              </w:rPr>
            </w:pPr>
          </w:p>
        </w:tc>
      </w:tr>
      <w:tr w:rsidR="00311E05" w:rsidRPr="00A75888" w14:paraId="186870BB" w14:textId="77777777" w:rsidTr="00311E05">
        <w:trPr>
          <w:trHeight w:hRule="exact" w:val="227"/>
        </w:trPr>
        <w:tc>
          <w:tcPr>
            <w:tcW w:w="2577" w:type="pct"/>
            <w:tcBorders>
              <w:top w:val="nil"/>
              <w:left w:val="nil"/>
              <w:bottom w:val="nil"/>
              <w:right w:val="nil"/>
            </w:tcBorders>
            <w:shd w:val="clear" w:color="auto" w:fill="auto"/>
            <w:noWrap/>
            <w:vAlign w:val="bottom"/>
            <w:hideMark/>
          </w:tcPr>
          <w:p w14:paraId="7816967D" w14:textId="77777777" w:rsidR="00311E05" w:rsidRPr="00A75888" w:rsidRDefault="00311E05" w:rsidP="00311E05">
            <w:pPr>
              <w:jc w:val="right"/>
              <w:rPr>
                <w:rFonts w:asciiTheme="majorHAnsi" w:hAnsiTheme="majorHAnsi" w:cstheme="majorHAnsi"/>
                <w:sz w:val="16"/>
                <w:szCs w:val="16"/>
              </w:rPr>
            </w:pPr>
          </w:p>
        </w:tc>
        <w:tc>
          <w:tcPr>
            <w:tcW w:w="1093" w:type="pct"/>
            <w:tcBorders>
              <w:top w:val="nil"/>
              <w:left w:val="nil"/>
              <w:bottom w:val="nil"/>
              <w:right w:val="nil"/>
            </w:tcBorders>
            <w:shd w:val="clear" w:color="auto" w:fill="auto"/>
            <w:noWrap/>
            <w:vAlign w:val="bottom"/>
            <w:hideMark/>
          </w:tcPr>
          <w:p w14:paraId="15982323" w14:textId="77777777" w:rsidR="00311E05" w:rsidRPr="00A75888" w:rsidRDefault="00311E05" w:rsidP="00311E05">
            <w:pPr>
              <w:rPr>
                <w:rFonts w:asciiTheme="majorHAnsi" w:hAnsiTheme="majorHAnsi" w:cstheme="majorHAnsi"/>
                <w:sz w:val="16"/>
                <w:szCs w:val="16"/>
              </w:rPr>
            </w:pPr>
          </w:p>
        </w:tc>
        <w:tc>
          <w:tcPr>
            <w:tcW w:w="936" w:type="pct"/>
            <w:tcBorders>
              <w:top w:val="nil"/>
              <w:left w:val="nil"/>
              <w:bottom w:val="nil"/>
              <w:right w:val="nil"/>
            </w:tcBorders>
            <w:shd w:val="clear" w:color="auto" w:fill="auto"/>
            <w:noWrap/>
            <w:vAlign w:val="bottom"/>
            <w:hideMark/>
          </w:tcPr>
          <w:p w14:paraId="0888B495" w14:textId="77777777" w:rsidR="00311E05" w:rsidRPr="00A75888" w:rsidRDefault="00311E05" w:rsidP="00311E05">
            <w:pPr>
              <w:rPr>
                <w:rFonts w:asciiTheme="majorHAnsi" w:hAnsiTheme="majorHAnsi" w:cstheme="majorHAnsi"/>
                <w:sz w:val="16"/>
                <w:szCs w:val="16"/>
              </w:rPr>
            </w:pPr>
          </w:p>
        </w:tc>
        <w:tc>
          <w:tcPr>
            <w:tcW w:w="394" w:type="pct"/>
            <w:tcBorders>
              <w:top w:val="nil"/>
              <w:left w:val="nil"/>
              <w:bottom w:val="nil"/>
              <w:right w:val="nil"/>
            </w:tcBorders>
            <w:shd w:val="clear" w:color="auto" w:fill="auto"/>
            <w:noWrap/>
            <w:vAlign w:val="center"/>
            <w:hideMark/>
          </w:tcPr>
          <w:p w14:paraId="7F847AD0" w14:textId="77777777" w:rsidR="00311E05" w:rsidRPr="00A75888" w:rsidRDefault="00311E05" w:rsidP="00311E05">
            <w:pPr>
              <w:rPr>
                <w:rFonts w:asciiTheme="majorHAnsi" w:hAnsiTheme="majorHAnsi" w:cstheme="majorHAnsi"/>
                <w:sz w:val="16"/>
                <w:szCs w:val="16"/>
              </w:rPr>
            </w:pPr>
          </w:p>
        </w:tc>
      </w:tr>
      <w:tr w:rsidR="00311E05" w:rsidRPr="00A75888" w14:paraId="5A1BE6A9" w14:textId="77777777" w:rsidTr="00311E05">
        <w:trPr>
          <w:trHeight w:hRule="exact" w:val="227"/>
        </w:trPr>
        <w:tc>
          <w:tcPr>
            <w:tcW w:w="5000" w:type="pct"/>
            <w:gridSpan w:val="4"/>
            <w:tcBorders>
              <w:top w:val="nil"/>
              <w:left w:val="nil"/>
              <w:bottom w:val="nil"/>
              <w:right w:val="nil"/>
            </w:tcBorders>
            <w:shd w:val="clear" w:color="auto" w:fill="auto"/>
            <w:noWrap/>
            <w:vAlign w:val="bottom"/>
            <w:hideMark/>
          </w:tcPr>
          <w:p w14:paraId="79B97073" w14:textId="77777777" w:rsidR="00311E05" w:rsidRPr="00A75888" w:rsidRDefault="00311E05" w:rsidP="00311E05">
            <w:pPr>
              <w:jc w:val="center"/>
              <w:rPr>
                <w:rFonts w:asciiTheme="majorHAnsi" w:hAnsiTheme="majorHAnsi" w:cstheme="majorHAnsi"/>
                <w:sz w:val="16"/>
                <w:szCs w:val="16"/>
              </w:rPr>
            </w:pPr>
            <w:r w:rsidRPr="00A75888">
              <w:rPr>
                <w:rFonts w:asciiTheme="majorHAnsi" w:hAnsiTheme="majorHAnsi" w:cstheme="majorHAnsi"/>
                <w:sz w:val="16"/>
                <w:szCs w:val="16"/>
              </w:rPr>
              <w:t>(As Notas Explicativas são parte integrante das demonstrações contábeis intermediárias)</w:t>
            </w:r>
          </w:p>
        </w:tc>
      </w:tr>
    </w:tbl>
    <w:p w14:paraId="15E28815" w14:textId="6B47FD7D" w:rsidR="008E01DD" w:rsidRDefault="00FA32FD" w:rsidP="00917E9B">
      <w:pPr>
        <w:pStyle w:val="Ttulo1"/>
        <w:rPr>
          <w:rFonts w:ascii="Times New Roman" w:hAnsi="Times New Roman"/>
          <w:b w:val="0"/>
          <w:sz w:val="20"/>
        </w:rPr>
      </w:pPr>
      <w:r>
        <w:lastRenderedPageBreak/>
        <w:fldChar w:fldCharType="begin"/>
      </w:r>
      <w:r>
        <w:instrText xml:space="preserve"> LINK </w:instrText>
      </w:r>
      <w:r w:rsidR="008E01DD">
        <w:instrText xml:space="preserve">Excel.Sheet.12 "C:\\Users\\bruna.freitas\\Downloads\\DEMONSTRAÇÕES CONTABEIS 2º TRIMESTRE 2022.xlsx" ATIVO-JUN-22!L5C1:L77C4 </w:instrText>
      </w:r>
      <w:r>
        <w:instrText xml:space="preserve">\a \f 4 \h  \* MERGEFORMAT </w:instrText>
      </w:r>
      <w:r w:rsidR="008E01DD">
        <w:fldChar w:fldCharType="separate"/>
      </w:r>
    </w:p>
    <w:p w14:paraId="1FE029D9" w14:textId="17884FF7" w:rsidR="00444C41" w:rsidRDefault="00FA32FD" w:rsidP="00917E9B">
      <w:pPr>
        <w:pStyle w:val="Ttulo1"/>
        <w:rPr>
          <w:rFonts w:ascii="Calibri" w:hAnsi="Calibri" w:cs="Calibri"/>
          <w:szCs w:val="22"/>
        </w:rPr>
      </w:pPr>
      <w:r>
        <w:fldChar w:fldCharType="end"/>
      </w:r>
    </w:p>
    <w:tbl>
      <w:tblPr>
        <w:tblW w:w="4293" w:type="pct"/>
        <w:tblCellMar>
          <w:left w:w="70" w:type="dxa"/>
          <w:right w:w="70" w:type="dxa"/>
        </w:tblCellMar>
        <w:tblLook w:val="04A0" w:firstRow="1" w:lastRow="0" w:firstColumn="1" w:lastColumn="0" w:noHBand="0" w:noVBand="1"/>
      </w:tblPr>
      <w:tblGrid>
        <w:gridCol w:w="5102"/>
        <w:gridCol w:w="1717"/>
        <w:gridCol w:w="1544"/>
        <w:gridCol w:w="624"/>
      </w:tblGrid>
      <w:tr w:rsidR="0014651E" w:rsidRPr="0014651E" w14:paraId="505C27F0" w14:textId="77777777" w:rsidTr="00591E10">
        <w:trPr>
          <w:trHeight w:hRule="exact" w:val="227"/>
        </w:trPr>
        <w:tc>
          <w:tcPr>
            <w:tcW w:w="4999" w:type="pct"/>
            <w:gridSpan w:val="4"/>
            <w:tcBorders>
              <w:top w:val="nil"/>
              <w:left w:val="nil"/>
              <w:bottom w:val="nil"/>
              <w:right w:val="nil"/>
            </w:tcBorders>
            <w:shd w:val="clear" w:color="auto" w:fill="auto"/>
            <w:noWrap/>
            <w:vAlign w:val="bottom"/>
            <w:hideMark/>
          </w:tcPr>
          <w:p w14:paraId="77C15EBB" w14:textId="77777777" w:rsidR="0014651E" w:rsidRPr="0014651E" w:rsidRDefault="0014651E">
            <w:pPr>
              <w:jc w:val="center"/>
              <w:rPr>
                <w:rFonts w:asciiTheme="majorHAnsi" w:hAnsiTheme="majorHAnsi" w:cstheme="majorHAnsi"/>
                <w:b/>
                <w:bCs/>
                <w:sz w:val="16"/>
                <w:szCs w:val="16"/>
              </w:rPr>
            </w:pPr>
            <w:r w:rsidRPr="0014651E">
              <w:rPr>
                <w:rFonts w:asciiTheme="majorHAnsi" w:hAnsiTheme="majorHAnsi" w:cstheme="majorHAnsi"/>
                <w:b/>
                <w:bCs/>
                <w:sz w:val="16"/>
                <w:szCs w:val="16"/>
              </w:rPr>
              <w:t>VALEC ENGENHARIA, CONSTRUÇÕES E FERROVIAS S/A</w:t>
            </w:r>
          </w:p>
        </w:tc>
      </w:tr>
      <w:tr w:rsidR="0014651E" w:rsidRPr="0014651E" w14:paraId="7881C158" w14:textId="77777777" w:rsidTr="00591E10">
        <w:trPr>
          <w:trHeight w:hRule="exact" w:val="227"/>
        </w:trPr>
        <w:tc>
          <w:tcPr>
            <w:tcW w:w="4999" w:type="pct"/>
            <w:gridSpan w:val="4"/>
            <w:tcBorders>
              <w:top w:val="nil"/>
              <w:left w:val="nil"/>
              <w:bottom w:val="nil"/>
              <w:right w:val="nil"/>
            </w:tcBorders>
            <w:shd w:val="clear" w:color="auto" w:fill="auto"/>
            <w:noWrap/>
            <w:vAlign w:val="bottom"/>
            <w:hideMark/>
          </w:tcPr>
          <w:p w14:paraId="7A7513B3" w14:textId="77777777" w:rsidR="0014651E" w:rsidRPr="0014651E" w:rsidRDefault="0014651E">
            <w:pPr>
              <w:jc w:val="center"/>
              <w:rPr>
                <w:rFonts w:asciiTheme="majorHAnsi" w:hAnsiTheme="majorHAnsi" w:cstheme="majorHAnsi"/>
                <w:b/>
                <w:bCs/>
                <w:sz w:val="16"/>
                <w:szCs w:val="16"/>
              </w:rPr>
            </w:pPr>
            <w:r w:rsidRPr="0014651E">
              <w:rPr>
                <w:rFonts w:asciiTheme="majorHAnsi" w:hAnsiTheme="majorHAnsi" w:cstheme="majorHAnsi"/>
                <w:b/>
                <w:bCs/>
                <w:sz w:val="16"/>
                <w:szCs w:val="16"/>
              </w:rPr>
              <w:t>BALANÇO PATRIMONIAL</w:t>
            </w:r>
          </w:p>
        </w:tc>
      </w:tr>
      <w:tr w:rsidR="0014651E" w:rsidRPr="0014651E" w14:paraId="3F595FA1" w14:textId="77777777" w:rsidTr="00591E10">
        <w:trPr>
          <w:trHeight w:hRule="exact" w:val="227"/>
        </w:trPr>
        <w:tc>
          <w:tcPr>
            <w:tcW w:w="4999" w:type="pct"/>
            <w:gridSpan w:val="4"/>
            <w:tcBorders>
              <w:top w:val="nil"/>
              <w:left w:val="nil"/>
              <w:bottom w:val="nil"/>
              <w:right w:val="nil"/>
            </w:tcBorders>
            <w:shd w:val="clear" w:color="auto" w:fill="auto"/>
            <w:noWrap/>
            <w:vAlign w:val="bottom"/>
            <w:hideMark/>
          </w:tcPr>
          <w:p w14:paraId="75844A3E" w14:textId="77777777" w:rsidR="0014651E" w:rsidRDefault="0014651E">
            <w:pPr>
              <w:jc w:val="center"/>
              <w:rPr>
                <w:rFonts w:asciiTheme="majorHAnsi" w:hAnsiTheme="majorHAnsi" w:cstheme="majorHAnsi"/>
                <w:b/>
                <w:bCs/>
                <w:sz w:val="16"/>
                <w:szCs w:val="16"/>
              </w:rPr>
            </w:pPr>
            <w:r w:rsidRPr="0014651E">
              <w:rPr>
                <w:rFonts w:asciiTheme="majorHAnsi" w:hAnsiTheme="majorHAnsi" w:cstheme="majorHAnsi"/>
                <w:b/>
                <w:bCs/>
                <w:sz w:val="16"/>
                <w:szCs w:val="16"/>
              </w:rPr>
              <w:t>2º TRIMESTRE 2022</w:t>
            </w:r>
          </w:p>
          <w:p w14:paraId="24E34EF9" w14:textId="0C56B5AC" w:rsidR="00591E10" w:rsidRPr="0014651E" w:rsidRDefault="00591E10">
            <w:pPr>
              <w:jc w:val="center"/>
              <w:rPr>
                <w:rFonts w:asciiTheme="majorHAnsi" w:hAnsiTheme="majorHAnsi" w:cstheme="majorHAnsi"/>
                <w:b/>
                <w:bCs/>
                <w:sz w:val="16"/>
                <w:szCs w:val="16"/>
              </w:rPr>
            </w:pPr>
          </w:p>
        </w:tc>
      </w:tr>
      <w:tr w:rsidR="0014651E" w:rsidRPr="0014651E" w14:paraId="262CA53E" w14:textId="77777777" w:rsidTr="00591E10">
        <w:trPr>
          <w:trHeight w:hRule="exact" w:val="227"/>
        </w:trPr>
        <w:tc>
          <w:tcPr>
            <w:tcW w:w="4999" w:type="pct"/>
            <w:gridSpan w:val="4"/>
            <w:tcBorders>
              <w:top w:val="nil"/>
              <w:left w:val="nil"/>
              <w:bottom w:val="nil"/>
              <w:right w:val="nil"/>
            </w:tcBorders>
            <w:shd w:val="clear" w:color="auto" w:fill="auto"/>
            <w:noWrap/>
            <w:vAlign w:val="bottom"/>
            <w:hideMark/>
          </w:tcPr>
          <w:p w14:paraId="2BF30C53" w14:textId="393C3D19" w:rsidR="0014651E" w:rsidRPr="0014651E" w:rsidRDefault="0014651E">
            <w:pPr>
              <w:jc w:val="center"/>
              <w:rPr>
                <w:rFonts w:asciiTheme="majorHAnsi" w:hAnsiTheme="majorHAnsi" w:cstheme="majorHAnsi"/>
                <w:b/>
                <w:bCs/>
                <w:sz w:val="16"/>
                <w:szCs w:val="16"/>
              </w:rPr>
            </w:pPr>
            <w:r w:rsidRPr="0014651E">
              <w:rPr>
                <w:rFonts w:asciiTheme="majorHAnsi" w:hAnsiTheme="majorHAnsi" w:cstheme="majorHAnsi"/>
                <w:b/>
                <w:bCs/>
                <w:sz w:val="16"/>
                <w:szCs w:val="16"/>
              </w:rPr>
              <w:t>PASSIVO E PATRIMÔNIO LÍQUIDO</w:t>
            </w:r>
            <w:r>
              <w:rPr>
                <w:rFonts w:asciiTheme="majorHAnsi" w:hAnsiTheme="majorHAnsi" w:cstheme="majorHAnsi"/>
                <w:b/>
                <w:bCs/>
                <w:sz w:val="16"/>
                <w:szCs w:val="16"/>
              </w:rPr>
              <w:t xml:space="preserve"> (R$)</w:t>
            </w:r>
          </w:p>
        </w:tc>
      </w:tr>
      <w:tr w:rsidR="00591E10" w:rsidRPr="0014651E" w14:paraId="06108EF3" w14:textId="77777777" w:rsidTr="00591E10">
        <w:trPr>
          <w:trHeight w:hRule="exact" w:val="227"/>
        </w:trPr>
        <w:tc>
          <w:tcPr>
            <w:tcW w:w="2839" w:type="pct"/>
            <w:tcBorders>
              <w:top w:val="nil"/>
              <w:left w:val="nil"/>
              <w:bottom w:val="nil"/>
              <w:right w:val="nil"/>
            </w:tcBorders>
            <w:shd w:val="clear" w:color="auto" w:fill="auto"/>
            <w:noWrap/>
            <w:vAlign w:val="bottom"/>
            <w:hideMark/>
          </w:tcPr>
          <w:p w14:paraId="03341C82" w14:textId="77777777" w:rsidR="0014651E" w:rsidRPr="0014651E" w:rsidRDefault="0014651E">
            <w:pPr>
              <w:jc w:val="center"/>
              <w:rPr>
                <w:rFonts w:asciiTheme="majorHAnsi" w:hAnsiTheme="majorHAnsi" w:cstheme="majorHAnsi"/>
                <w:sz w:val="16"/>
                <w:szCs w:val="16"/>
              </w:rPr>
            </w:pPr>
          </w:p>
        </w:tc>
        <w:tc>
          <w:tcPr>
            <w:tcW w:w="955" w:type="pct"/>
            <w:tcBorders>
              <w:top w:val="nil"/>
              <w:left w:val="nil"/>
              <w:bottom w:val="nil"/>
              <w:right w:val="nil"/>
            </w:tcBorders>
            <w:shd w:val="clear" w:color="auto" w:fill="auto"/>
            <w:noWrap/>
            <w:vAlign w:val="bottom"/>
            <w:hideMark/>
          </w:tcPr>
          <w:p w14:paraId="01366C17" w14:textId="77777777" w:rsidR="0014651E" w:rsidRPr="0014651E" w:rsidRDefault="0014651E">
            <w:pPr>
              <w:jc w:val="right"/>
              <w:rPr>
                <w:rFonts w:asciiTheme="majorHAnsi" w:hAnsiTheme="majorHAnsi" w:cstheme="majorHAnsi"/>
                <w:b/>
                <w:bCs/>
                <w:sz w:val="16"/>
                <w:szCs w:val="16"/>
              </w:rPr>
            </w:pPr>
            <w:r w:rsidRPr="0014651E">
              <w:rPr>
                <w:rFonts w:asciiTheme="majorHAnsi" w:hAnsiTheme="majorHAnsi" w:cstheme="majorHAnsi"/>
                <w:b/>
                <w:bCs/>
                <w:sz w:val="16"/>
                <w:szCs w:val="16"/>
              </w:rPr>
              <w:t>30/06/2022</w:t>
            </w:r>
          </w:p>
        </w:tc>
        <w:tc>
          <w:tcPr>
            <w:tcW w:w="859" w:type="pct"/>
            <w:tcBorders>
              <w:top w:val="nil"/>
              <w:left w:val="nil"/>
              <w:bottom w:val="nil"/>
              <w:right w:val="nil"/>
            </w:tcBorders>
            <w:shd w:val="clear" w:color="auto" w:fill="auto"/>
            <w:noWrap/>
            <w:vAlign w:val="bottom"/>
            <w:hideMark/>
          </w:tcPr>
          <w:p w14:paraId="1FDD5F10" w14:textId="77777777" w:rsidR="0014651E" w:rsidRPr="0014651E" w:rsidRDefault="0014651E">
            <w:pPr>
              <w:jc w:val="right"/>
              <w:rPr>
                <w:rFonts w:asciiTheme="majorHAnsi" w:hAnsiTheme="majorHAnsi" w:cstheme="majorHAnsi"/>
                <w:b/>
                <w:bCs/>
                <w:sz w:val="16"/>
                <w:szCs w:val="16"/>
              </w:rPr>
            </w:pPr>
            <w:r w:rsidRPr="0014651E">
              <w:rPr>
                <w:rFonts w:asciiTheme="majorHAnsi" w:hAnsiTheme="majorHAnsi" w:cstheme="majorHAnsi"/>
                <w:b/>
                <w:bCs/>
                <w:sz w:val="16"/>
                <w:szCs w:val="16"/>
              </w:rPr>
              <w:t>31/12/2021</w:t>
            </w:r>
          </w:p>
        </w:tc>
        <w:tc>
          <w:tcPr>
            <w:tcW w:w="347" w:type="pct"/>
            <w:tcBorders>
              <w:top w:val="nil"/>
              <w:left w:val="nil"/>
              <w:bottom w:val="nil"/>
              <w:right w:val="nil"/>
            </w:tcBorders>
            <w:shd w:val="clear" w:color="auto" w:fill="auto"/>
            <w:noWrap/>
            <w:vAlign w:val="center"/>
            <w:hideMark/>
          </w:tcPr>
          <w:p w14:paraId="0A94B5D6" w14:textId="51B4FC92" w:rsidR="0014651E" w:rsidRPr="0014651E" w:rsidRDefault="0014651E" w:rsidP="00C20033">
            <w:pPr>
              <w:jc w:val="center"/>
              <w:rPr>
                <w:rFonts w:asciiTheme="majorHAnsi" w:hAnsiTheme="majorHAnsi" w:cstheme="majorHAnsi"/>
                <w:b/>
                <w:bCs/>
                <w:sz w:val="16"/>
                <w:szCs w:val="16"/>
              </w:rPr>
            </w:pPr>
            <w:r w:rsidRPr="0014651E">
              <w:rPr>
                <w:rFonts w:asciiTheme="majorHAnsi" w:hAnsiTheme="majorHAnsi" w:cstheme="majorHAnsi"/>
                <w:b/>
                <w:bCs/>
                <w:sz w:val="16"/>
                <w:szCs w:val="16"/>
              </w:rPr>
              <w:t>Nota</w:t>
            </w:r>
          </w:p>
        </w:tc>
      </w:tr>
      <w:tr w:rsidR="00591E10" w:rsidRPr="0014651E" w14:paraId="457E2665" w14:textId="77777777" w:rsidTr="00591E10">
        <w:trPr>
          <w:trHeight w:hRule="exact" w:val="227"/>
        </w:trPr>
        <w:tc>
          <w:tcPr>
            <w:tcW w:w="2839" w:type="pct"/>
            <w:tcBorders>
              <w:top w:val="nil"/>
              <w:left w:val="nil"/>
              <w:bottom w:val="nil"/>
              <w:right w:val="nil"/>
            </w:tcBorders>
            <w:shd w:val="clear" w:color="auto" w:fill="auto"/>
            <w:noWrap/>
            <w:vAlign w:val="bottom"/>
            <w:hideMark/>
          </w:tcPr>
          <w:p w14:paraId="194D79E7" w14:textId="77777777" w:rsidR="0014651E" w:rsidRPr="0014651E" w:rsidRDefault="0014651E">
            <w:pPr>
              <w:jc w:val="center"/>
              <w:rPr>
                <w:rFonts w:asciiTheme="majorHAnsi" w:hAnsiTheme="majorHAnsi" w:cstheme="majorHAnsi"/>
                <w:b/>
                <w:bCs/>
                <w:sz w:val="16"/>
                <w:szCs w:val="16"/>
              </w:rPr>
            </w:pPr>
          </w:p>
        </w:tc>
        <w:tc>
          <w:tcPr>
            <w:tcW w:w="955" w:type="pct"/>
            <w:tcBorders>
              <w:top w:val="nil"/>
              <w:left w:val="nil"/>
              <w:bottom w:val="nil"/>
              <w:right w:val="nil"/>
            </w:tcBorders>
            <w:shd w:val="clear" w:color="auto" w:fill="auto"/>
            <w:noWrap/>
            <w:vAlign w:val="bottom"/>
            <w:hideMark/>
          </w:tcPr>
          <w:p w14:paraId="4C4A4186" w14:textId="77777777" w:rsidR="0014651E" w:rsidRPr="0014651E" w:rsidRDefault="0014651E">
            <w:pPr>
              <w:rPr>
                <w:rFonts w:asciiTheme="majorHAnsi" w:hAnsiTheme="majorHAnsi" w:cstheme="majorHAnsi"/>
                <w:sz w:val="16"/>
                <w:szCs w:val="16"/>
              </w:rPr>
            </w:pPr>
          </w:p>
        </w:tc>
        <w:tc>
          <w:tcPr>
            <w:tcW w:w="859" w:type="pct"/>
            <w:tcBorders>
              <w:top w:val="nil"/>
              <w:left w:val="nil"/>
              <w:bottom w:val="nil"/>
              <w:right w:val="nil"/>
            </w:tcBorders>
            <w:shd w:val="clear" w:color="auto" w:fill="auto"/>
            <w:noWrap/>
            <w:vAlign w:val="center"/>
            <w:hideMark/>
          </w:tcPr>
          <w:p w14:paraId="57C08AC5" w14:textId="77777777" w:rsidR="0014651E" w:rsidRPr="0014651E" w:rsidRDefault="0014651E">
            <w:pPr>
              <w:rPr>
                <w:rFonts w:asciiTheme="majorHAnsi" w:hAnsiTheme="majorHAnsi" w:cstheme="majorHAnsi"/>
                <w:sz w:val="16"/>
                <w:szCs w:val="16"/>
              </w:rPr>
            </w:pPr>
          </w:p>
        </w:tc>
        <w:tc>
          <w:tcPr>
            <w:tcW w:w="347" w:type="pct"/>
            <w:tcBorders>
              <w:top w:val="nil"/>
              <w:left w:val="nil"/>
              <w:bottom w:val="nil"/>
              <w:right w:val="nil"/>
            </w:tcBorders>
            <w:shd w:val="clear" w:color="auto" w:fill="auto"/>
            <w:noWrap/>
            <w:vAlign w:val="center"/>
            <w:hideMark/>
          </w:tcPr>
          <w:p w14:paraId="10988049" w14:textId="77777777" w:rsidR="0014651E" w:rsidRPr="0014651E" w:rsidRDefault="0014651E" w:rsidP="00C20033">
            <w:pPr>
              <w:jc w:val="center"/>
              <w:rPr>
                <w:rFonts w:asciiTheme="majorHAnsi" w:hAnsiTheme="majorHAnsi" w:cstheme="majorHAnsi"/>
                <w:sz w:val="16"/>
                <w:szCs w:val="16"/>
              </w:rPr>
            </w:pPr>
          </w:p>
        </w:tc>
      </w:tr>
      <w:tr w:rsidR="00591E10" w:rsidRPr="0014651E" w14:paraId="18ACE916" w14:textId="77777777" w:rsidTr="00591E10">
        <w:trPr>
          <w:trHeight w:hRule="exact" w:val="227"/>
        </w:trPr>
        <w:tc>
          <w:tcPr>
            <w:tcW w:w="2839" w:type="pct"/>
            <w:tcBorders>
              <w:top w:val="nil"/>
              <w:left w:val="nil"/>
              <w:bottom w:val="nil"/>
              <w:right w:val="nil"/>
            </w:tcBorders>
            <w:shd w:val="clear" w:color="auto" w:fill="auto"/>
            <w:noWrap/>
            <w:vAlign w:val="bottom"/>
            <w:hideMark/>
          </w:tcPr>
          <w:p w14:paraId="1393BB2C" w14:textId="77777777" w:rsidR="0014651E" w:rsidRPr="0014651E" w:rsidRDefault="0014651E">
            <w:pPr>
              <w:rPr>
                <w:rFonts w:asciiTheme="majorHAnsi" w:hAnsiTheme="majorHAnsi" w:cstheme="majorHAnsi"/>
                <w:b/>
                <w:bCs/>
                <w:sz w:val="16"/>
                <w:szCs w:val="16"/>
              </w:rPr>
            </w:pPr>
            <w:r w:rsidRPr="0014651E">
              <w:rPr>
                <w:rFonts w:asciiTheme="majorHAnsi" w:hAnsiTheme="majorHAnsi" w:cstheme="majorHAnsi"/>
                <w:b/>
                <w:bCs/>
                <w:sz w:val="16"/>
                <w:szCs w:val="16"/>
              </w:rPr>
              <w:t>PASSIVO CIRCULANTE</w:t>
            </w:r>
          </w:p>
        </w:tc>
        <w:tc>
          <w:tcPr>
            <w:tcW w:w="955" w:type="pct"/>
            <w:tcBorders>
              <w:top w:val="nil"/>
              <w:left w:val="nil"/>
              <w:bottom w:val="nil"/>
              <w:right w:val="nil"/>
            </w:tcBorders>
            <w:shd w:val="clear" w:color="auto" w:fill="auto"/>
            <w:noWrap/>
            <w:vAlign w:val="bottom"/>
            <w:hideMark/>
          </w:tcPr>
          <w:p w14:paraId="25804F98" w14:textId="77777777" w:rsidR="0014651E" w:rsidRPr="0014651E" w:rsidRDefault="0014651E">
            <w:pPr>
              <w:jc w:val="right"/>
              <w:rPr>
                <w:rFonts w:asciiTheme="majorHAnsi" w:hAnsiTheme="majorHAnsi" w:cstheme="majorHAnsi"/>
                <w:b/>
                <w:bCs/>
                <w:sz w:val="16"/>
                <w:szCs w:val="16"/>
              </w:rPr>
            </w:pPr>
            <w:r w:rsidRPr="0014651E">
              <w:rPr>
                <w:rFonts w:asciiTheme="majorHAnsi" w:hAnsiTheme="majorHAnsi" w:cstheme="majorHAnsi"/>
                <w:b/>
                <w:bCs/>
                <w:sz w:val="16"/>
                <w:szCs w:val="16"/>
              </w:rPr>
              <w:t xml:space="preserve">                     108.383.576 </w:t>
            </w:r>
          </w:p>
        </w:tc>
        <w:tc>
          <w:tcPr>
            <w:tcW w:w="859" w:type="pct"/>
            <w:tcBorders>
              <w:top w:val="nil"/>
              <w:left w:val="nil"/>
              <w:bottom w:val="nil"/>
              <w:right w:val="nil"/>
            </w:tcBorders>
            <w:shd w:val="clear" w:color="auto" w:fill="auto"/>
            <w:noWrap/>
            <w:vAlign w:val="bottom"/>
            <w:hideMark/>
          </w:tcPr>
          <w:p w14:paraId="467A2E12" w14:textId="77777777" w:rsidR="0014651E" w:rsidRPr="0014651E" w:rsidRDefault="0014651E">
            <w:pPr>
              <w:jc w:val="right"/>
              <w:rPr>
                <w:rFonts w:asciiTheme="majorHAnsi" w:hAnsiTheme="majorHAnsi" w:cstheme="majorHAnsi"/>
                <w:b/>
                <w:bCs/>
                <w:sz w:val="16"/>
                <w:szCs w:val="16"/>
              </w:rPr>
            </w:pPr>
            <w:r w:rsidRPr="0014651E">
              <w:rPr>
                <w:rFonts w:asciiTheme="majorHAnsi" w:hAnsiTheme="majorHAnsi" w:cstheme="majorHAnsi"/>
                <w:b/>
                <w:bCs/>
                <w:sz w:val="16"/>
                <w:szCs w:val="16"/>
              </w:rPr>
              <w:t xml:space="preserve">               110.847.282 </w:t>
            </w:r>
          </w:p>
        </w:tc>
        <w:tc>
          <w:tcPr>
            <w:tcW w:w="347" w:type="pct"/>
            <w:tcBorders>
              <w:top w:val="nil"/>
              <w:left w:val="nil"/>
              <w:bottom w:val="nil"/>
              <w:right w:val="nil"/>
            </w:tcBorders>
            <w:shd w:val="clear" w:color="auto" w:fill="auto"/>
            <w:noWrap/>
            <w:vAlign w:val="center"/>
            <w:hideMark/>
          </w:tcPr>
          <w:p w14:paraId="584636B0" w14:textId="77777777" w:rsidR="0014651E" w:rsidRPr="0014651E" w:rsidRDefault="0014651E" w:rsidP="00C20033">
            <w:pPr>
              <w:jc w:val="center"/>
              <w:rPr>
                <w:rFonts w:asciiTheme="majorHAnsi" w:hAnsiTheme="majorHAnsi" w:cstheme="majorHAnsi"/>
                <w:b/>
                <w:bCs/>
                <w:sz w:val="16"/>
                <w:szCs w:val="16"/>
              </w:rPr>
            </w:pPr>
          </w:p>
        </w:tc>
      </w:tr>
      <w:tr w:rsidR="00591E10" w:rsidRPr="0014651E" w14:paraId="285E3BA0" w14:textId="77777777" w:rsidTr="00591E10">
        <w:trPr>
          <w:trHeight w:hRule="exact" w:val="227"/>
        </w:trPr>
        <w:tc>
          <w:tcPr>
            <w:tcW w:w="2839" w:type="pct"/>
            <w:tcBorders>
              <w:top w:val="nil"/>
              <w:left w:val="nil"/>
              <w:bottom w:val="nil"/>
              <w:right w:val="nil"/>
            </w:tcBorders>
            <w:shd w:val="clear" w:color="auto" w:fill="auto"/>
            <w:noWrap/>
            <w:vAlign w:val="bottom"/>
            <w:hideMark/>
          </w:tcPr>
          <w:p w14:paraId="3C76C117" w14:textId="77777777" w:rsidR="0014651E" w:rsidRPr="0014651E" w:rsidRDefault="0014651E">
            <w:pPr>
              <w:rPr>
                <w:rFonts w:asciiTheme="majorHAnsi" w:hAnsiTheme="majorHAnsi" w:cstheme="majorHAnsi"/>
                <w:sz w:val="16"/>
                <w:szCs w:val="16"/>
              </w:rPr>
            </w:pPr>
            <w:r w:rsidRPr="0014651E">
              <w:rPr>
                <w:rFonts w:asciiTheme="majorHAnsi" w:hAnsiTheme="majorHAnsi" w:cstheme="majorHAnsi"/>
                <w:sz w:val="16"/>
                <w:szCs w:val="16"/>
              </w:rPr>
              <w:t xml:space="preserve">        Fornecedores</w:t>
            </w:r>
          </w:p>
        </w:tc>
        <w:tc>
          <w:tcPr>
            <w:tcW w:w="955" w:type="pct"/>
            <w:tcBorders>
              <w:top w:val="nil"/>
              <w:left w:val="nil"/>
              <w:bottom w:val="nil"/>
              <w:right w:val="nil"/>
            </w:tcBorders>
            <w:shd w:val="clear" w:color="auto" w:fill="auto"/>
            <w:noWrap/>
            <w:vAlign w:val="bottom"/>
            <w:hideMark/>
          </w:tcPr>
          <w:p w14:paraId="32DA6FDD" w14:textId="77777777" w:rsidR="0014651E" w:rsidRPr="0014651E" w:rsidRDefault="0014651E">
            <w:pPr>
              <w:jc w:val="right"/>
              <w:rPr>
                <w:rFonts w:asciiTheme="majorHAnsi" w:hAnsiTheme="majorHAnsi" w:cstheme="majorHAnsi"/>
                <w:sz w:val="16"/>
                <w:szCs w:val="16"/>
              </w:rPr>
            </w:pPr>
            <w:r w:rsidRPr="0014651E">
              <w:rPr>
                <w:rFonts w:asciiTheme="majorHAnsi" w:hAnsiTheme="majorHAnsi" w:cstheme="majorHAnsi"/>
                <w:sz w:val="16"/>
                <w:szCs w:val="16"/>
              </w:rPr>
              <w:t xml:space="preserve">                            669.059 </w:t>
            </w:r>
          </w:p>
        </w:tc>
        <w:tc>
          <w:tcPr>
            <w:tcW w:w="859" w:type="pct"/>
            <w:tcBorders>
              <w:top w:val="nil"/>
              <w:left w:val="nil"/>
              <w:bottom w:val="nil"/>
              <w:right w:val="nil"/>
            </w:tcBorders>
            <w:shd w:val="clear" w:color="auto" w:fill="auto"/>
            <w:noWrap/>
            <w:vAlign w:val="bottom"/>
            <w:hideMark/>
          </w:tcPr>
          <w:p w14:paraId="01024954" w14:textId="77777777" w:rsidR="0014651E" w:rsidRPr="0014651E" w:rsidRDefault="0014651E">
            <w:pPr>
              <w:jc w:val="right"/>
              <w:rPr>
                <w:rFonts w:asciiTheme="majorHAnsi" w:hAnsiTheme="majorHAnsi" w:cstheme="majorHAnsi"/>
                <w:sz w:val="16"/>
                <w:szCs w:val="16"/>
              </w:rPr>
            </w:pPr>
            <w:r w:rsidRPr="0014651E">
              <w:rPr>
                <w:rFonts w:asciiTheme="majorHAnsi" w:hAnsiTheme="majorHAnsi" w:cstheme="majorHAnsi"/>
                <w:sz w:val="16"/>
                <w:szCs w:val="16"/>
              </w:rPr>
              <w:t xml:space="preserve">                         35.830 </w:t>
            </w:r>
          </w:p>
        </w:tc>
        <w:tc>
          <w:tcPr>
            <w:tcW w:w="347" w:type="pct"/>
            <w:tcBorders>
              <w:top w:val="nil"/>
              <w:left w:val="nil"/>
              <w:bottom w:val="nil"/>
              <w:right w:val="nil"/>
            </w:tcBorders>
            <w:shd w:val="clear" w:color="auto" w:fill="auto"/>
            <w:noWrap/>
            <w:vAlign w:val="center"/>
            <w:hideMark/>
          </w:tcPr>
          <w:p w14:paraId="4FC3DF66" w14:textId="77777777" w:rsidR="0014651E" w:rsidRPr="0014651E" w:rsidRDefault="0014651E" w:rsidP="00C20033">
            <w:pPr>
              <w:jc w:val="center"/>
              <w:rPr>
                <w:rFonts w:asciiTheme="majorHAnsi" w:hAnsiTheme="majorHAnsi" w:cstheme="majorHAnsi"/>
                <w:sz w:val="16"/>
                <w:szCs w:val="16"/>
              </w:rPr>
            </w:pPr>
            <w:r w:rsidRPr="0014651E">
              <w:rPr>
                <w:rFonts w:asciiTheme="majorHAnsi" w:hAnsiTheme="majorHAnsi" w:cstheme="majorHAnsi"/>
                <w:sz w:val="16"/>
                <w:szCs w:val="16"/>
              </w:rPr>
              <w:t>(10a)</w:t>
            </w:r>
          </w:p>
        </w:tc>
      </w:tr>
      <w:tr w:rsidR="00591E10" w:rsidRPr="0014651E" w14:paraId="40F7B855" w14:textId="77777777" w:rsidTr="00591E10">
        <w:trPr>
          <w:trHeight w:hRule="exact" w:val="227"/>
        </w:trPr>
        <w:tc>
          <w:tcPr>
            <w:tcW w:w="2839" w:type="pct"/>
            <w:tcBorders>
              <w:top w:val="nil"/>
              <w:left w:val="nil"/>
              <w:bottom w:val="nil"/>
              <w:right w:val="nil"/>
            </w:tcBorders>
            <w:shd w:val="clear" w:color="auto" w:fill="auto"/>
            <w:noWrap/>
            <w:vAlign w:val="bottom"/>
            <w:hideMark/>
          </w:tcPr>
          <w:p w14:paraId="422239D3" w14:textId="77777777" w:rsidR="0014651E" w:rsidRPr="0014651E" w:rsidRDefault="0014651E">
            <w:pPr>
              <w:rPr>
                <w:rFonts w:asciiTheme="majorHAnsi" w:hAnsiTheme="majorHAnsi" w:cstheme="majorHAnsi"/>
                <w:sz w:val="16"/>
                <w:szCs w:val="16"/>
              </w:rPr>
            </w:pPr>
            <w:r w:rsidRPr="0014651E">
              <w:rPr>
                <w:rFonts w:asciiTheme="majorHAnsi" w:hAnsiTheme="majorHAnsi" w:cstheme="majorHAnsi"/>
                <w:sz w:val="16"/>
                <w:szCs w:val="16"/>
              </w:rPr>
              <w:t xml:space="preserve">        13º salário e férias c/encargos a pagar</w:t>
            </w:r>
          </w:p>
        </w:tc>
        <w:tc>
          <w:tcPr>
            <w:tcW w:w="955" w:type="pct"/>
            <w:tcBorders>
              <w:top w:val="nil"/>
              <w:left w:val="nil"/>
              <w:bottom w:val="nil"/>
              <w:right w:val="nil"/>
            </w:tcBorders>
            <w:shd w:val="clear" w:color="auto" w:fill="auto"/>
            <w:noWrap/>
            <w:vAlign w:val="bottom"/>
            <w:hideMark/>
          </w:tcPr>
          <w:p w14:paraId="36111F2E" w14:textId="77777777" w:rsidR="0014651E" w:rsidRPr="0014651E" w:rsidRDefault="0014651E">
            <w:pPr>
              <w:jc w:val="right"/>
              <w:rPr>
                <w:rFonts w:asciiTheme="majorHAnsi" w:hAnsiTheme="majorHAnsi" w:cstheme="majorHAnsi"/>
                <w:sz w:val="16"/>
                <w:szCs w:val="16"/>
              </w:rPr>
            </w:pPr>
            <w:r w:rsidRPr="0014651E">
              <w:rPr>
                <w:rFonts w:asciiTheme="majorHAnsi" w:hAnsiTheme="majorHAnsi" w:cstheme="majorHAnsi"/>
                <w:sz w:val="16"/>
                <w:szCs w:val="16"/>
              </w:rPr>
              <w:t xml:space="preserve">                       14.893.454 </w:t>
            </w:r>
          </w:p>
        </w:tc>
        <w:tc>
          <w:tcPr>
            <w:tcW w:w="859" w:type="pct"/>
            <w:tcBorders>
              <w:top w:val="nil"/>
              <w:left w:val="nil"/>
              <w:bottom w:val="nil"/>
              <w:right w:val="nil"/>
            </w:tcBorders>
            <w:shd w:val="clear" w:color="auto" w:fill="auto"/>
            <w:noWrap/>
            <w:vAlign w:val="bottom"/>
            <w:hideMark/>
          </w:tcPr>
          <w:p w14:paraId="49E60525" w14:textId="77777777" w:rsidR="0014651E" w:rsidRPr="0014651E" w:rsidRDefault="0014651E">
            <w:pPr>
              <w:jc w:val="right"/>
              <w:rPr>
                <w:rFonts w:asciiTheme="majorHAnsi" w:hAnsiTheme="majorHAnsi" w:cstheme="majorHAnsi"/>
                <w:sz w:val="16"/>
                <w:szCs w:val="16"/>
              </w:rPr>
            </w:pPr>
            <w:r w:rsidRPr="0014651E">
              <w:rPr>
                <w:rFonts w:asciiTheme="majorHAnsi" w:hAnsiTheme="majorHAnsi" w:cstheme="majorHAnsi"/>
                <w:sz w:val="16"/>
                <w:szCs w:val="16"/>
              </w:rPr>
              <w:t xml:space="preserve">                 11.475.065 </w:t>
            </w:r>
          </w:p>
        </w:tc>
        <w:tc>
          <w:tcPr>
            <w:tcW w:w="347" w:type="pct"/>
            <w:tcBorders>
              <w:top w:val="nil"/>
              <w:left w:val="nil"/>
              <w:bottom w:val="nil"/>
              <w:right w:val="nil"/>
            </w:tcBorders>
            <w:shd w:val="clear" w:color="auto" w:fill="auto"/>
            <w:noWrap/>
            <w:vAlign w:val="center"/>
            <w:hideMark/>
          </w:tcPr>
          <w:p w14:paraId="186049B1" w14:textId="77777777" w:rsidR="0014651E" w:rsidRPr="0014651E" w:rsidRDefault="0014651E" w:rsidP="00C20033">
            <w:pPr>
              <w:jc w:val="center"/>
              <w:rPr>
                <w:rFonts w:asciiTheme="majorHAnsi" w:hAnsiTheme="majorHAnsi" w:cstheme="majorHAnsi"/>
                <w:sz w:val="16"/>
                <w:szCs w:val="16"/>
              </w:rPr>
            </w:pPr>
            <w:r w:rsidRPr="0014651E">
              <w:rPr>
                <w:rFonts w:asciiTheme="majorHAnsi" w:hAnsiTheme="majorHAnsi" w:cstheme="majorHAnsi"/>
                <w:sz w:val="16"/>
                <w:szCs w:val="16"/>
              </w:rPr>
              <w:t>(10b)</w:t>
            </w:r>
          </w:p>
        </w:tc>
      </w:tr>
      <w:tr w:rsidR="00591E10" w:rsidRPr="0014651E" w14:paraId="4102870B" w14:textId="77777777" w:rsidTr="00591E10">
        <w:trPr>
          <w:trHeight w:hRule="exact" w:val="227"/>
        </w:trPr>
        <w:tc>
          <w:tcPr>
            <w:tcW w:w="2839" w:type="pct"/>
            <w:tcBorders>
              <w:top w:val="nil"/>
              <w:left w:val="nil"/>
              <w:bottom w:val="nil"/>
              <w:right w:val="nil"/>
            </w:tcBorders>
            <w:shd w:val="clear" w:color="auto" w:fill="auto"/>
            <w:noWrap/>
            <w:vAlign w:val="bottom"/>
            <w:hideMark/>
          </w:tcPr>
          <w:p w14:paraId="7A677515" w14:textId="77777777" w:rsidR="0014651E" w:rsidRPr="0014651E" w:rsidRDefault="0014651E">
            <w:pPr>
              <w:rPr>
                <w:rFonts w:asciiTheme="majorHAnsi" w:hAnsiTheme="majorHAnsi" w:cstheme="majorHAnsi"/>
                <w:sz w:val="16"/>
                <w:szCs w:val="16"/>
              </w:rPr>
            </w:pPr>
            <w:r w:rsidRPr="0014651E">
              <w:rPr>
                <w:rFonts w:asciiTheme="majorHAnsi" w:hAnsiTheme="majorHAnsi" w:cstheme="majorHAnsi"/>
                <w:sz w:val="16"/>
                <w:szCs w:val="16"/>
              </w:rPr>
              <w:t xml:space="preserve">        Salários a pagar</w:t>
            </w:r>
          </w:p>
        </w:tc>
        <w:tc>
          <w:tcPr>
            <w:tcW w:w="955" w:type="pct"/>
            <w:tcBorders>
              <w:top w:val="nil"/>
              <w:left w:val="nil"/>
              <w:bottom w:val="nil"/>
              <w:right w:val="nil"/>
            </w:tcBorders>
            <w:shd w:val="clear" w:color="auto" w:fill="auto"/>
            <w:noWrap/>
            <w:vAlign w:val="bottom"/>
            <w:hideMark/>
          </w:tcPr>
          <w:p w14:paraId="6E03AF85" w14:textId="77777777" w:rsidR="0014651E" w:rsidRPr="0014651E" w:rsidRDefault="0014651E">
            <w:pPr>
              <w:jc w:val="right"/>
              <w:rPr>
                <w:rFonts w:asciiTheme="majorHAnsi" w:hAnsiTheme="majorHAnsi" w:cstheme="majorHAnsi"/>
                <w:sz w:val="16"/>
                <w:szCs w:val="16"/>
              </w:rPr>
            </w:pPr>
            <w:r w:rsidRPr="0014651E">
              <w:rPr>
                <w:rFonts w:asciiTheme="majorHAnsi" w:hAnsiTheme="majorHAnsi" w:cstheme="majorHAnsi"/>
                <w:sz w:val="16"/>
                <w:szCs w:val="16"/>
              </w:rPr>
              <w:t xml:space="preserve">                         6.250.033 </w:t>
            </w:r>
          </w:p>
        </w:tc>
        <w:tc>
          <w:tcPr>
            <w:tcW w:w="859" w:type="pct"/>
            <w:tcBorders>
              <w:top w:val="nil"/>
              <w:left w:val="nil"/>
              <w:bottom w:val="nil"/>
              <w:right w:val="nil"/>
            </w:tcBorders>
            <w:shd w:val="clear" w:color="auto" w:fill="auto"/>
            <w:noWrap/>
            <w:vAlign w:val="bottom"/>
            <w:hideMark/>
          </w:tcPr>
          <w:p w14:paraId="1E717C20" w14:textId="77777777" w:rsidR="0014651E" w:rsidRPr="0014651E" w:rsidRDefault="0014651E">
            <w:pPr>
              <w:jc w:val="right"/>
              <w:rPr>
                <w:rFonts w:asciiTheme="majorHAnsi" w:hAnsiTheme="majorHAnsi" w:cstheme="majorHAnsi"/>
                <w:sz w:val="16"/>
                <w:szCs w:val="16"/>
              </w:rPr>
            </w:pPr>
            <w:r w:rsidRPr="0014651E">
              <w:rPr>
                <w:rFonts w:asciiTheme="majorHAnsi" w:hAnsiTheme="majorHAnsi" w:cstheme="majorHAnsi"/>
                <w:sz w:val="16"/>
                <w:szCs w:val="16"/>
              </w:rPr>
              <w:t xml:space="preserve">                   5.677.443 </w:t>
            </w:r>
          </w:p>
        </w:tc>
        <w:tc>
          <w:tcPr>
            <w:tcW w:w="347" w:type="pct"/>
            <w:tcBorders>
              <w:top w:val="nil"/>
              <w:left w:val="nil"/>
              <w:bottom w:val="nil"/>
              <w:right w:val="nil"/>
            </w:tcBorders>
            <w:shd w:val="clear" w:color="auto" w:fill="auto"/>
            <w:noWrap/>
            <w:vAlign w:val="center"/>
            <w:hideMark/>
          </w:tcPr>
          <w:p w14:paraId="02B3A661" w14:textId="77777777" w:rsidR="0014651E" w:rsidRPr="0014651E" w:rsidRDefault="0014651E" w:rsidP="00C20033">
            <w:pPr>
              <w:jc w:val="center"/>
              <w:rPr>
                <w:rFonts w:asciiTheme="majorHAnsi" w:hAnsiTheme="majorHAnsi" w:cstheme="majorHAnsi"/>
                <w:sz w:val="16"/>
                <w:szCs w:val="16"/>
              </w:rPr>
            </w:pPr>
          </w:p>
        </w:tc>
      </w:tr>
      <w:tr w:rsidR="00591E10" w:rsidRPr="0014651E" w14:paraId="42E82442" w14:textId="77777777" w:rsidTr="00591E10">
        <w:trPr>
          <w:trHeight w:hRule="exact" w:val="227"/>
        </w:trPr>
        <w:tc>
          <w:tcPr>
            <w:tcW w:w="2839" w:type="pct"/>
            <w:tcBorders>
              <w:top w:val="nil"/>
              <w:left w:val="nil"/>
              <w:bottom w:val="nil"/>
              <w:right w:val="nil"/>
            </w:tcBorders>
            <w:shd w:val="clear" w:color="auto" w:fill="auto"/>
            <w:noWrap/>
            <w:vAlign w:val="bottom"/>
            <w:hideMark/>
          </w:tcPr>
          <w:p w14:paraId="1903867F" w14:textId="77777777" w:rsidR="0014651E" w:rsidRPr="0014651E" w:rsidRDefault="0014651E">
            <w:pPr>
              <w:rPr>
                <w:rFonts w:asciiTheme="majorHAnsi" w:hAnsiTheme="majorHAnsi" w:cstheme="majorHAnsi"/>
                <w:sz w:val="16"/>
                <w:szCs w:val="16"/>
              </w:rPr>
            </w:pPr>
            <w:r w:rsidRPr="0014651E">
              <w:rPr>
                <w:rFonts w:asciiTheme="majorHAnsi" w:hAnsiTheme="majorHAnsi" w:cstheme="majorHAnsi"/>
                <w:sz w:val="16"/>
                <w:szCs w:val="16"/>
              </w:rPr>
              <w:t xml:space="preserve">        Encargos a pagar        </w:t>
            </w:r>
          </w:p>
        </w:tc>
        <w:tc>
          <w:tcPr>
            <w:tcW w:w="955" w:type="pct"/>
            <w:tcBorders>
              <w:top w:val="nil"/>
              <w:left w:val="nil"/>
              <w:bottom w:val="nil"/>
              <w:right w:val="nil"/>
            </w:tcBorders>
            <w:shd w:val="clear" w:color="auto" w:fill="auto"/>
            <w:noWrap/>
            <w:vAlign w:val="bottom"/>
            <w:hideMark/>
          </w:tcPr>
          <w:p w14:paraId="374B63EB" w14:textId="77777777" w:rsidR="0014651E" w:rsidRPr="0014651E" w:rsidRDefault="0014651E">
            <w:pPr>
              <w:jc w:val="right"/>
              <w:rPr>
                <w:rFonts w:asciiTheme="majorHAnsi" w:hAnsiTheme="majorHAnsi" w:cstheme="majorHAnsi"/>
                <w:sz w:val="16"/>
                <w:szCs w:val="16"/>
              </w:rPr>
            </w:pPr>
            <w:r w:rsidRPr="0014651E">
              <w:rPr>
                <w:rFonts w:asciiTheme="majorHAnsi" w:hAnsiTheme="majorHAnsi" w:cstheme="majorHAnsi"/>
                <w:sz w:val="16"/>
                <w:szCs w:val="16"/>
              </w:rPr>
              <w:t xml:space="preserve">                            298.389 </w:t>
            </w:r>
          </w:p>
        </w:tc>
        <w:tc>
          <w:tcPr>
            <w:tcW w:w="859" w:type="pct"/>
            <w:tcBorders>
              <w:top w:val="nil"/>
              <w:left w:val="nil"/>
              <w:bottom w:val="nil"/>
              <w:right w:val="nil"/>
            </w:tcBorders>
            <w:shd w:val="clear" w:color="auto" w:fill="auto"/>
            <w:noWrap/>
            <w:vAlign w:val="bottom"/>
            <w:hideMark/>
          </w:tcPr>
          <w:p w14:paraId="62450789" w14:textId="77777777" w:rsidR="0014651E" w:rsidRPr="0014651E" w:rsidRDefault="0014651E">
            <w:pPr>
              <w:jc w:val="right"/>
              <w:rPr>
                <w:rFonts w:asciiTheme="majorHAnsi" w:hAnsiTheme="majorHAnsi" w:cstheme="majorHAnsi"/>
                <w:sz w:val="16"/>
                <w:szCs w:val="16"/>
              </w:rPr>
            </w:pPr>
            <w:r w:rsidRPr="0014651E">
              <w:rPr>
                <w:rFonts w:asciiTheme="majorHAnsi" w:hAnsiTheme="majorHAnsi" w:cstheme="majorHAnsi"/>
                <w:sz w:val="16"/>
                <w:szCs w:val="16"/>
              </w:rPr>
              <w:t xml:space="preserve">                   2.904.078 </w:t>
            </w:r>
          </w:p>
        </w:tc>
        <w:tc>
          <w:tcPr>
            <w:tcW w:w="347" w:type="pct"/>
            <w:tcBorders>
              <w:top w:val="nil"/>
              <w:left w:val="nil"/>
              <w:bottom w:val="nil"/>
              <w:right w:val="nil"/>
            </w:tcBorders>
            <w:shd w:val="clear" w:color="auto" w:fill="auto"/>
            <w:noWrap/>
            <w:vAlign w:val="center"/>
            <w:hideMark/>
          </w:tcPr>
          <w:p w14:paraId="0D3EF275" w14:textId="77777777" w:rsidR="0014651E" w:rsidRPr="0014651E" w:rsidRDefault="0014651E" w:rsidP="00C20033">
            <w:pPr>
              <w:jc w:val="center"/>
              <w:rPr>
                <w:rFonts w:asciiTheme="majorHAnsi" w:hAnsiTheme="majorHAnsi" w:cstheme="majorHAnsi"/>
                <w:sz w:val="16"/>
                <w:szCs w:val="16"/>
              </w:rPr>
            </w:pPr>
          </w:p>
        </w:tc>
      </w:tr>
      <w:tr w:rsidR="00591E10" w:rsidRPr="0014651E" w14:paraId="54956F87" w14:textId="77777777" w:rsidTr="00591E10">
        <w:trPr>
          <w:trHeight w:hRule="exact" w:val="227"/>
        </w:trPr>
        <w:tc>
          <w:tcPr>
            <w:tcW w:w="2839" w:type="pct"/>
            <w:tcBorders>
              <w:top w:val="nil"/>
              <w:left w:val="nil"/>
              <w:bottom w:val="nil"/>
              <w:right w:val="nil"/>
            </w:tcBorders>
            <w:shd w:val="clear" w:color="auto" w:fill="auto"/>
            <w:noWrap/>
            <w:vAlign w:val="bottom"/>
            <w:hideMark/>
          </w:tcPr>
          <w:p w14:paraId="5EC3C2D4" w14:textId="77777777" w:rsidR="0014651E" w:rsidRPr="0014651E" w:rsidRDefault="0014651E">
            <w:pPr>
              <w:rPr>
                <w:rFonts w:asciiTheme="majorHAnsi" w:hAnsiTheme="majorHAnsi" w:cstheme="majorHAnsi"/>
                <w:sz w:val="16"/>
                <w:szCs w:val="16"/>
              </w:rPr>
            </w:pPr>
            <w:r w:rsidRPr="0014651E">
              <w:rPr>
                <w:rFonts w:asciiTheme="majorHAnsi" w:hAnsiTheme="majorHAnsi" w:cstheme="majorHAnsi"/>
                <w:sz w:val="16"/>
                <w:szCs w:val="16"/>
              </w:rPr>
              <w:t xml:space="preserve">        Tributos retidos a recolher</w:t>
            </w:r>
          </w:p>
        </w:tc>
        <w:tc>
          <w:tcPr>
            <w:tcW w:w="955" w:type="pct"/>
            <w:tcBorders>
              <w:top w:val="nil"/>
              <w:left w:val="nil"/>
              <w:bottom w:val="nil"/>
              <w:right w:val="nil"/>
            </w:tcBorders>
            <w:shd w:val="clear" w:color="auto" w:fill="auto"/>
            <w:noWrap/>
            <w:vAlign w:val="bottom"/>
            <w:hideMark/>
          </w:tcPr>
          <w:p w14:paraId="17162A77" w14:textId="77777777" w:rsidR="0014651E" w:rsidRPr="0014651E" w:rsidRDefault="0014651E">
            <w:pPr>
              <w:jc w:val="right"/>
              <w:rPr>
                <w:rFonts w:asciiTheme="majorHAnsi" w:hAnsiTheme="majorHAnsi" w:cstheme="majorHAnsi"/>
                <w:sz w:val="16"/>
                <w:szCs w:val="16"/>
              </w:rPr>
            </w:pPr>
            <w:r w:rsidRPr="0014651E">
              <w:rPr>
                <w:rFonts w:asciiTheme="majorHAnsi" w:hAnsiTheme="majorHAnsi" w:cstheme="majorHAnsi"/>
                <w:sz w:val="16"/>
                <w:szCs w:val="16"/>
              </w:rPr>
              <w:t xml:space="preserve">                            331.103 </w:t>
            </w:r>
          </w:p>
        </w:tc>
        <w:tc>
          <w:tcPr>
            <w:tcW w:w="859" w:type="pct"/>
            <w:tcBorders>
              <w:top w:val="nil"/>
              <w:left w:val="nil"/>
              <w:bottom w:val="nil"/>
              <w:right w:val="nil"/>
            </w:tcBorders>
            <w:shd w:val="clear" w:color="auto" w:fill="auto"/>
            <w:noWrap/>
            <w:vAlign w:val="bottom"/>
            <w:hideMark/>
          </w:tcPr>
          <w:p w14:paraId="4867DCD7" w14:textId="77777777" w:rsidR="0014651E" w:rsidRPr="0014651E" w:rsidRDefault="0014651E">
            <w:pPr>
              <w:jc w:val="right"/>
              <w:rPr>
                <w:rFonts w:asciiTheme="majorHAnsi" w:hAnsiTheme="majorHAnsi" w:cstheme="majorHAnsi"/>
                <w:sz w:val="16"/>
                <w:szCs w:val="16"/>
              </w:rPr>
            </w:pPr>
            <w:r w:rsidRPr="0014651E">
              <w:rPr>
                <w:rFonts w:asciiTheme="majorHAnsi" w:hAnsiTheme="majorHAnsi" w:cstheme="majorHAnsi"/>
                <w:sz w:val="16"/>
                <w:szCs w:val="16"/>
              </w:rPr>
              <w:t xml:space="preserve">                       295.239 </w:t>
            </w:r>
          </w:p>
        </w:tc>
        <w:tc>
          <w:tcPr>
            <w:tcW w:w="347" w:type="pct"/>
            <w:tcBorders>
              <w:top w:val="nil"/>
              <w:left w:val="nil"/>
              <w:bottom w:val="nil"/>
              <w:right w:val="nil"/>
            </w:tcBorders>
            <w:shd w:val="clear" w:color="auto" w:fill="auto"/>
            <w:noWrap/>
            <w:vAlign w:val="center"/>
            <w:hideMark/>
          </w:tcPr>
          <w:p w14:paraId="538FF421" w14:textId="77777777" w:rsidR="0014651E" w:rsidRPr="0014651E" w:rsidRDefault="0014651E" w:rsidP="00C20033">
            <w:pPr>
              <w:jc w:val="center"/>
              <w:rPr>
                <w:rFonts w:asciiTheme="majorHAnsi" w:hAnsiTheme="majorHAnsi" w:cstheme="majorHAnsi"/>
                <w:sz w:val="16"/>
                <w:szCs w:val="16"/>
              </w:rPr>
            </w:pPr>
          </w:p>
        </w:tc>
      </w:tr>
      <w:tr w:rsidR="00591E10" w:rsidRPr="0014651E" w14:paraId="1E5320A6" w14:textId="77777777" w:rsidTr="00591E10">
        <w:trPr>
          <w:trHeight w:hRule="exact" w:val="227"/>
        </w:trPr>
        <w:tc>
          <w:tcPr>
            <w:tcW w:w="2839" w:type="pct"/>
            <w:tcBorders>
              <w:top w:val="nil"/>
              <w:left w:val="nil"/>
              <w:bottom w:val="nil"/>
              <w:right w:val="nil"/>
            </w:tcBorders>
            <w:shd w:val="clear" w:color="auto" w:fill="auto"/>
            <w:noWrap/>
            <w:vAlign w:val="bottom"/>
            <w:hideMark/>
          </w:tcPr>
          <w:p w14:paraId="03E46A35" w14:textId="77777777" w:rsidR="0014651E" w:rsidRPr="0014651E" w:rsidRDefault="0014651E">
            <w:pPr>
              <w:rPr>
                <w:rFonts w:asciiTheme="majorHAnsi" w:hAnsiTheme="majorHAnsi" w:cstheme="majorHAnsi"/>
                <w:sz w:val="16"/>
                <w:szCs w:val="16"/>
              </w:rPr>
            </w:pPr>
            <w:r w:rsidRPr="0014651E">
              <w:rPr>
                <w:rFonts w:asciiTheme="majorHAnsi" w:hAnsiTheme="majorHAnsi" w:cstheme="majorHAnsi"/>
                <w:sz w:val="16"/>
                <w:szCs w:val="16"/>
              </w:rPr>
              <w:t xml:space="preserve">        Receita a diferir - Subconcessão FIOL</w:t>
            </w:r>
          </w:p>
        </w:tc>
        <w:tc>
          <w:tcPr>
            <w:tcW w:w="955" w:type="pct"/>
            <w:tcBorders>
              <w:top w:val="nil"/>
              <w:left w:val="nil"/>
              <w:bottom w:val="nil"/>
              <w:right w:val="nil"/>
            </w:tcBorders>
            <w:shd w:val="clear" w:color="auto" w:fill="auto"/>
            <w:noWrap/>
            <w:vAlign w:val="bottom"/>
            <w:hideMark/>
          </w:tcPr>
          <w:p w14:paraId="6CCB36C3" w14:textId="77777777" w:rsidR="0014651E" w:rsidRPr="0014651E" w:rsidRDefault="0014651E">
            <w:pPr>
              <w:jc w:val="right"/>
              <w:rPr>
                <w:rFonts w:asciiTheme="majorHAnsi" w:hAnsiTheme="majorHAnsi" w:cstheme="majorHAnsi"/>
                <w:sz w:val="16"/>
                <w:szCs w:val="16"/>
              </w:rPr>
            </w:pPr>
            <w:r w:rsidRPr="0014651E">
              <w:rPr>
                <w:rFonts w:asciiTheme="majorHAnsi" w:hAnsiTheme="majorHAnsi" w:cstheme="majorHAnsi"/>
                <w:sz w:val="16"/>
                <w:szCs w:val="16"/>
              </w:rPr>
              <w:t xml:space="preserve">                         2.182.000 </w:t>
            </w:r>
          </w:p>
        </w:tc>
        <w:tc>
          <w:tcPr>
            <w:tcW w:w="859" w:type="pct"/>
            <w:tcBorders>
              <w:top w:val="nil"/>
              <w:left w:val="nil"/>
              <w:bottom w:val="nil"/>
              <w:right w:val="nil"/>
            </w:tcBorders>
            <w:shd w:val="clear" w:color="auto" w:fill="auto"/>
            <w:noWrap/>
            <w:vAlign w:val="bottom"/>
            <w:hideMark/>
          </w:tcPr>
          <w:p w14:paraId="4B00C9EE" w14:textId="77777777" w:rsidR="0014651E" w:rsidRPr="0014651E" w:rsidRDefault="0014651E">
            <w:pPr>
              <w:jc w:val="right"/>
              <w:rPr>
                <w:rFonts w:asciiTheme="majorHAnsi" w:hAnsiTheme="majorHAnsi" w:cstheme="majorHAnsi"/>
                <w:sz w:val="16"/>
                <w:szCs w:val="16"/>
              </w:rPr>
            </w:pPr>
            <w:r w:rsidRPr="0014651E">
              <w:rPr>
                <w:rFonts w:asciiTheme="majorHAnsi" w:hAnsiTheme="majorHAnsi" w:cstheme="majorHAnsi"/>
                <w:sz w:val="16"/>
                <w:szCs w:val="16"/>
              </w:rPr>
              <w:t xml:space="preserve">                   2.182.000 </w:t>
            </w:r>
          </w:p>
        </w:tc>
        <w:tc>
          <w:tcPr>
            <w:tcW w:w="347" w:type="pct"/>
            <w:tcBorders>
              <w:top w:val="nil"/>
              <w:left w:val="nil"/>
              <w:bottom w:val="nil"/>
              <w:right w:val="nil"/>
            </w:tcBorders>
            <w:shd w:val="clear" w:color="auto" w:fill="auto"/>
            <w:noWrap/>
            <w:vAlign w:val="center"/>
            <w:hideMark/>
          </w:tcPr>
          <w:p w14:paraId="784F894C" w14:textId="77777777" w:rsidR="0014651E" w:rsidRPr="0014651E" w:rsidRDefault="0014651E" w:rsidP="00C20033">
            <w:pPr>
              <w:jc w:val="center"/>
              <w:rPr>
                <w:rFonts w:asciiTheme="majorHAnsi" w:hAnsiTheme="majorHAnsi" w:cstheme="majorHAnsi"/>
                <w:sz w:val="16"/>
                <w:szCs w:val="16"/>
              </w:rPr>
            </w:pPr>
            <w:r w:rsidRPr="0014651E">
              <w:rPr>
                <w:rFonts w:asciiTheme="majorHAnsi" w:hAnsiTheme="majorHAnsi" w:cstheme="majorHAnsi"/>
                <w:sz w:val="16"/>
                <w:szCs w:val="16"/>
              </w:rPr>
              <w:t>(13b)</w:t>
            </w:r>
          </w:p>
        </w:tc>
      </w:tr>
      <w:tr w:rsidR="00591E10" w:rsidRPr="0014651E" w14:paraId="25F58349" w14:textId="77777777" w:rsidTr="00591E10">
        <w:trPr>
          <w:trHeight w:hRule="exact" w:val="227"/>
        </w:trPr>
        <w:tc>
          <w:tcPr>
            <w:tcW w:w="2839" w:type="pct"/>
            <w:tcBorders>
              <w:top w:val="nil"/>
              <w:left w:val="nil"/>
              <w:bottom w:val="nil"/>
              <w:right w:val="nil"/>
            </w:tcBorders>
            <w:shd w:val="clear" w:color="auto" w:fill="auto"/>
            <w:noWrap/>
            <w:vAlign w:val="bottom"/>
            <w:hideMark/>
          </w:tcPr>
          <w:p w14:paraId="7618337A" w14:textId="77777777" w:rsidR="0014651E" w:rsidRPr="0014651E" w:rsidRDefault="0014651E">
            <w:pPr>
              <w:rPr>
                <w:rFonts w:asciiTheme="majorHAnsi" w:hAnsiTheme="majorHAnsi" w:cstheme="majorHAnsi"/>
                <w:sz w:val="16"/>
                <w:szCs w:val="16"/>
              </w:rPr>
            </w:pPr>
            <w:r w:rsidRPr="0014651E">
              <w:rPr>
                <w:rFonts w:asciiTheme="majorHAnsi" w:hAnsiTheme="majorHAnsi" w:cstheme="majorHAnsi"/>
                <w:sz w:val="16"/>
                <w:szCs w:val="16"/>
              </w:rPr>
              <w:t xml:space="preserve">        Receita a diferir - Pátios e Terminais</w:t>
            </w:r>
          </w:p>
        </w:tc>
        <w:tc>
          <w:tcPr>
            <w:tcW w:w="955" w:type="pct"/>
            <w:tcBorders>
              <w:top w:val="nil"/>
              <w:left w:val="nil"/>
              <w:bottom w:val="nil"/>
              <w:right w:val="nil"/>
            </w:tcBorders>
            <w:shd w:val="clear" w:color="auto" w:fill="auto"/>
            <w:noWrap/>
            <w:vAlign w:val="bottom"/>
            <w:hideMark/>
          </w:tcPr>
          <w:p w14:paraId="197BD1D9" w14:textId="77777777" w:rsidR="0014651E" w:rsidRPr="0014651E" w:rsidRDefault="0014651E">
            <w:pPr>
              <w:jc w:val="right"/>
              <w:rPr>
                <w:rFonts w:asciiTheme="majorHAnsi" w:hAnsiTheme="majorHAnsi" w:cstheme="majorHAnsi"/>
                <w:sz w:val="16"/>
                <w:szCs w:val="16"/>
              </w:rPr>
            </w:pPr>
            <w:r w:rsidRPr="0014651E">
              <w:rPr>
                <w:rFonts w:asciiTheme="majorHAnsi" w:hAnsiTheme="majorHAnsi" w:cstheme="majorHAnsi"/>
                <w:sz w:val="16"/>
                <w:szCs w:val="16"/>
              </w:rPr>
              <w:t xml:space="preserve">                         3.395.129 </w:t>
            </w:r>
          </w:p>
        </w:tc>
        <w:tc>
          <w:tcPr>
            <w:tcW w:w="859" w:type="pct"/>
            <w:tcBorders>
              <w:top w:val="nil"/>
              <w:left w:val="nil"/>
              <w:bottom w:val="nil"/>
              <w:right w:val="nil"/>
            </w:tcBorders>
            <w:shd w:val="clear" w:color="auto" w:fill="auto"/>
            <w:noWrap/>
            <w:vAlign w:val="bottom"/>
            <w:hideMark/>
          </w:tcPr>
          <w:p w14:paraId="3E2E357E" w14:textId="77777777" w:rsidR="0014651E" w:rsidRPr="0014651E" w:rsidRDefault="0014651E">
            <w:pPr>
              <w:jc w:val="right"/>
              <w:rPr>
                <w:rFonts w:asciiTheme="majorHAnsi" w:hAnsiTheme="majorHAnsi" w:cstheme="majorHAnsi"/>
                <w:sz w:val="16"/>
                <w:szCs w:val="16"/>
              </w:rPr>
            </w:pPr>
            <w:r w:rsidRPr="0014651E">
              <w:rPr>
                <w:rFonts w:asciiTheme="majorHAnsi" w:hAnsiTheme="majorHAnsi" w:cstheme="majorHAnsi"/>
                <w:sz w:val="16"/>
                <w:szCs w:val="16"/>
              </w:rPr>
              <w:t xml:space="preserve">                   3.031.892 </w:t>
            </w:r>
          </w:p>
        </w:tc>
        <w:tc>
          <w:tcPr>
            <w:tcW w:w="347" w:type="pct"/>
            <w:tcBorders>
              <w:top w:val="nil"/>
              <w:left w:val="nil"/>
              <w:bottom w:val="nil"/>
              <w:right w:val="nil"/>
            </w:tcBorders>
            <w:shd w:val="clear" w:color="auto" w:fill="auto"/>
            <w:noWrap/>
            <w:vAlign w:val="bottom"/>
            <w:hideMark/>
          </w:tcPr>
          <w:p w14:paraId="0DC6FD71" w14:textId="02D5C708" w:rsidR="0014651E" w:rsidRPr="0014651E" w:rsidRDefault="0014651E" w:rsidP="00C20033">
            <w:pPr>
              <w:jc w:val="center"/>
              <w:rPr>
                <w:rFonts w:asciiTheme="majorHAnsi" w:hAnsiTheme="majorHAnsi" w:cstheme="majorHAnsi"/>
                <w:sz w:val="16"/>
                <w:szCs w:val="16"/>
              </w:rPr>
            </w:pPr>
            <w:r w:rsidRPr="0014651E">
              <w:rPr>
                <w:rFonts w:asciiTheme="majorHAnsi" w:hAnsiTheme="majorHAnsi" w:cstheme="majorHAnsi"/>
                <w:sz w:val="16"/>
                <w:szCs w:val="16"/>
              </w:rPr>
              <w:t>(13a)</w:t>
            </w:r>
          </w:p>
        </w:tc>
      </w:tr>
      <w:tr w:rsidR="00591E10" w:rsidRPr="0014651E" w14:paraId="54F68547" w14:textId="77777777" w:rsidTr="00591E10">
        <w:trPr>
          <w:trHeight w:hRule="exact" w:val="227"/>
        </w:trPr>
        <w:tc>
          <w:tcPr>
            <w:tcW w:w="2839" w:type="pct"/>
            <w:tcBorders>
              <w:top w:val="nil"/>
              <w:left w:val="nil"/>
              <w:bottom w:val="nil"/>
              <w:right w:val="nil"/>
            </w:tcBorders>
            <w:shd w:val="clear" w:color="auto" w:fill="auto"/>
            <w:noWrap/>
            <w:vAlign w:val="bottom"/>
            <w:hideMark/>
          </w:tcPr>
          <w:p w14:paraId="56BA59F1" w14:textId="77777777" w:rsidR="0014651E" w:rsidRPr="0014651E" w:rsidRDefault="0014651E">
            <w:pPr>
              <w:rPr>
                <w:rFonts w:asciiTheme="majorHAnsi" w:hAnsiTheme="majorHAnsi" w:cstheme="majorHAnsi"/>
                <w:sz w:val="16"/>
                <w:szCs w:val="16"/>
              </w:rPr>
            </w:pPr>
            <w:r w:rsidRPr="0014651E">
              <w:rPr>
                <w:rFonts w:asciiTheme="majorHAnsi" w:hAnsiTheme="majorHAnsi" w:cstheme="majorHAnsi"/>
                <w:sz w:val="16"/>
                <w:szCs w:val="16"/>
              </w:rPr>
              <w:t xml:space="preserve">        Retenções s/ salários a pagar</w:t>
            </w:r>
          </w:p>
        </w:tc>
        <w:tc>
          <w:tcPr>
            <w:tcW w:w="955" w:type="pct"/>
            <w:tcBorders>
              <w:top w:val="nil"/>
              <w:left w:val="nil"/>
              <w:bottom w:val="nil"/>
              <w:right w:val="nil"/>
            </w:tcBorders>
            <w:shd w:val="clear" w:color="auto" w:fill="auto"/>
            <w:noWrap/>
            <w:vAlign w:val="bottom"/>
            <w:hideMark/>
          </w:tcPr>
          <w:p w14:paraId="461944E6" w14:textId="77777777" w:rsidR="0014651E" w:rsidRPr="0014651E" w:rsidRDefault="0014651E">
            <w:pPr>
              <w:jc w:val="right"/>
              <w:rPr>
                <w:rFonts w:asciiTheme="majorHAnsi" w:hAnsiTheme="majorHAnsi" w:cstheme="majorHAnsi"/>
                <w:sz w:val="16"/>
                <w:szCs w:val="16"/>
              </w:rPr>
            </w:pPr>
            <w:r w:rsidRPr="0014651E">
              <w:rPr>
                <w:rFonts w:asciiTheme="majorHAnsi" w:hAnsiTheme="majorHAnsi" w:cstheme="majorHAnsi"/>
                <w:sz w:val="16"/>
                <w:szCs w:val="16"/>
              </w:rPr>
              <w:t xml:space="preserve">                            664.967 </w:t>
            </w:r>
          </w:p>
        </w:tc>
        <w:tc>
          <w:tcPr>
            <w:tcW w:w="859" w:type="pct"/>
            <w:tcBorders>
              <w:top w:val="nil"/>
              <w:left w:val="nil"/>
              <w:bottom w:val="nil"/>
              <w:right w:val="nil"/>
            </w:tcBorders>
            <w:shd w:val="clear" w:color="auto" w:fill="auto"/>
            <w:noWrap/>
            <w:vAlign w:val="bottom"/>
            <w:hideMark/>
          </w:tcPr>
          <w:p w14:paraId="5274F6EF" w14:textId="77777777" w:rsidR="0014651E" w:rsidRPr="0014651E" w:rsidRDefault="0014651E">
            <w:pPr>
              <w:jc w:val="right"/>
              <w:rPr>
                <w:rFonts w:asciiTheme="majorHAnsi" w:hAnsiTheme="majorHAnsi" w:cstheme="majorHAnsi"/>
                <w:sz w:val="16"/>
                <w:szCs w:val="16"/>
              </w:rPr>
            </w:pPr>
            <w:r w:rsidRPr="0014651E">
              <w:rPr>
                <w:rFonts w:asciiTheme="majorHAnsi" w:hAnsiTheme="majorHAnsi" w:cstheme="majorHAnsi"/>
                <w:sz w:val="16"/>
                <w:szCs w:val="16"/>
              </w:rPr>
              <w:t xml:space="preserve">                       647.148 </w:t>
            </w:r>
          </w:p>
        </w:tc>
        <w:tc>
          <w:tcPr>
            <w:tcW w:w="347" w:type="pct"/>
            <w:tcBorders>
              <w:top w:val="nil"/>
              <w:left w:val="nil"/>
              <w:bottom w:val="nil"/>
              <w:right w:val="nil"/>
            </w:tcBorders>
            <w:shd w:val="clear" w:color="auto" w:fill="auto"/>
            <w:noWrap/>
            <w:vAlign w:val="center"/>
            <w:hideMark/>
          </w:tcPr>
          <w:p w14:paraId="6C31FE52" w14:textId="77777777" w:rsidR="0014651E" w:rsidRPr="0014651E" w:rsidRDefault="0014651E" w:rsidP="00C20033">
            <w:pPr>
              <w:jc w:val="center"/>
              <w:rPr>
                <w:rFonts w:asciiTheme="majorHAnsi" w:hAnsiTheme="majorHAnsi" w:cstheme="majorHAnsi"/>
                <w:sz w:val="16"/>
                <w:szCs w:val="16"/>
              </w:rPr>
            </w:pPr>
          </w:p>
        </w:tc>
      </w:tr>
      <w:tr w:rsidR="00591E10" w:rsidRPr="0014651E" w14:paraId="02E26B89" w14:textId="77777777" w:rsidTr="00591E10">
        <w:trPr>
          <w:trHeight w:hRule="exact" w:val="227"/>
        </w:trPr>
        <w:tc>
          <w:tcPr>
            <w:tcW w:w="2839" w:type="pct"/>
            <w:tcBorders>
              <w:top w:val="nil"/>
              <w:left w:val="nil"/>
              <w:bottom w:val="nil"/>
              <w:right w:val="nil"/>
            </w:tcBorders>
            <w:shd w:val="clear" w:color="auto" w:fill="auto"/>
            <w:noWrap/>
            <w:vAlign w:val="bottom"/>
            <w:hideMark/>
          </w:tcPr>
          <w:p w14:paraId="1063C771" w14:textId="77777777" w:rsidR="0014651E" w:rsidRPr="0014651E" w:rsidRDefault="0014651E">
            <w:pPr>
              <w:rPr>
                <w:rFonts w:asciiTheme="majorHAnsi" w:hAnsiTheme="majorHAnsi" w:cstheme="majorHAnsi"/>
                <w:sz w:val="16"/>
                <w:szCs w:val="16"/>
              </w:rPr>
            </w:pPr>
            <w:r w:rsidRPr="0014651E">
              <w:rPr>
                <w:rFonts w:asciiTheme="majorHAnsi" w:hAnsiTheme="majorHAnsi" w:cstheme="majorHAnsi"/>
                <w:sz w:val="16"/>
                <w:szCs w:val="16"/>
              </w:rPr>
              <w:t xml:space="preserve">        Precatórios de Terceiros</w:t>
            </w:r>
          </w:p>
        </w:tc>
        <w:tc>
          <w:tcPr>
            <w:tcW w:w="955" w:type="pct"/>
            <w:tcBorders>
              <w:top w:val="nil"/>
              <w:left w:val="nil"/>
              <w:bottom w:val="nil"/>
              <w:right w:val="nil"/>
            </w:tcBorders>
            <w:shd w:val="clear" w:color="auto" w:fill="auto"/>
            <w:noWrap/>
            <w:vAlign w:val="bottom"/>
            <w:hideMark/>
          </w:tcPr>
          <w:p w14:paraId="5EE6FAF0" w14:textId="77777777" w:rsidR="0014651E" w:rsidRPr="0014651E" w:rsidRDefault="0014651E">
            <w:pPr>
              <w:jc w:val="right"/>
              <w:rPr>
                <w:rFonts w:asciiTheme="majorHAnsi" w:hAnsiTheme="majorHAnsi" w:cstheme="majorHAnsi"/>
                <w:sz w:val="16"/>
                <w:szCs w:val="16"/>
              </w:rPr>
            </w:pPr>
            <w:r w:rsidRPr="0014651E">
              <w:rPr>
                <w:rFonts w:asciiTheme="majorHAnsi" w:hAnsiTheme="majorHAnsi" w:cstheme="majorHAnsi"/>
                <w:sz w:val="16"/>
                <w:szCs w:val="16"/>
              </w:rPr>
              <w:t xml:space="preserve">                            709.295 </w:t>
            </w:r>
          </w:p>
        </w:tc>
        <w:tc>
          <w:tcPr>
            <w:tcW w:w="859" w:type="pct"/>
            <w:tcBorders>
              <w:top w:val="nil"/>
              <w:left w:val="nil"/>
              <w:bottom w:val="nil"/>
              <w:right w:val="nil"/>
            </w:tcBorders>
            <w:shd w:val="clear" w:color="auto" w:fill="auto"/>
            <w:noWrap/>
            <w:vAlign w:val="bottom"/>
            <w:hideMark/>
          </w:tcPr>
          <w:p w14:paraId="5E35AE90" w14:textId="77777777" w:rsidR="0014651E" w:rsidRPr="0014651E" w:rsidRDefault="0014651E">
            <w:pPr>
              <w:jc w:val="right"/>
              <w:rPr>
                <w:rFonts w:asciiTheme="majorHAnsi" w:hAnsiTheme="majorHAnsi" w:cstheme="majorHAnsi"/>
                <w:sz w:val="16"/>
                <w:szCs w:val="16"/>
              </w:rPr>
            </w:pPr>
            <w:r w:rsidRPr="0014651E">
              <w:rPr>
                <w:rFonts w:asciiTheme="majorHAnsi" w:hAnsiTheme="majorHAnsi" w:cstheme="majorHAnsi"/>
                <w:sz w:val="16"/>
                <w:szCs w:val="16"/>
              </w:rPr>
              <w:t xml:space="preserve">                       679.957 </w:t>
            </w:r>
          </w:p>
        </w:tc>
        <w:tc>
          <w:tcPr>
            <w:tcW w:w="347" w:type="pct"/>
            <w:tcBorders>
              <w:top w:val="nil"/>
              <w:left w:val="nil"/>
              <w:bottom w:val="nil"/>
              <w:right w:val="nil"/>
            </w:tcBorders>
            <w:shd w:val="clear" w:color="auto" w:fill="auto"/>
            <w:noWrap/>
            <w:vAlign w:val="center"/>
            <w:hideMark/>
          </w:tcPr>
          <w:p w14:paraId="4C76C14C" w14:textId="77777777" w:rsidR="0014651E" w:rsidRPr="0014651E" w:rsidRDefault="0014651E" w:rsidP="00C20033">
            <w:pPr>
              <w:jc w:val="center"/>
              <w:rPr>
                <w:rFonts w:asciiTheme="majorHAnsi" w:hAnsiTheme="majorHAnsi" w:cstheme="majorHAnsi"/>
                <w:sz w:val="16"/>
                <w:szCs w:val="16"/>
              </w:rPr>
            </w:pPr>
            <w:r w:rsidRPr="0014651E">
              <w:rPr>
                <w:rFonts w:asciiTheme="majorHAnsi" w:hAnsiTheme="majorHAnsi" w:cstheme="majorHAnsi"/>
                <w:sz w:val="16"/>
                <w:szCs w:val="16"/>
              </w:rPr>
              <w:t>(12a)</w:t>
            </w:r>
          </w:p>
        </w:tc>
      </w:tr>
      <w:tr w:rsidR="00591E10" w:rsidRPr="0014651E" w14:paraId="2A04B893" w14:textId="77777777" w:rsidTr="00591E10">
        <w:trPr>
          <w:trHeight w:hRule="exact" w:val="227"/>
        </w:trPr>
        <w:tc>
          <w:tcPr>
            <w:tcW w:w="2839" w:type="pct"/>
            <w:tcBorders>
              <w:top w:val="nil"/>
              <w:left w:val="nil"/>
              <w:bottom w:val="nil"/>
              <w:right w:val="nil"/>
            </w:tcBorders>
            <w:shd w:val="clear" w:color="auto" w:fill="auto"/>
            <w:noWrap/>
            <w:vAlign w:val="bottom"/>
            <w:hideMark/>
          </w:tcPr>
          <w:p w14:paraId="434421F7" w14:textId="77777777" w:rsidR="0014651E" w:rsidRPr="0014651E" w:rsidRDefault="0014651E">
            <w:pPr>
              <w:rPr>
                <w:rFonts w:asciiTheme="majorHAnsi" w:hAnsiTheme="majorHAnsi" w:cstheme="majorHAnsi"/>
                <w:sz w:val="16"/>
                <w:szCs w:val="16"/>
              </w:rPr>
            </w:pPr>
            <w:r w:rsidRPr="0014651E">
              <w:rPr>
                <w:rFonts w:asciiTheme="majorHAnsi" w:hAnsiTheme="majorHAnsi" w:cstheme="majorHAnsi"/>
                <w:sz w:val="16"/>
                <w:szCs w:val="16"/>
              </w:rPr>
              <w:t xml:space="preserve">        Provisões para Contingências Judiciais</w:t>
            </w:r>
          </w:p>
        </w:tc>
        <w:tc>
          <w:tcPr>
            <w:tcW w:w="955" w:type="pct"/>
            <w:tcBorders>
              <w:top w:val="nil"/>
              <w:left w:val="nil"/>
              <w:bottom w:val="nil"/>
              <w:right w:val="nil"/>
            </w:tcBorders>
            <w:shd w:val="clear" w:color="auto" w:fill="auto"/>
            <w:noWrap/>
            <w:vAlign w:val="bottom"/>
            <w:hideMark/>
          </w:tcPr>
          <w:p w14:paraId="27D7C73E" w14:textId="77777777" w:rsidR="0014651E" w:rsidRPr="0014651E" w:rsidRDefault="0014651E">
            <w:pPr>
              <w:jc w:val="right"/>
              <w:rPr>
                <w:rFonts w:asciiTheme="majorHAnsi" w:hAnsiTheme="majorHAnsi" w:cstheme="majorHAnsi"/>
                <w:sz w:val="16"/>
                <w:szCs w:val="16"/>
              </w:rPr>
            </w:pPr>
            <w:r w:rsidRPr="0014651E">
              <w:rPr>
                <w:rFonts w:asciiTheme="majorHAnsi" w:hAnsiTheme="majorHAnsi" w:cstheme="majorHAnsi"/>
                <w:sz w:val="16"/>
                <w:szCs w:val="16"/>
              </w:rPr>
              <w:t xml:space="preserve">                       75.769.622 </w:t>
            </w:r>
          </w:p>
        </w:tc>
        <w:tc>
          <w:tcPr>
            <w:tcW w:w="859" w:type="pct"/>
            <w:tcBorders>
              <w:top w:val="nil"/>
              <w:left w:val="nil"/>
              <w:bottom w:val="nil"/>
              <w:right w:val="nil"/>
            </w:tcBorders>
            <w:shd w:val="clear" w:color="auto" w:fill="auto"/>
            <w:noWrap/>
            <w:vAlign w:val="bottom"/>
            <w:hideMark/>
          </w:tcPr>
          <w:p w14:paraId="1C035D15" w14:textId="77777777" w:rsidR="0014651E" w:rsidRPr="0014651E" w:rsidRDefault="0014651E">
            <w:pPr>
              <w:jc w:val="right"/>
              <w:rPr>
                <w:rFonts w:asciiTheme="majorHAnsi" w:hAnsiTheme="majorHAnsi" w:cstheme="majorHAnsi"/>
                <w:sz w:val="16"/>
                <w:szCs w:val="16"/>
              </w:rPr>
            </w:pPr>
            <w:r w:rsidRPr="0014651E">
              <w:rPr>
                <w:rFonts w:asciiTheme="majorHAnsi" w:hAnsiTheme="majorHAnsi" w:cstheme="majorHAnsi"/>
                <w:sz w:val="16"/>
                <w:szCs w:val="16"/>
              </w:rPr>
              <w:t xml:space="preserve">                 79.197.230 </w:t>
            </w:r>
          </w:p>
        </w:tc>
        <w:tc>
          <w:tcPr>
            <w:tcW w:w="347" w:type="pct"/>
            <w:tcBorders>
              <w:top w:val="nil"/>
              <w:left w:val="nil"/>
              <w:bottom w:val="nil"/>
              <w:right w:val="nil"/>
            </w:tcBorders>
            <w:shd w:val="clear" w:color="auto" w:fill="auto"/>
            <w:noWrap/>
            <w:vAlign w:val="center"/>
            <w:hideMark/>
          </w:tcPr>
          <w:p w14:paraId="4816B403" w14:textId="77777777" w:rsidR="0014651E" w:rsidRPr="0014651E" w:rsidRDefault="0014651E" w:rsidP="00C20033">
            <w:pPr>
              <w:jc w:val="center"/>
              <w:rPr>
                <w:rFonts w:asciiTheme="majorHAnsi" w:hAnsiTheme="majorHAnsi" w:cstheme="majorHAnsi"/>
                <w:sz w:val="16"/>
                <w:szCs w:val="16"/>
              </w:rPr>
            </w:pPr>
            <w:r w:rsidRPr="0014651E">
              <w:rPr>
                <w:rFonts w:asciiTheme="majorHAnsi" w:hAnsiTheme="majorHAnsi" w:cstheme="majorHAnsi"/>
                <w:sz w:val="16"/>
                <w:szCs w:val="16"/>
              </w:rPr>
              <w:t>(11b)</w:t>
            </w:r>
          </w:p>
        </w:tc>
      </w:tr>
      <w:tr w:rsidR="00591E10" w:rsidRPr="0014651E" w14:paraId="3E2531CC" w14:textId="77777777" w:rsidTr="00591E10">
        <w:trPr>
          <w:trHeight w:hRule="exact" w:val="227"/>
        </w:trPr>
        <w:tc>
          <w:tcPr>
            <w:tcW w:w="2839" w:type="pct"/>
            <w:tcBorders>
              <w:top w:val="nil"/>
              <w:left w:val="nil"/>
              <w:bottom w:val="nil"/>
              <w:right w:val="nil"/>
            </w:tcBorders>
            <w:shd w:val="clear" w:color="auto" w:fill="auto"/>
            <w:noWrap/>
            <w:vAlign w:val="bottom"/>
            <w:hideMark/>
          </w:tcPr>
          <w:p w14:paraId="12299EF2" w14:textId="77777777" w:rsidR="0014651E" w:rsidRPr="0014651E" w:rsidRDefault="0014651E">
            <w:pPr>
              <w:rPr>
                <w:rFonts w:asciiTheme="majorHAnsi" w:hAnsiTheme="majorHAnsi" w:cstheme="majorHAnsi"/>
                <w:sz w:val="16"/>
                <w:szCs w:val="16"/>
              </w:rPr>
            </w:pPr>
            <w:r w:rsidRPr="0014651E">
              <w:rPr>
                <w:rFonts w:asciiTheme="majorHAnsi" w:hAnsiTheme="majorHAnsi" w:cstheme="majorHAnsi"/>
                <w:sz w:val="16"/>
                <w:szCs w:val="16"/>
              </w:rPr>
              <w:t xml:space="preserve">        Passivo de Arrendamento Líquido de Juros a Transcorrer</w:t>
            </w:r>
          </w:p>
        </w:tc>
        <w:tc>
          <w:tcPr>
            <w:tcW w:w="955" w:type="pct"/>
            <w:tcBorders>
              <w:top w:val="nil"/>
              <w:left w:val="nil"/>
              <w:bottom w:val="nil"/>
              <w:right w:val="nil"/>
            </w:tcBorders>
            <w:shd w:val="clear" w:color="auto" w:fill="auto"/>
            <w:noWrap/>
            <w:vAlign w:val="bottom"/>
            <w:hideMark/>
          </w:tcPr>
          <w:p w14:paraId="61C35E96" w14:textId="77777777" w:rsidR="0014651E" w:rsidRPr="0014651E" w:rsidRDefault="0014651E">
            <w:pPr>
              <w:jc w:val="right"/>
              <w:rPr>
                <w:rFonts w:asciiTheme="majorHAnsi" w:hAnsiTheme="majorHAnsi" w:cstheme="majorHAnsi"/>
                <w:sz w:val="16"/>
                <w:szCs w:val="16"/>
              </w:rPr>
            </w:pPr>
            <w:r w:rsidRPr="0014651E">
              <w:rPr>
                <w:rFonts w:asciiTheme="majorHAnsi" w:hAnsiTheme="majorHAnsi" w:cstheme="majorHAnsi"/>
                <w:sz w:val="16"/>
                <w:szCs w:val="16"/>
              </w:rPr>
              <w:t xml:space="preserve">                         3.220.525 </w:t>
            </w:r>
          </w:p>
        </w:tc>
        <w:tc>
          <w:tcPr>
            <w:tcW w:w="859" w:type="pct"/>
            <w:tcBorders>
              <w:top w:val="nil"/>
              <w:left w:val="nil"/>
              <w:bottom w:val="nil"/>
              <w:right w:val="nil"/>
            </w:tcBorders>
            <w:shd w:val="clear" w:color="auto" w:fill="auto"/>
            <w:noWrap/>
            <w:vAlign w:val="bottom"/>
            <w:hideMark/>
          </w:tcPr>
          <w:p w14:paraId="1F1094EF" w14:textId="77777777" w:rsidR="0014651E" w:rsidRPr="0014651E" w:rsidRDefault="0014651E">
            <w:pPr>
              <w:jc w:val="right"/>
              <w:rPr>
                <w:rFonts w:asciiTheme="majorHAnsi" w:hAnsiTheme="majorHAnsi" w:cstheme="majorHAnsi"/>
                <w:sz w:val="16"/>
                <w:szCs w:val="16"/>
              </w:rPr>
            </w:pPr>
            <w:r w:rsidRPr="0014651E">
              <w:rPr>
                <w:rFonts w:asciiTheme="majorHAnsi" w:hAnsiTheme="majorHAnsi" w:cstheme="majorHAnsi"/>
                <w:sz w:val="16"/>
                <w:szCs w:val="16"/>
              </w:rPr>
              <w:t xml:space="preserve">                   4.721.400 </w:t>
            </w:r>
          </w:p>
        </w:tc>
        <w:tc>
          <w:tcPr>
            <w:tcW w:w="347" w:type="pct"/>
            <w:tcBorders>
              <w:top w:val="nil"/>
              <w:left w:val="nil"/>
              <w:bottom w:val="nil"/>
              <w:right w:val="nil"/>
            </w:tcBorders>
            <w:shd w:val="clear" w:color="auto" w:fill="auto"/>
            <w:noWrap/>
            <w:vAlign w:val="bottom"/>
            <w:hideMark/>
          </w:tcPr>
          <w:p w14:paraId="5A2E52A4" w14:textId="5E412C96" w:rsidR="0014651E" w:rsidRPr="0014651E" w:rsidRDefault="0014651E" w:rsidP="00C20033">
            <w:pPr>
              <w:jc w:val="center"/>
              <w:rPr>
                <w:rFonts w:asciiTheme="majorHAnsi" w:hAnsiTheme="majorHAnsi" w:cstheme="majorHAnsi"/>
                <w:sz w:val="16"/>
                <w:szCs w:val="16"/>
              </w:rPr>
            </w:pPr>
            <w:r w:rsidRPr="0014651E">
              <w:rPr>
                <w:rFonts w:asciiTheme="majorHAnsi" w:hAnsiTheme="majorHAnsi" w:cstheme="majorHAnsi"/>
                <w:sz w:val="16"/>
                <w:szCs w:val="16"/>
              </w:rPr>
              <w:t>(15)</w:t>
            </w:r>
          </w:p>
        </w:tc>
      </w:tr>
      <w:tr w:rsidR="00591E10" w:rsidRPr="0014651E" w14:paraId="5A473D14" w14:textId="77777777" w:rsidTr="00591E10">
        <w:trPr>
          <w:trHeight w:hRule="exact" w:val="227"/>
        </w:trPr>
        <w:tc>
          <w:tcPr>
            <w:tcW w:w="2839" w:type="pct"/>
            <w:tcBorders>
              <w:top w:val="nil"/>
              <w:left w:val="nil"/>
              <w:bottom w:val="nil"/>
              <w:right w:val="nil"/>
            </w:tcBorders>
            <w:shd w:val="clear" w:color="auto" w:fill="auto"/>
            <w:noWrap/>
            <w:vAlign w:val="bottom"/>
            <w:hideMark/>
          </w:tcPr>
          <w:p w14:paraId="33F43F3E" w14:textId="77777777" w:rsidR="0014651E" w:rsidRPr="0014651E" w:rsidRDefault="0014651E">
            <w:pPr>
              <w:rPr>
                <w:rFonts w:asciiTheme="majorHAnsi" w:hAnsiTheme="majorHAnsi" w:cstheme="majorHAnsi"/>
                <w:sz w:val="16"/>
                <w:szCs w:val="16"/>
              </w:rPr>
            </w:pPr>
          </w:p>
        </w:tc>
        <w:tc>
          <w:tcPr>
            <w:tcW w:w="955" w:type="pct"/>
            <w:tcBorders>
              <w:top w:val="nil"/>
              <w:left w:val="nil"/>
              <w:bottom w:val="nil"/>
              <w:right w:val="nil"/>
            </w:tcBorders>
            <w:shd w:val="clear" w:color="auto" w:fill="auto"/>
            <w:noWrap/>
            <w:vAlign w:val="bottom"/>
            <w:hideMark/>
          </w:tcPr>
          <w:p w14:paraId="3C2B0916" w14:textId="77777777" w:rsidR="0014651E" w:rsidRPr="0014651E" w:rsidRDefault="0014651E">
            <w:pPr>
              <w:rPr>
                <w:rFonts w:asciiTheme="majorHAnsi" w:hAnsiTheme="majorHAnsi" w:cstheme="majorHAnsi"/>
                <w:sz w:val="16"/>
                <w:szCs w:val="16"/>
              </w:rPr>
            </w:pPr>
          </w:p>
        </w:tc>
        <w:tc>
          <w:tcPr>
            <w:tcW w:w="859" w:type="pct"/>
            <w:tcBorders>
              <w:top w:val="nil"/>
              <w:left w:val="nil"/>
              <w:bottom w:val="nil"/>
              <w:right w:val="nil"/>
            </w:tcBorders>
            <w:shd w:val="clear" w:color="auto" w:fill="auto"/>
            <w:noWrap/>
            <w:vAlign w:val="bottom"/>
            <w:hideMark/>
          </w:tcPr>
          <w:p w14:paraId="5A08697B" w14:textId="77777777" w:rsidR="0014651E" w:rsidRPr="0014651E" w:rsidRDefault="0014651E">
            <w:pPr>
              <w:jc w:val="right"/>
              <w:rPr>
                <w:rFonts w:asciiTheme="majorHAnsi" w:hAnsiTheme="majorHAnsi" w:cstheme="majorHAnsi"/>
                <w:sz w:val="16"/>
                <w:szCs w:val="16"/>
              </w:rPr>
            </w:pPr>
          </w:p>
        </w:tc>
        <w:tc>
          <w:tcPr>
            <w:tcW w:w="347" w:type="pct"/>
            <w:tcBorders>
              <w:top w:val="nil"/>
              <w:left w:val="nil"/>
              <w:bottom w:val="nil"/>
              <w:right w:val="nil"/>
            </w:tcBorders>
            <w:shd w:val="clear" w:color="auto" w:fill="auto"/>
            <w:noWrap/>
            <w:vAlign w:val="center"/>
            <w:hideMark/>
          </w:tcPr>
          <w:p w14:paraId="0FC38162" w14:textId="77777777" w:rsidR="0014651E" w:rsidRPr="0014651E" w:rsidRDefault="0014651E" w:rsidP="00C20033">
            <w:pPr>
              <w:jc w:val="center"/>
              <w:rPr>
                <w:rFonts w:asciiTheme="majorHAnsi" w:hAnsiTheme="majorHAnsi" w:cstheme="majorHAnsi"/>
                <w:sz w:val="16"/>
                <w:szCs w:val="16"/>
              </w:rPr>
            </w:pPr>
          </w:p>
        </w:tc>
      </w:tr>
      <w:tr w:rsidR="00591E10" w:rsidRPr="0014651E" w14:paraId="0444ED29" w14:textId="77777777" w:rsidTr="00591E10">
        <w:trPr>
          <w:trHeight w:hRule="exact" w:val="227"/>
        </w:trPr>
        <w:tc>
          <w:tcPr>
            <w:tcW w:w="2839" w:type="pct"/>
            <w:tcBorders>
              <w:top w:val="nil"/>
              <w:left w:val="nil"/>
              <w:bottom w:val="nil"/>
              <w:right w:val="nil"/>
            </w:tcBorders>
            <w:shd w:val="clear" w:color="auto" w:fill="auto"/>
            <w:noWrap/>
            <w:vAlign w:val="bottom"/>
            <w:hideMark/>
          </w:tcPr>
          <w:p w14:paraId="79FF161B" w14:textId="77777777" w:rsidR="0014651E" w:rsidRPr="0014651E" w:rsidRDefault="0014651E">
            <w:pPr>
              <w:rPr>
                <w:rFonts w:asciiTheme="majorHAnsi" w:hAnsiTheme="majorHAnsi" w:cstheme="majorHAnsi"/>
                <w:b/>
                <w:bCs/>
                <w:sz w:val="16"/>
                <w:szCs w:val="16"/>
              </w:rPr>
            </w:pPr>
            <w:r w:rsidRPr="0014651E">
              <w:rPr>
                <w:rFonts w:asciiTheme="majorHAnsi" w:hAnsiTheme="majorHAnsi" w:cstheme="majorHAnsi"/>
                <w:b/>
                <w:bCs/>
                <w:sz w:val="16"/>
                <w:szCs w:val="16"/>
              </w:rPr>
              <w:t>PASSIVO NÃO CIRCULANTE</w:t>
            </w:r>
          </w:p>
        </w:tc>
        <w:tc>
          <w:tcPr>
            <w:tcW w:w="955" w:type="pct"/>
            <w:tcBorders>
              <w:top w:val="nil"/>
              <w:left w:val="nil"/>
              <w:bottom w:val="nil"/>
              <w:right w:val="nil"/>
            </w:tcBorders>
            <w:shd w:val="clear" w:color="auto" w:fill="auto"/>
            <w:noWrap/>
            <w:vAlign w:val="bottom"/>
            <w:hideMark/>
          </w:tcPr>
          <w:p w14:paraId="4A0014F3" w14:textId="77777777" w:rsidR="0014651E" w:rsidRPr="0014651E" w:rsidRDefault="0014651E">
            <w:pPr>
              <w:jc w:val="right"/>
              <w:rPr>
                <w:rFonts w:asciiTheme="majorHAnsi" w:hAnsiTheme="majorHAnsi" w:cstheme="majorHAnsi"/>
                <w:b/>
                <w:bCs/>
                <w:sz w:val="16"/>
                <w:szCs w:val="16"/>
              </w:rPr>
            </w:pPr>
            <w:r w:rsidRPr="0014651E">
              <w:rPr>
                <w:rFonts w:asciiTheme="majorHAnsi" w:hAnsiTheme="majorHAnsi" w:cstheme="majorHAnsi"/>
                <w:b/>
                <w:bCs/>
                <w:sz w:val="16"/>
                <w:szCs w:val="16"/>
              </w:rPr>
              <w:t xml:space="preserve">                 2.417.051.766 </w:t>
            </w:r>
          </w:p>
        </w:tc>
        <w:tc>
          <w:tcPr>
            <w:tcW w:w="859" w:type="pct"/>
            <w:tcBorders>
              <w:top w:val="nil"/>
              <w:left w:val="nil"/>
              <w:bottom w:val="nil"/>
              <w:right w:val="nil"/>
            </w:tcBorders>
            <w:shd w:val="clear" w:color="auto" w:fill="auto"/>
            <w:noWrap/>
            <w:vAlign w:val="bottom"/>
            <w:hideMark/>
          </w:tcPr>
          <w:p w14:paraId="003093F6" w14:textId="77777777" w:rsidR="0014651E" w:rsidRPr="0014651E" w:rsidRDefault="0014651E">
            <w:pPr>
              <w:jc w:val="right"/>
              <w:rPr>
                <w:rFonts w:asciiTheme="majorHAnsi" w:hAnsiTheme="majorHAnsi" w:cstheme="majorHAnsi"/>
                <w:b/>
                <w:bCs/>
                <w:sz w:val="16"/>
                <w:szCs w:val="16"/>
              </w:rPr>
            </w:pPr>
            <w:r w:rsidRPr="0014651E">
              <w:rPr>
                <w:rFonts w:asciiTheme="majorHAnsi" w:hAnsiTheme="majorHAnsi" w:cstheme="majorHAnsi"/>
                <w:b/>
                <w:bCs/>
                <w:sz w:val="16"/>
                <w:szCs w:val="16"/>
              </w:rPr>
              <w:t xml:space="preserve">            2.267.619.862 </w:t>
            </w:r>
          </w:p>
        </w:tc>
        <w:tc>
          <w:tcPr>
            <w:tcW w:w="347" w:type="pct"/>
            <w:tcBorders>
              <w:top w:val="nil"/>
              <w:left w:val="nil"/>
              <w:bottom w:val="nil"/>
              <w:right w:val="nil"/>
            </w:tcBorders>
            <w:shd w:val="clear" w:color="auto" w:fill="auto"/>
            <w:noWrap/>
            <w:vAlign w:val="center"/>
            <w:hideMark/>
          </w:tcPr>
          <w:p w14:paraId="62A8E423" w14:textId="77777777" w:rsidR="0014651E" w:rsidRPr="0014651E" w:rsidRDefault="0014651E" w:rsidP="00C20033">
            <w:pPr>
              <w:jc w:val="center"/>
              <w:rPr>
                <w:rFonts w:asciiTheme="majorHAnsi" w:hAnsiTheme="majorHAnsi" w:cstheme="majorHAnsi"/>
                <w:b/>
                <w:bCs/>
                <w:sz w:val="16"/>
                <w:szCs w:val="16"/>
              </w:rPr>
            </w:pPr>
          </w:p>
        </w:tc>
      </w:tr>
      <w:tr w:rsidR="00591E10" w:rsidRPr="0014651E" w14:paraId="013ADA92" w14:textId="77777777" w:rsidTr="00591E10">
        <w:trPr>
          <w:trHeight w:hRule="exact" w:val="227"/>
        </w:trPr>
        <w:tc>
          <w:tcPr>
            <w:tcW w:w="2839" w:type="pct"/>
            <w:tcBorders>
              <w:top w:val="nil"/>
              <w:left w:val="nil"/>
              <w:bottom w:val="nil"/>
              <w:right w:val="nil"/>
            </w:tcBorders>
            <w:shd w:val="clear" w:color="auto" w:fill="auto"/>
            <w:noWrap/>
            <w:vAlign w:val="bottom"/>
            <w:hideMark/>
          </w:tcPr>
          <w:p w14:paraId="634AE29C" w14:textId="77777777" w:rsidR="0014651E" w:rsidRPr="0014651E" w:rsidRDefault="0014651E">
            <w:pPr>
              <w:rPr>
                <w:rFonts w:asciiTheme="majorHAnsi" w:hAnsiTheme="majorHAnsi" w:cstheme="majorHAnsi"/>
                <w:sz w:val="16"/>
                <w:szCs w:val="16"/>
              </w:rPr>
            </w:pPr>
            <w:r w:rsidRPr="0014651E">
              <w:rPr>
                <w:rFonts w:asciiTheme="majorHAnsi" w:hAnsiTheme="majorHAnsi" w:cstheme="majorHAnsi"/>
                <w:sz w:val="16"/>
                <w:szCs w:val="16"/>
              </w:rPr>
              <w:t xml:space="preserve">        Fornecedores</w:t>
            </w:r>
          </w:p>
        </w:tc>
        <w:tc>
          <w:tcPr>
            <w:tcW w:w="955" w:type="pct"/>
            <w:tcBorders>
              <w:top w:val="nil"/>
              <w:left w:val="nil"/>
              <w:bottom w:val="nil"/>
              <w:right w:val="nil"/>
            </w:tcBorders>
            <w:shd w:val="clear" w:color="auto" w:fill="auto"/>
            <w:noWrap/>
            <w:vAlign w:val="bottom"/>
            <w:hideMark/>
          </w:tcPr>
          <w:p w14:paraId="4AE454A9" w14:textId="77777777" w:rsidR="0014651E" w:rsidRPr="0014651E" w:rsidRDefault="0014651E">
            <w:pPr>
              <w:jc w:val="right"/>
              <w:rPr>
                <w:rFonts w:asciiTheme="majorHAnsi" w:hAnsiTheme="majorHAnsi" w:cstheme="majorHAnsi"/>
                <w:sz w:val="16"/>
                <w:szCs w:val="16"/>
              </w:rPr>
            </w:pPr>
            <w:r w:rsidRPr="0014651E">
              <w:rPr>
                <w:rFonts w:asciiTheme="majorHAnsi" w:hAnsiTheme="majorHAnsi" w:cstheme="majorHAnsi"/>
                <w:sz w:val="16"/>
                <w:szCs w:val="16"/>
              </w:rPr>
              <w:t xml:space="preserve">                         3.077.451 </w:t>
            </w:r>
          </w:p>
        </w:tc>
        <w:tc>
          <w:tcPr>
            <w:tcW w:w="859" w:type="pct"/>
            <w:tcBorders>
              <w:top w:val="nil"/>
              <w:left w:val="nil"/>
              <w:bottom w:val="nil"/>
              <w:right w:val="nil"/>
            </w:tcBorders>
            <w:shd w:val="clear" w:color="auto" w:fill="auto"/>
            <w:noWrap/>
            <w:vAlign w:val="bottom"/>
            <w:hideMark/>
          </w:tcPr>
          <w:p w14:paraId="3490B701" w14:textId="77777777" w:rsidR="0014651E" w:rsidRPr="0014651E" w:rsidRDefault="0014651E">
            <w:pPr>
              <w:jc w:val="right"/>
              <w:rPr>
                <w:rFonts w:asciiTheme="majorHAnsi" w:hAnsiTheme="majorHAnsi" w:cstheme="majorHAnsi"/>
                <w:sz w:val="16"/>
                <w:szCs w:val="16"/>
              </w:rPr>
            </w:pPr>
            <w:r w:rsidRPr="0014651E">
              <w:rPr>
                <w:rFonts w:asciiTheme="majorHAnsi" w:hAnsiTheme="majorHAnsi" w:cstheme="majorHAnsi"/>
                <w:sz w:val="16"/>
                <w:szCs w:val="16"/>
              </w:rPr>
              <w:t xml:space="preserve">                   3.077.451 </w:t>
            </w:r>
          </w:p>
        </w:tc>
        <w:tc>
          <w:tcPr>
            <w:tcW w:w="347" w:type="pct"/>
            <w:tcBorders>
              <w:top w:val="nil"/>
              <w:left w:val="nil"/>
              <w:bottom w:val="nil"/>
              <w:right w:val="nil"/>
            </w:tcBorders>
            <w:shd w:val="clear" w:color="auto" w:fill="auto"/>
            <w:noWrap/>
            <w:vAlign w:val="center"/>
            <w:hideMark/>
          </w:tcPr>
          <w:p w14:paraId="2EC97283" w14:textId="77777777" w:rsidR="0014651E" w:rsidRPr="0014651E" w:rsidRDefault="0014651E" w:rsidP="00C20033">
            <w:pPr>
              <w:jc w:val="center"/>
              <w:rPr>
                <w:rFonts w:asciiTheme="majorHAnsi" w:hAnsiTheme="majorHAnsi" w:cstheme="majorHAnsi"/>
                <w:sz w:val="16"/>
                <w:szCs w:val="16"/>
              </w:rPr>
            </w:pPr>
          </w:p>
        </w:tc>
      </w:tr>
      <w:tr w:rsidR="00591E10" w:rsidRPr="0014651E" w14:paraId="064C87AF" w14:textId="77777777" w:rsidTr="00591E10">
        <w:trPr>
          <w:trHeight w:hRule="exact" w:val="227"/>
        </w:trPr>
        <w:tc>
          <w:tcPr>
            <w:tcW w:w="2839" w:type="pct"/>
            <w:tcBorders>
              <w:top w:val="nil"/>
              <w:left w:val="nil"/>
              <w:bottom w:val="nil"/>
              <w:right w:val="nil"/>
            </w:tcBorders>
            <w:shd w:val="clear" w:color="auto" w:fill="auto"/>
            <w:noWrap/>
            <w:vAlign w:val="bottom"/>
            <w:hideMark/>
          </w:tcPr>
          <w:p w14:paraId="49DFB162" w14:textId="77777777" w:rsidR="0014651E" w:rsidRPr="0014651E" w:rsidRDefault="0014651E">
            <w:pPr>
              <w:rPr>
                <w:rFonts w:asciiTheme="majorHAnsi" w:hAnsiTheme="majorHAnsi" w:cstheme="majorHAnsi"/>
                <w:sz w:val="16"/>
                <w:szCs w:val="16"/>
              </w:rPr>
            </w:pPr>
            <w:r w:rsidRPr="0014651E">
              <w:rPr>
                <w:rFonts w:asciiTheme="majorHAnsi" w:hAnsiTheme="majorHAnsi" w:cstheme="majorHAnsi"/>
                <w:sz w:val="16"/>
                <w:szCs w:val="16"/>
              </w:rPr>
              <w:t xml:space="preserve">        Depósitos retidos sobre fornecedores</w:t>
            </w:r>
          </w:p>
        </w:tc>
        <w:tc>
          <w:tcPr>
            <w:tcW w:w="955" w:type="pct"/>
            <w:tcBorders>
              <w:top w:val="nil"/>
              <w:left w:val="nil"/>
              <w:bottom w:val="nil"/>
              <w:right w:val="nil"/>
            </w:tcBorders>
            <w:shd w:val="clear" w:color="auto" w:fill="auto"/>
            <w:noWrap/>
            <w:vAlign w:val="bottom"/>
            <w:hideMark/>
          </w:tcPr>
          <w:p w14:paraId="25A4EC19" w14:textId="77777777" w:rsidR="0014651E" w:rsidRPr="0014651E" w:rsidRDefault="0014651E">
            <w:pPr>
              <w:jc w:val="right"/>
              <w:rPr>
                <w:rFonts w:asciiTheme="majorHAnsi" w:hAnsiTheme="majorHAnsi" w:cstheme="majorHAnsi"/>
                <w:sz w:val="16"/>
                <w:szCs w:val="16"/>
              </w:rPr>
            </w:pPr>
            <w:r w:rsidRPr="0014651E">
              <w:rPr>
                <w:rFonts w:asciiTheme="majorHAnsi" w:hAnsiTheme="majorHAnsi" w:cstheme="majorHAnsi"/>
                <w:sz w:val="16"/>
                <w:szCs w:val="16"/>
              </w:rPr>
              <w:t xml:space="preserve">                       27.162.101 </w:t>
            </w:r>
          </w:p>
        </w:tc>
        <w:tc>
          <w:tcPr>
            <w:tcW w:w="859" w:type="pct"/>
            <w:tcBorders>
              <w:top w:val="nil"/>
              <w:left w:val="nil"/>
              <w:bottom w:val="nil"/>
              <w:right w:val="nil"/>
            </w:tcBorders>
            <w:shd w:val="clear" w:color="auto" w:fill="auto"/>
            <w:noWrap/>
            <w:vAlign w:val="bottom"/>
            <w:hideMark/>
          </w:tcPr>
          <w:p w14:paraId="430244D0" w14:textId="77777777" w:rsidR="0014651E" w:rsidRPr="0014651E" w:rsidRDefault="0014651E">
            <w:pPr>
              <w:jc w:val="right"/>
              <w:rPr>
                <w:rFonts w:asciiTheme="majorHAnsi" w:hAnsiTheme="majorHAnsi" w:cstheme="majorHAnsi"/>
                <w:sz w:val="16"/>
                <w:szCs w:val="16"/>
              </w:rPr>
            </w:pPr>
            <w:r w:rsidRPr="0014651E">
              <w:rPr>
                <w:rFonts w:asciiTheme="majorHAnsi" w:hAnsiTheme="majorHAnsi" w:cstheme="majorHAnsi"/>
                <w:sz w:val="16"/>
                <w:szCs w:val="16"/>
              </w:rPr>
              <w:t xml:space="preserve">                 27.082.990 </w:t>
            </w:r>
          </w:p>
        </w:tc>
        <w:tc>
          <w:tcPr>
            <w:tcW w:w="347" w:type="pct"/>
            <w:tcBorders>
              <w:top w:val="nil"/>
              <w:left w:val="nil"/>
              <w:bottom w:val="nil"/>
              <w:right w:val="nil"/>
            </w:tcBorders>
            <w:shd w:val="clear" w:color="auto" w:fill="auto"/>
            <w:noWrap/>
            <w:vAlign w:val="center"/>
            <w:hideMark/>
          </w:tcPr>
          <w:p w14:paraId="4916AF36" w14:textId="77777777" w:rsidR="0014651E" w:rsidRPr="0014651E" w:rsidRDefault="0014651E" w:rsidP="00C20033">
            <w:pPr>
              <w:jc w:val="center"/>
              <w:rPr>
                <w:rFonts w:asciiTheme="majorHAnsi" w:hAnsiTheme="majorHAnsi" w:cstheme="majorHAnsi"/>
                <w:sz w:val="16"/>
                <w:szCs w:val="16"/>
              </w:rPr>
            </w:pPr>
            <w:r w:rsidRPr="0014651E">
              <w:rPr>
                <w:rFonts w:asciiTheme="majorHAnsi" w:hAnsiTheme="majorHAnsi" w:cstheme="majorHAnsi"/>
                <w:sz w:val="16"/>
                <w:szCs w:val="16"/>
              </w:rPr>
              <w:t>(11a)</w:t>
            </w:r>
          </w:p>
        </w:tc>
      </w:tr>
      <w:tr w:rsidR="00591E10" w:rsidRPr="0014651E" w14:paraId="492BBE73" w14:textId="77777777" w:rsidTr="00591E10">
        <w:trPr>
          <w:trHeight w:hRule="exact" w:val="227"/>
        </w:trPr>
        <w:tc>
          <w:tcPr>
            <w:tcW w:w="2839" w:type="pct"/>
            <w:tcBorders>
              <w:top w:val="nil"/>
              <w:left w:val="nil"/>
              <w:bottom w:val="nil"/>
              <w:right w:val="nil"/>
            </w:tcBorders>
            <w:shd w:val="clear" w:color="auto" w:fill="auto"/>
            <w:noWrap/>
            <w:vAlign w:val="bottom"/>
            <w:hideMark/>
          </w:tcPr>
          <w:p w14:paraId="40FDE89D" w14:textId="77777777" w:rsidR="0014651E" w:rsidRPr="0014651E" w:rsidRDefault="0014651E">
            <w:pPr>
              <w:rPr>
                <w:rFonts w:asciiTheme="majorHAnsi" w:hAnsiTheme="majorHAnsi" w:cstheme="majorHAnsi"/>
                <w:sz w:val="16"/>
                <w:szCs w:val="16"/>
              </w:rPr>
            </w:pPr>
            <w:r w:rsidRPr="0014651E">
              <w:rPr>
                <w:rFonts w:asciiTheme="majorHAnsi" w:hAnsiTheme="majorHAnsi" w:cstheme="majorHAnsi"/>
                <w:sz w:val="16"/>
                <w:szCs w:val="16"/>
              </w:rPr>
              <w:t xml:space="preserve">        Provisões para Contingências Judiciais</w:t>
            </w:r>
          </w:p>
        </w:tc>
        <w:tc>
          <w:tcPr>
            <w:tcW w:w="955" w:type="pct"/>
            <w:tcBorders>
              <w:top w:val="nil"/>
              <w:left w:val="nil"/>
              <w:bottom w:val="nil"/>
              <w:right w:val="nil"/>
            </w:tcBorders>
            <w:shd w:val="clear" w:color="auto" w:fill="auto"/>
            <w:noWrap/>
            <w:vAlign w:val="bottom"/>
            <w:hideMark/>
          </w:tcPr>
          <w:p w14:paraId="67D1B709" w14:textId="77777777" w:rsidR="0014651E" w:rsidRPr="0014651E" w:rsidRDefault="0014651E">
            <w:pPr>
              <w:jc w:val="right"/>
              <w:rPr>
                <w:rFonts w:asciiTheme="majorHAnsi" w:hAnsiTheme="majorHAnsi" w:cstheme="majorHAnsi"/>
                <w:sz w:val="16"/>
                <w:szCs w:val="16"/>
              </w:rPr>
            </w:pPr>
            <w:r w:rsidRPr="0014651E">
              <w:rPr>
                <w:rFonts w:asciiTheme="majorHAnsi" w:hAnsiTheme="majorHAnsi" w:cstheme="majorHAnsi"/>
                <w:sz w:val="16"/>
                <w:szCs w:val="16"/>
              </w:rPr>
              <w:t xml:space="preserve">                 1.848.033.435 </w:t>
            </w:r>
          </w:p>
        </w:tc>
        <w:tc>
          <w:tcPr>
            <w:tcW w:w="859" w:type="pct"/>
            <w:tcBorders>
              <w:top w:val="nil"/>
              <w:left w:val="nil"/>
              <w:bottom w:val="nil"/>
              <w:right w:val="nil"/>
            </w:tcBorders>
            <w:shd w:val="clear" w:color="auto" w:fill="auto"/>
            <w:noWrap/>
            <w:vAlign w:val="bottom"/>
            <w:hideMark/>
          </w:tcPr>
          <w:p w14:paraId="7367B29A" w14:textId="77777777" w:rsidR="0014651E" w:rsidRPr="0014651E" w:rsidRDefault="0014651E">
            <w:pPr>
              <w:jc w:val="right"/>
              <w:rPr>
                <w:rFonts w:asciiTheme="majorHAnsi" w:hAnsiTheme="majorHAnsi" w:cstheme="majorHAnsi"/>
                <w:sz w:val="16"/>
                <w:szCs w:val="16"/>
              </w:rPr>
            </w:pPr>
            <w:r w:rsidRPr="0014651E">
              <w:rPr>
                <w:rFonts w:asciiTheme="majorHAnsi" w:hAnsiTheme="majorHAnsi" w:cstheme="majorHAnsi"/>
                <w:sz w:val="16"/>
                <w:szCs w:val="16"/>
              </w:rPr>
              <w:t xml:space="preserve">            1.892.365.689 </w:t>
            </w:r>
          </w:p>
        </w:tc>
        <w:tc>
          <w:tcPr>
            <w:tcW w:w="347" w:type="pct"/>
            <w:tcBorders>
              <w:top w:val="nil"/>
              <w:left w:val="nil"/>
              <w:bottom w:val="nil"/>
              <w:right w:val="nil"/>
            </w:tcBorders>
            <w:shd w:val="clear" w:color="auto" w:fill="auto"/>
            <w:noWrap/>
            <w:vAlign w:val="center"/>
            <w:hideMark/>
          </w:tcPr>
          <w:p w14:paraId="6C3BB215" w14:textId="77777777" w:rsidR="0014651E" w:rsidRPr="0014651E" w:rsidRDefault="0014651E" w:rsidP="00C20033">
            <w:pPr>
              <w:jc w:val="center"/>
              <w:rPr>
                <w:rFonts w:asciiTheme="majorHAnsi" w:hAnsiTheme="majorHAnsi" w:cstheme="majorHAnsi"/>
                <w:sz w:val="16"/>
                <w:szCs w:val="16"/>
              </w:rPr>
            </w:pPr>
            <w:r w:rsidRPr="0014651E">
              <w:rPr>
                <w:rFonts w:asciiTheme="majorHAnsi" w:hAnsiTheme="majorHAnsi" w:cstheme="majorHAnsi"/>
                <w:sz w:val="16"/>
                <w:szCs w:val="16"/>
              </w:rPr>
              <w:t>(11b)</w:t>
            </w:r>
          </w:p>
        </w:tc>
      </w:tr>
      <w:tr w:rsidR="00591E10" w:rsidRPr="0014651E" w14:paraId="0948DE25" w14:textId="77777777" w:rsidTr="00591E10">
        <w:trPr>
          <w:trHeight w:hRule="exact" w:val="227"/>
        </w:trPr>
        <w:tc>
          <w:tcPr>
            <w:tcW w:w="2839" w:type="pct"/>
            <w:tcBorders>
              <w:top w:val="nil"/>
              <w:left w:val="nil"/>
              <w:bottom w:val="nil"/>
              <w:right w:val="nil"/>
            </w:tcBorders>
            <w:shd w:val="clear" w:color="auto" w:fill="auto"/>
            <w:noWrap/>
            <w:vAlign w:val="bottom"/>
            <w:hideMark/>
          </w:tcPr>
          <w:p w14:paraId="2E360E21" w14:textId="77777777" w:rsidR="0014651E" w:rsidRPr="0014651E" w:rsidRDefault="0014651E">
            <w:pPr>
              <w:rPr>
                <w:rFonts w:asciiTheme="majorHAnsi" w:hAnsiTheme="majorHAnsi" w:cstheme="majorHAnsi"/>
                <w:sz w:val="16"/>
                <w:szCs w:val="16"/>
              </w:rPr>
            </w:pPr>
            <w:r w:rsidRPr="0014651E">
              <w:rPr>
                <w:rFonts w:asciiTheme="majorHAnsi" w:hAnsiTheme="majorHAnsi" w:cstheme="majorHAnsi"/>
                <w:sz w:val="16"/>
                <w:szCs w:val="16"/>
              </w:rPr>
              <w:t xml:space="preserve">        Depósitos de Cauções</w:t>
            </w:r>
          </w:p>
        </w:tc>
        <w:tc>
          <w:tcPr>
            <w:tcW w:w="955" w:type="pct"/>
            <w:tcBorders>
              <w:top w:val="nil"/>
              <w:left w:val="nil"/>
              <w:bottom w:val="nil"/>
              <w:right w:val="nil"/>
            </w:tcBorders>
            <w:shd w:val="clear" w:color="auto" w:fill="auto"/>
            <w:noWrap/>
            <w:vAlign w:val="bottom"/>
            <w:hideMark/>
          </w:tcPr>
          <w:p w14:paraId="6AC8E559" w14:textId="77777777" w:rsidR="0014651E" w:rsidRPr="0014651E" w:rsidRDefault="0014651E">
            <w:pPr>
              <w:jc w:val="right"/>
              <w:rPr>
                <w:rFonts w:asciiTheme="majorHAnsi" w:hAnsiTheme="majorHAnsi" w:cstheme="majorHAnsi"/>
                <w:sz w:val="16"/>
                <w:szCs w:val="16"/>
              </w:rPr>
            </w:pPr>
            <w:r w:rsidRPr="0014651E">
              <w:rPr>
                <w:rFonts w:asciiTheme="majorHAnsi" w:hAnsiTheme="majorHAnsi" w:cstheme="majorHAnsi"/>
                <w:sz w:val="16"/>
                <w:szCs w:val="16"/>
              </w:rPr>
              <w:t xml:space="preserve">                            429.203 </w:t>
            </w:r>
          </w:p>
        </w:tc>
        <w:tc>
          <w:tcPr>
            <w:tcW w:w="859" w:type="pct"/>
            <w:tcBorders>
              <w:top w:val="nil"/>
              <w:left w:val="nil"/>
              <w:bottom w:val="nil"/>
              <w:right w:val="nil"/>
            </w:tcBorders>
            <w:shd w:val="clear" w:color="auto" w:fill="auto"/>
            <w:noWrap/>
            <w:vAlign w:val="bottom"/>
            <w:hideMark/>
          </w:tcPr>
          <w:p w14:paraId="38136D9C" w14:textId="77777777" w:rsidR="0014651E" w:rsidRPr="0014651E" w:rsidRDefault="0014651E">
            <w:pPr>
              <w:jc w:val="right"/>
              <w:rPr>
                <w:rFonts w:asciiTheme="majorHAnsi" w:hAnsiTheme="majorHAnsi" w:cstheme="majorHAnsi"/>
                <w:sz w:val="16"/>
                <w:szCs w:val="16"/>
              </w:rPr>
            </w:pPr>
            <w:r w:rsidRPr="0014651E">
              <w:rPr>
                <w:rFonts w:asciiTheme="majorHAnsi" w:hAnsiTheme="majorHAnsi" w:cstheme="majorHAnsi"/>
                <w:sz w:val="16"/>
                <w:szCs w:val="16"/>
              </w:rPr>
              <w:t xml:space="preserve">                       257.472 </w:t>
            </w:r>
          </w:p>
        </w:tc>
        <w:tc>
          <w:tcPr>
            <w:tcW w:w="347" w:type="pct"/>
            <w:tcBorders>
              <w:top w:val="nil"/>
              <w:left w:val="nil"/>
              <w:bottom w:val="nil"/>
              <w:right w:val="nil"/>
            </w:tcBorders>
            <w:shd w:val="clear" w:color="auto" w:fill="auto"/>
            <w:noWrap/>
            <w:vAlign w:val="center"/>
            <w:hideMark/>
          </w:tcPr>
          <w:p w14:paraId="5C60D143" w14:textId="77777777" w:rsidR="0014651E" w:rsidRPr="0014651E" w:rsidRDefault="0014651E" w:rsidP="00C20033">
            <w:pPr>
              <w:jc w:val="center"/>
              <w:rPr>
                <w:rFonts w:asciiTheme="majorHAnsi" w:hAnsiTheme="majorHAnsi" w:cstheme="majorHAnsi"/>
                <w:sz w:val="16"/>
                <w:szCs w:val="16"/>
              </w:rPr>
            </w:pPr>
            <w:r w:rsidRPr="0014651E">
              <w:rPr>
                <w:rFonts w:asciiTheme="majorHAnsi" w:hAnsiTheme="majorHAnsi" w:cstheme="majorHAnsi"/>
                <w:sz w:val="16"/>
                <w:szCs w:val="16"/>
              </w:rPr>
              <w:t>(5a)</w:t>
            </w:r>
          </w:p>
        </w:tc>
      </w:tr>
      <w:tr w:rsidR="00591E10" w:rsidRPr="0014651E" w14:paraId="37C29B68" w14:textId="77777777" w:rsidTr="00591E10">
        <w:trPr>
          <w:trHeight w:hRule="exact" w:val="227"/>
        </w:trPr>
        <w:tc>
          <w:tcPr>
            <w:tcW w:w="2839" w:type="pct"/>
            <w:tcBorders>
              <w:top w:val="nil"/>
              <w:left w:val="nil"/>
              <w:bottom w:val="nil"/>
              <w:right w:val="nil"/>
            </w:tcBorders>
            <w:shd w:val="clear" w:color="auto" w:fill="auto"/>
            <w:noWrap/>
            <w:vAlign w:val="bottom"/>
            <w:hideMark/>
          </w:tcPr>
          <w:p w14:paraId="4B7EED02" w14:textId="77777777" w:rsidR="0014651E" w:rsidRPr="0014651E" w:rsidRDefault="0014651E">
            <w:pPr>
              <w:rPr>
                <w:rFonts w:asciiTheme="majorHAnsi" w:hAnsiTheme="majorHAnsi" w:cstheme="majorHAnsi"/>
                <w:sz w:val="16"/>
                <w:szCs w:val="16"/>
              </w:rPr>
            </w:pPr>
            <w:r w:rsidRPr="0014651E">
              <w:rPr>
                <w:rFonts w:asciiTheme="majorHAnsi" w:hAnsiTheme="majorHAnsi" w:cstheme="majorHAnsi"/>
                <w:sz w:val="16"/>
                <w:szCs w:val="16"/>
              </w:rPr>
              <w:t xml:space="preserve">        Precatórios de Terceiros</w:t>
            </w:r>
          </w:p>
        </w:tc>
        <w:tc>
          <w:tcPr>
            <w:tcW w:w="955" w:type="pct"/>
            <w:tcBorders>
              <w:top w:val="nil"/>
              <w:left w:val="nil"/>
              <w:bottom w:val="nil"/>
              <w:right w:val="nil"/>
            </w:tcBorders>
            <w:shd w:val="clear" w:color="auto" w:fill="auto"/>
            <w:noWrap/>
            <w:vAlign w:val="bottom"/>
            <w:hideMark/>
          </w:tcPr>
          <w:p w14:paraId="5F574F13" w14:textId="77777777" w:rsidR="0014651E" w:rsidRPr="0014651E" w:rsidRDefault="0014651E">
            <w:pPr>
              <w:jc w:val="right"/>
              <w:rPr>
                <w:rFonts w:asciiTheme="majorHAnsi" w:hAnsiTheme="majorHAnsi" w:cstheme="majorHAnsi"/>
                <w:sz w:val="16"/>
                <w:szCs w:val="16"/>
              </w:rPr>
            </w:pPr>
            <w:r w:rsidRPr="0014651E">
              <w:rPr>
                <w:rFonts w:asciiTheme="majorHAnsi" w:hAnsiTheme="majorHAnsi" w:cstheme="majorHAnsi"/>
                <w:sz w:val="16"/>
                <w:szCs w:val="16"/>
              </w:rPr>
              <w:t xml:space="preserve">                            126.654 </w:t>
            </w:r>
          </w:p>
        </w:tc>
        <w:tc>
          <w:tcPr>
            <w:tcW w:w="859" w:type="pct"/>
            <w:tcBorders>
              <w:top w:val="nil"/>
              <w:left w:val="nil"/>
              <w:bottom w:val="nil"/>
              <w:right w:val="nil"/>
            </w:tcBorders>
            <w:shd w:val="clear" w:color="auto" w:fill="auto"/>
            <w:noWrap/>
            <w:vAlign w:val="bottom"/>
            <w:hideMark/>
          </w:tcPr>
          <w:p w14:paraId="33817494" w14:textId="77777777" w:rsidR="0014651E" w:rsidRPr="0014651E" w:rsidRDefault="0014651E">
            <w:pPr>
              <w:jc w:val="right"/>
              <w:rPr>
                <w:rFonts w:asciiTheme="majorHAnsi" w:hAnsiTheme="majorHAnsi" w:cstheme="majorHAnsi"/>
                <w:sz w:val="16"/>
                <w:szCs w:val="16"/>
              </w:rPr>
            </w:pPr>
            <w:r w:rsidRPr="0014651E">
              <w:rPr>
                <w:rFonts w:asciiTheme="majorHAnsi" w:hAnsiTheme="majorHAnsi" w:cstheme="majorHAnsi"/>
                <w:sz w:val="16"/>
                <w:szCs w:val="16"/>
              </w:rPr>
              <w:t xml:space="preserve">                       121.593 </w:t>
            </w:r>
          </w:p>
        </w:tc>
        <w:tc>
          <w:tcPr>
            <w:tcW w:w="347" w:type="pct"/>
            <w:tcBorders>
              <w:top w:val="nil"/>
              <w:left w:val="nil"/>
              <w:bottom w:val="nil"/>
              <w:right w:val="nil"/>
            </w:tcBorders>
            <w:shd w:val="clear" w:color="auto" w:fill="auto"/>
            <w:noWrap/>
            <w:vAlign w:val="center"/>
            <w:hideMark/>
          </w:tcPr>
          <w:p w14:paraId="08622218" w14:textId="77777777" w:rsidR="0014651E" w:rsidRPr="0014651E" w:rsidRDefault="0014651E" w:rsidP="00C20033">
            <w:pPr>
              <w:jc w:val="center"/>
              <w:rPr>
                <w:rFonts w:asciiTheme="majorHAnsi" w:hAnsiTheme="majorHAnsi" w:cstheme="majorHAnsi"/>
                <w:sz w:val="16"/>
                <w:szCs w:val="16"/>
              </w:rPr>
            </w:pPr>
            <w:r w:rsidRPr="0014651E">
              <w:rPr>
                <w:rFonts w:asciiTheme="majorHAnsi" w:hAnsiTheme="majorHAnsi" w:cstheme="majorHAnsi"/>
                <w:sz w:val="16"/>
                <w:szCs w:val="16"/>
              </w:rPr>
              <w:t>(12b)</w:t>
            </w:r>
          </w:p>
        </w:tc>
      </w:tr>
      <w:tr w:rsidR="00591E10" w:rsidRPr="0014651E" w14:paraId="5D12E6D7" w14:textId="77777777" w:rsidTr="00591E10">
        <w:trPr>
          <w:trHeight w:hRule="exact" w:val="227"/>
        </w:trPr>
        <w:tc>
          <w:tcPr>
            <w:tcW w:w="2839" w:type="pct"/>
            <w:tcBorders>
              <w:top w:val="nil"/>
              <w:left w:val="nil"/>
              <w:bottom w:val="nil"/>
              <w:right w:val="nil"/>
            </w:tcBorders>
            <w:shd w:val="clear" w:color="auto" w:fill="auto"/>
            <w:noWrap/>
            <w:vAlign w:val="bottom"/>
            <w:hideMark/>
          </w:tcPr>
          <w:p w14:paraId="3FD0B076" w14:textId="77777777" w:rsidR="0014651E" w:rsidRPr="0014651E" w:rsidRDefault="0014651E">
            <w:pPr>
              <w:rPr>
                <w:rFonts w:asciiTheme="majorHAnsi" w:hAnsiTheme="majorHAnsi" w:cstheme="majorHAnsi"/>
                <w:sz w:val="16"/>
                <w:szCs w:val="16"/>
              </w:rPr>
            </w:pPr>
            <w:r w:rsidRPr="0014651E">
              <w:rPr>
                <w:rFonts w:asciiTheme="majorHAnsi" w:hAnsiTheme="majorHAnsi" w:cstheme="majorHAnsi"/>
                <w:sz w:val="16"/>
                <w:szCs w:val="16"/>
              </w:rPr>
              <w:t xml:space="preserve">        Receita a diferir - Subconcessão FIOL</w:t>
            </w:r>
          </w:p>
        </w:tc>
        <w:tc>
          <w:tcPr>
            <w:tcW w:w="955" w:type="pct"/>
            <w:tcBorders>
              <w:top w:val="nil"/>
              <w:left w:val="nil"/>
              <w:bottom w:val="nil"/>
              <w:right w:val="nil"/>
            </w:tcBorders>
            <w:shd w:val="clear" w:color="auto" w:fill="auto"/>
            <w:noWrap/>
            <w:vAlign w:val="bottom"/>
            <w:hideMark/>
          </w:tcPr>
          <w:p w14:paraId="440E63E0" w14:textId="77777777" w:rsidR="0014651E" w:rsidRPr="0014651E" w:rsidRDefault="0014651E">
            <w:pPr>
              <w:jc w:val="right"/>
              <w:rPr>
                <w:rFonts w:asciiTheme="majorHAnsi" w:hAnsiTheme="majorHAnsi" w:cstheme="majorHAnsi"/>
                <w:sz w:val="16"/>
                <w:szCs w:val="16"/>
              </w:rPr>
            </w:pPr>
            <w:r w:rsidRPr="0014651E">
              <w:rPr>
                <w:rFonts w:asciiTheme="majorHAnsi" w:hAnsiTheme="majorHAnsi" w:cstheme="majorHAnsi"/>
                <w:sz w:val="16"/>
                <w:szCs w:val="16"/>
              </w:rPr>
              <w:t xml:space="preserve">                       28.911.500 </w:t>
            </w:r>
          </w:p>
        </w:tc>
        <w:tc>
          <w:tcPr>
            <w:tcW w:w="859" w:type="pct"/>
            <w:tcBorders>
              <w:top w:val="nil"/>
              <w:left w:val="nil"/>
              <w:bottom w:val="nil"/>
              <w:right w:val="nil"/>
            </w:tcBorders>
            <w:shd w:val="clear" w:color="auto" w:fill="auto"/>
            <w:noWrap/>
            <w:vAlign w:val="bottom"/>
            <w:hideMark/>
          </w:tcPr>
          <w:p w14:paraId="771A6D60" w14:textId="77777777" w:rsidR="0014651E" w:rsidRPr="0014651E" w:rsidRDefault="0014651E">
            <w:pPr>
              <w:jc w:val="right"/>
              <w:rPr>
                <w:rFonts w:asciiTheme="majorHAnsi" w:hAnsiTheme="majorHAnsi" w:cstheme="majorHAnsi"/>
                <w:sz w:val="16"/>
                <w:szCs w:val="16"/>
              </w:rPr>
            </w:pPr>
            <w:r w:rsidRPr="0014651E">
              <w:rPr>
                <w:rFonts w:asciiTheme="majorHAnsi" w:hAnsiTheme="majorHAnsi" w:cstheme="majorHAnsi"/>
                <w:sz w:val="16"/>
                <w:szCs w:val="16"/>
              </w:rPr>
              <w:t xml:space="preserve">                 30.002.500 </w:t>
            </w:r>
          </w:p>
        </w:tc>
        <w:tc>
          <w:tcPr>
            <w:tcW w:w="347" w:type="pct"/>
            <w:tcBorders>
              <w:top w:val="nil"/>
              <w:left w:val="nil"/>
              <w:bottom w:val="nil"/>
              <w:right w:val="nil"/>
            </w:tcBorders>
            <w:shd w:val="clear" w:color="auto" w:fill="auto"/>
            <w:noWrap/>
            <w:vAlign w:val="center"/>
            <w:hideMark/>
          </w:tcPr>
          <w:p w14:paraId="4BE2F662" w14:textId="77777777" w:rsidR="0014651E" w:rsidRPr="0014651E" w:rsidRDefault="0014651E" w:rsidP="00C20033">
            <w:pPr>
              <w:jc w:val="center"/>
              <w:rPr>
                <w:rFonts w:asciiTheme="majorHAnsi" w:hAnsiTheme="majorHAnsi" w:cstheme="majorHAnsi"/>
                <w:sz w:val="16"/>
                <w:szCs w:val="16"/>
              </w:rPr>
            </w:pPr>
            <w:r w:rsidRPr="0014651E">
              <w:rPr>
                <w:rFonts w:asciiTheme="majorHAnsi" w:hAnsiTheme="majorHAnsi" w:cstheme="majorHAnsi"/>
                <w:sz w:val="16"/>
                <w:szCs w:val="16"/>
              </w:rPr>
              <w:t>(13b)</w:t>
            </w:r>
          </w:p>
        </w:tc>
      </w:tr>
      <w:tr w:rsidR="00591E10" w:rsidRPr="0014651E" w14:paraId="266F1D5E" w14:textId="77777777" w:rsidTr="00591E10">
        <w:trPr>
          <w:trHeight w:hRule="exact" w:val="227"/>
        </w:trPr>
        <w:tc>
          <w:tcPr>
            <w:tcW w:w="2839" w:type="pct"/>
            <w:tcBorders>
              <w:top w:val="nil"/>
              <w:left w:val="nil"/>
              <w:bottom w:val="nil"/>
              <w:right w:val="nil"/>
            </w:tcBorders>
            <w:shd w:val="clear" w:color="auto" w:fill="auto"/>
            <w:noWrap/>
            <w:vAlign w:val="bottom"/>
            <w:hideMark/>
          </w:tcPr>
          <w:p w14:paraId="392EACC2" w14:textId="77777777" w:rsidR="0014651E" w:rsidRPr="0014651E" w:rsidRDefault="0014651E">
            <w:pPr>
              <w:rPr>
                <w:rFonts w:asciiTheme="majorHAnsi" w:hAnsiTheme="majorHAnsi" w:cstheme="majorHAnsi"/>
                <w:sz w:val="16"/>
                <w:szCs w:val="16"/>
              </w:rPr>
            </w:pPr>
            <w:r w:rsidRPr="0014651E">
              <w:rPr>
                <w:rFonts w:asciiTheme="majorHAnsi" w:hAnsiTheme="majorHAnsi" w:cstheme="majorHAnsi"/>
                <w:sz w:val="16"/>
                <w:szCs w:val="16"/>
              </w:rPr>
              <w:t xml:space="preserve">        Receita a diferir - Pátios e Terminais</w:t>
            </w:r>
          </w:p>
        </w:tc>
        <w:tc>
          <w:tcPr>
            <w:tcW w:w="955" w:type="pct"/>
            <w:tcBorders>
              <w:top w:val="nil"/>
              <w:left w:val="nil"/>
              <w:bottom w:val="nil"/>
              <w:right w:val="nil"/>
            </w:tcBorders>
            <w:shd w:val="clear" w:color="auto" w:fill="auto"/>
            <w:noWrap/>
            <w:vAlign w:val="bottom"/>
            <w:hideMark/>
          </w:tcPr>
          <w:p w14:paraId="4EA66278" w14:textId="77777777" w:rsidR="0014651E" w:rsidRPr="0014651E" w:rsidRDefault="0014651E">
            <w:pPr>
              <w:jc w:val="right"/>
              <w:rPr>
                <w:rFonts w:asciiTheme="majorHAnsi" w:hAnsiTheme="majorHAnsi" w:cstheme="majorHAnsi"/>
                <w:sz w:val="16"/>
                <w:szCs w:val="16"/>
              </w:rPr>
            </w:pPr>
            <w:r w:rsidRPr="0014651E">
              <w:rPr>
                <w:rFonts w:asciiTheme="majorHAnsi" w:hAnsiTheme="majorHAnsi" w:cstheme="majorHAnsi"/>
                <w:sz w:val="16"/>
                <w:szCs w:val="16"/>
              </w:rPr>
              <w:t xml:space="preserve">                       40.149.624 </w:t>
            </w:r>
          </w:p>
        </w:tc>
        <w:tc>
          <w:tcPr>
            <w:tcW w:w="859" w:type="pct"/>
            <w:tcBorders>
              <w:top w:val="nil"/>
              <w:left w:val="nil"/>
              <w:bottom w:val="nil"/>
              <w:right w:val="nil"/>
            </w:tcBorders>
            <w:shd w:val="clear" w:color="auto" w:fill="auto"/>
            <w:noWrap/>
            <w:vAlign w:val="bottom"/>
            <w:hideMark/>
          </w:tcPr>
          <w:p w14:paraId="601C872F" w14:textId="77777777" w:rsidR="0014651E" w:rsidRPr="0014651E" w:rsidRDefault="0014651E">
            <w:pPr>
              <w:jc w:val="right"/>
              <w:rPr>
                <w:rFonts w:asciiTheme="majorHAnsi" w:hAnsiTheme="majorHAnsi" w:cstheme="majorHAnsi"/>
                <w:sz w:val="16"/>
                <w:szCs w:val="16"/>
              </w:rPr>
            </w:pPr>
            <w:r w:rsidRPr="0014651E">
              <w:rPr>
                <w:rFonts w:asciiTheme="majorHAnsi" w:hAnsiTheme="majorHAnsi" w:cstheme="majorHAnsi"/>
                <w:sz w:val="16"/>
                <w:szCs w:val="16"/>
              </w:rPr>
              <w:t xml:space="preserve">                 33.331.210 </w:t>
            </w:r>
          </w:p>
        </w:tc>
        <w:tc>
          <w:tcPr>
            <w:tcW w:w="347" w:type="pct"/>
            <w:tcBorders>
              <w:top w:val="nil"/>
              <w:left w:val="nil"/>
              <w:bottom w:val="nil"/>
              <w:right w:val="nil"/>
            </w:tcBorders>
            <w:shd w:val="clear" w:color="auto" w:fill="auto"/>
            <w:noWrap/>
            <w:vAlign w:val="bottom"/>
            <w:hideMark/>
          </w:tcPr>
          <w:p w14:paraId="417AFE00" w14:textId="28FD4AD2" w:rsidR="0014651E" w:rsidRPr="0014651E" w:rsidRDefault="0014651E" w:rsidP="00C20033">
            <w:pPr>
              <w:jc w:val="center"/>
              <w:rPr>
                <w:rFonts w:asciiTheme="majorHAnsi" w:hAnsiTheme="majorHAnsi" w:cstheme="majorHAnsi"/>
                <w:sz w:val="16"/>
                <w:szCs w:val="16"/>
              </w:rPr>
            </w:pPr>
            <w:r w:rsidRPr="0014651E">
              <w:rPr>
                <w:rFonts w:asciiTheme="majorHAnsi" w:hAnsiTheme="majorHAnsi" w:cstheme="majorHAnsi"/>
                <w:sz w:val="16"/>
                <w:szCs w:val="16"/>
              </w:rPr>
              <w:t>(13a)</w:t>
            </w:r>
          </w:p>
        </w:tc>
      </w:tr>
      <w:tr w:rsidR="00591E10" w:rsidRPr="0014651E" w14:paraId="7391B322" w14:textId="77777777" w:rsidTr="00591E10">
        <w:trPr>
          <w:trHeight w:hRule="exact" w:val="227"/>
        </w:trPr>
        <w:tc>
          <w:tcPr>
            <w:tcW w:w="2839" w:type="pct"/>
            <w:tcBorders>
              <w:top w:val="nil"/>
              <w:left w:val="nil"/>
              <w:bottom w:val="nil"/>
              <w:right w:val="nil"/>
            </w:tcBorders>
            <w:shd w:val="clear" w:color="000000" w:fill="FFFFFF"/>
            <w:noWrap/>
            <w:vAlign w:val="bottom"/>
            <w:hideMark/>
          </w:tcPr>
          <w:p w14:paraId="0FC6710C" w14:textId="77777777" w:rsidR="0014651E" w:rsidRPr="0014651E" w:rsidRDefault="0014651E">
            <w:pPr>
              <w:rPr>
                <w:rFonts w:asciiTheme="majorHAnsi" w:hAnsiTheme="majorHAnsi" w:cstheme="majorHAnsi"/>
                <w:sz w:val="16"/>
                <w:szCs w:val="16"/>
              </w:rPr>
            </w:pPr>
            <w:r w:rsidRPr="0014651E">
              <w:rPr>
                <w:rFonts w:asciiTheme="majorHAnsi" w:hAnsiTheme="majorHAnsi" w:cstheme="majorHAnsi"/>
                <w:sz w:val="16"/>
                <w:szCs w:val="16"/>
              </w:rPr>
              <w:t xml:space="preserve">        Passivo - Investimento Cruzado</w:t>
            </w:r>
          </w:p>
        </w:tc>
        <w:tc>
          <w:tcPr>
            <w:tcW w:w="955" w:type="pct"/>
            <w:tcBorders>
              <w:top w:val="nil"/>
              <w:left w:val="nil"/>
              <w:bottom w:val="nil"/>
              <w:right w:val="nil"/>
            </w:tcBorders>
            <w:shd w:val="clear" w:color="000000" w:fill="FFFFFF"/>
            <w:noWrap/>
            <w:vAlign w:val="bottom"/>
            <w:hideMark/>
          </w:tcPr>
          <w:p w14:paraId="4AEBA14A" w14:textId="77777777" w:rsidR="0014651E" w:rsidRPr="0014651E" w:rsidRDefault="0014651E">
            <w:pPr>
              <w:jc w:val="right"/>
              <w:rPr>
                <w:rFonts w:asciiTheme="majorHAnsi" w:hAnsiTheme="majorHAnsi" w:cstheme="majorHAnsi"/>
                <w:sz w:val="16"/>
                <w:szCs w:val="16"/>
              </w:rPr>
            </w:pPr>
            <w:r w:rsidRPr="0014651E">
              <w:rPr>
                <w:rFonts w:asciiTheme="majorHAnsi" w:hAnsiTheme="majorHAnsi" w:cstheme="majorHAnsi"/>
                <w:sz w:val="16"/>
                <w:szCs w:val="16"/>
              </w:rPr>
              <w:t xml:space="preserve">                     458.426.716 </w:t>
            </w:r>
          </w:p>
        </w:tc>
        <w:tc>
          <w:tcPr>
            <w:tcW w:w="859" w:type="pct"/>
            <w:tcBorders>
              <w:top w:val="nil"/>
              <w:left w:val="nil"/>
              <w:bottom w:val="nil"/>
              <w:right w:val="nil"/>
            </w:tcBorders>
            <w:shd w:val="clear" w:color="000000" w:fill="FFFFFF"/>
            <w:noWrap/>
            <w:vAlign w:val="bottom"/>
            <w:hideMark/>
          </w:tcPr>
          <w:p w14:paraId="4C977C1C" w14:textId="77777777" w:rsidR="0014651E" w:rsidRPr="0014651E" w:rsidRDefault="0014651E">
            <w:pPr>
              <w:jc w:val="right"/>
              <w:rPr>
                <w:rFonts w:asciiTheme="majorHAnsi" w:hAnsiTheme="majorHAnsi" w:cstheme="majorHAnsi"/>
                <w:sz w:val="16"/>
                <w:szCs w:val="16"/>
              </w:rPr>
            </w:pPr>
            <w:r w:rsidRPr="0014651E">
              <w:rPr>
                <w:rFonts w:asciiTheme="majorHAnsi" w:hAnsiTheme="majorHAnsi" w:cstheme="majorHAnsi"/>
                <w:sz w:val="16"/>
                <w:szCs w:val="16"/>
              </w:rPr>
              <w:t xml:space="preserve">               264.431.057 </w:t>
            </w:r>
          </w:p>
        </w:tc>
        <w:tc>
          <w:tcPr>
            <w:tcW w:w="347" w:type="pct"/>
            <w:tcBorders>
              <w:top w:val="nil"/>
              <w:left w:val="nil"/>
              <w:bottom w:val="nil"/>
              <w:right w:val="nil"/>
            </w:tcBorders>
            <w:shd w:val="clear" w:color="000000" w:fill="FFFFFF"/>
            <w:noWrap/>
            <w:vAlign w:val="bottom"/>
            <w:hideMark/>
          </w:tcPr>
          <w:p w14:paraId="6A810B0C" w14:textId="182C2DD6" w:rsidR="0014651E" w:rsidRPr="0014651E" w:rsidRDefault="0014651E" w:rsidP="00C20033">
            <w:pPr>
              <w:jc w:val="center"/>
              <w:rPr>
                <w:rFonts w:asciiTheme="majorHAnsi" w:hAnsiTheme="majorHAnsi" w:cstheme="majorHAnsi"/>
                <w:sz w:val="16"/>
                <w:szCs w:val="16"/>
              </w:rPr>
            </w:pPr>
            <w:r w:rsidRPr="0014651E">
              <w:rPr>
                <w:rFonts w:asciiTheme="majorHAnsi" w:hAnsiTheme="majorHAnsi" w:cstheme="majorHAnsi"/>
                <w:sz w:val="16"/>
                <w:szCs w:val="16"/>
              </w:rPr>
              <w:t>(14)</w:t>
            </w:r>
          </w:p>
        </w:tc>
      </w:tr>
      <w:tr w:rsidR="00591E10" w:rsidRPr="0014651E" w14:paraId="267FB590" w14:textId="77777777" w:rsidTr="00591E10">
        <w:trPr>
          <w:trHeight w:hRule="exact" w:val="227"/>
        </w:trPr>
        <w:tc>
          <w:tcPr>
            <w:tcW w:w="2839" w:type="pct"/>
            <w:tcBorders>
              <w:top w:val="nil"/>
              <w:left w:val="nil"/>
              <w:bottom w:val="nil"/>
              <w:right w:val="nil"/>
            </w:tcBorders>
            <w:shd w:val="clear" w:color="auto" w:fill="auto"/>
            <w:noWrap/>
            <w:vAlign w:val="bottom"/>
            <w:hideMark/>
          </w:tcPr>
          <w:p w14:paraId="37920F25" w14:textId="77777777" w:rsidR="0014651E" w:rsidRPr="0014651E" w:rsidRDefault="0014651E">
            <w:pPr>
              <w:rPr>
                <w:rFonts w:asciiTheme="majorHAnsi" w:hAnsiTheme="majorHAnsi" w:cstheme="majorHAnsi"/>
                <w:sz w:val="16"/>
                <w:szCs w:val="16"/>
              </w:rPr>
            </w:pPr>
            <w:r w:rsidRPr="0014651E">
              <w:rPr>
                <w:rFonts w:asciiTheme="majorHAnsi" w:hAnsiTheme="majorHAnsi" w:cstheme="majorHAnsi"/>
                <w:sz w:val="16"/>
                <w:szCs w:val="16"/>
              </w:rPr>
              <w:t xml:space="preserve">        Passivo de Arrendamento Líquido de Juros a Transcorrer</w:t>
            </w:r>
          </w:p>
        </w:tc>
        <w:tc>
          <w:tcPr>
            <w:tcW w:w="955" w:type="pct"/>
            <w:tcBorders>
              <w:top w:val="nil"/>
              <w:left w:val="nil"/>
              <w:bottom w:val="nil"/>
              <w:right w:val="nil"/>
            </w:tcBorders>
            <w:shd w:val="clear" w:color="auto" w:fill="auto"/>
            <w:noWrap/>
            <w:vAlign w:val="bottom"/>
            <w:hideMark/>
          </w:tcPr>
          <w:p w14:paraId="795BD894" w14:textId="77777777" w:rsidR="0014651E" w:rsidRPr="0014651E" w:rsidRDefault="0014651E">
            <w:pPr>
              <w:jc w:val="right"/>
              <w:rPr>
                <w:rFonts w:asciiTheme="majorHAnsi" w:hAnsiTheme="majorHAnsi" w:cstheme="majorHAnsi"/>
                <w:sz w:val="16"/>
                <w:szCs w:val="16"/>
              </w:rPr>
            </w:pPr>
            <w:r w:rsidRPr="0014651E">
              <w:rPr>
                <w:rFonts w:asciiTheme="majorHAnsi" w:hAnsiTheme="majorHAnsi" w:cstheme="majorHAnsi"/>
                <w:sz w:val="16"/>
                <w:szCs w:val="16"/>
              </w:rPr>
              <w:t xml:space="preserve">                       10.735.082 </w:t>
            </w:r>
          </w:p>
        </w:tc>
        <w:tc>
          <w:tcPr>
            <w:tcW w:w="859" w:type="pct"/>
            <w:tcBorders>
              <w:top w:val="nil"/>
              <w:left w:val="nil"/>
              <w:bottom w:val="nil"/>
              <w:right w:val="nil"/>
            </w:tcBorders>
            <w:shd w:val="clear" w:color="auto" w:fill="auto"/>
            <w:noWrap/>
            <w:vAlign w:val="bottom"/>
            <w:hideMark/>
          </w:tcPr>
          <w:p w14:paraId="5390934F" w14:textId="77777777" w:rsidR="0014651E" w:rsidRPr="0014651E" w:rsidRDefault="0014651E">
            <w:pPr>
              <w:jc w:val="right"/>
              <w:rPr>
                <w:rFonts w:asciiTheme="majorHAnsi" w:hAnsiTheme="majorHAnsi" w:cstheme="majorHAnsi"/>
                <w:sz w:val="16"/>
                <w:szCs w:val="16"/>
              </w:rPr>
            </w:pPr>
            <w:r w:rsidRPr="0014651E">
              <w:rPr>
                <w:rFonts w:asciiTheme="majorHAnsi" w:hAnsiTheme="majorHAnsi" w:cstheme="majorHAnsi"/>
                <w:sz w:val="16"/>
                <w:szCs w:val="16"/>
              </w:rPr>
              <w:t xml:space="preserve">                 16.949.900 </w:t>
            </w:r>
          </w:p>
        </w:tc>
        <w:tc>
          <w:tcPr>
            <w:tcW w:w="347" w:type="pct"/>
            <w:tcBorders>
              <w:top w:val="nil"/>
              <w:left w:val="nil"/>
              <w:bottom w:val="nil"/>
              <w:right w:val="nil"/>
            </w:tcBorders>
            <w:shd w:val="clear" w:color="auto" w:fill="auto"/>
            <w:noWrap/>
            <w:vAlign w:val="bottom"/>
            <w:hideMark/>
          </w:tcPr>
          <w:p w14:paraId="6C702D1D" w14:textId="71E73285" w:rsidR="0014651E" w:rsidRPr="0014651E" w:rsidRDefault="0014651E" w:rsidP="00C20033">
            <w:pPr>
              <w:jc w:val="center"/>
              <w:rPr>
                <w:rFonts w:asciiTheme="majorHAnsi" w:hAnsiTheme="majorHAnsi" w:cstheme="majorHAnsi"/>
                <w:sz w:val="16"/>
                <w:szCs w:val="16"/>
              </w:rPr>
            </w:pPr>
            <w:r w:rsidRPr="0014651E">
              <w:rPr>
                <w:rFonts w:asciiTheme="majorHAnsi" w:hAnsiTheme="majorHAnsi" w:cstheme="majorHAnsi"/>
                <w:sz w:val="16"/>
                <w:szCs w:val="16"/>
              </w:rPr>
              <w:t>(15)</w:t>
            </w:r>
          </w:p>
        </w:tc>
      </w:tr>
      <w:tr w:rsidR="00591E10" w:rsidRPr="0014651E" w14:paraId="0D314FF2" w14:textId="77777777" w:rsidTr="00591E10">
        <w:trPr>
          <w:trHeight w:hRule="exact" w:val="227"/>
        </w:trPr>
        <w:tc>
          <w:tcPr>
            <w:tcW w:w="2839" w:type="pct"/>
            <w:tcBorders>
              <w:top w:val="nil"/>
              <w:left w:val="nil"/>
              <w:bottom w:val="nil"/>
              <w:right w:val="nil"/>
            </w:tcBorders>
            <w:shd w:val="clear" w:color="auto" w:fill="auto"/>
            <w:noWrap/>
            <w:vAlign w:val="bottom"/>
            <w:hideMark/>
          </w:tcPr>
          <w:p w14:paraId="0C650AE4" w14:textId="77777777" w:rsidR="0014651E" w:rsidRPr="0014651E" w:rsidRDefault="0014651E">
            <w:pPr>
              <w:rPr>
                <w:rFonts w:asciiTheme="majorHAnsi" w:hAnsiTheme="majorHAnsi" w:cstheme="majorHAnsi"/>
                <w:sz w:val="16"/>
                <w:szCs w:val="16"/>
              </w:rPr>
            </w:pPr>
          </w:p>
        </w:tc>
        <w:tc>
          <w:tcPr>
            <w:tcW w:w="955" w:type="pct"/>
            <w:tcBorders>
              <w:top w:val="nil"/>
              <w:left w:val="nil"/>
              <w:bottom w:val="nil"/>
              <w:right w:val="nil"/>
            </w:tcBorders>
            <w:shd w:val="clear" w:color="auto" w:fill="auto"/>
            <w:noWrap/>
            <w:vAlign w:val="bottom"/>
            <w:hideMark/>
          </w:tcPr>
          <w:p w14:paraId="1B5F7B70" w14:textId="77777777" w:rsidR="0014651E" w:rsidRPr="0014651E" w:rsidRDefault="0014651E">
            <w:pPr>
              <w:rPr>
                <w:rFonts w:asciiTheme="majorHAnsi" w:hAnsiTheme="majorHAnsi" w:cstheme="majorHAnsi"/>
                <w:sz w:val="16"/>
                <w:szCs w:val="16"/>
              </w:rPr>
            </w:pPr>
          </w:p>
        </w:tc>
        <w:tc>
          <w:tcPr>
            <w:tcW w:w="859" w:type="pct"/>
            <w:tcBorders>
              <w:top w:val="nil"/>
              <w:left w:val="nil"/>
              <w:bottom w:val="nil"/>
              <w:right w:val="nil"/>
            </w:tcBorders>
            <w:shd w:val="clear" w:color="auto" w:fill="auto"/>
            <w:noWrap/>
            <w:vAlign w:val="bottom"/>
            <w:hideMark/>
          </w:tcPr>
          <w:p w14:paraId="390F2A6A" w14:textId="77777777" w:rsidR="0014651E" w:rsidRPr="0014651E" w:rsidRDefault="0014651E">
            <w:pPr>
              <w:jc w:val="right"/>
              <w:rPr>
                <w:rFonts w:asciiTheme="majorHAnsi" w:hAnsiTheme="majorHAnsi" w:cstheme="majorHAnsi"/>
                <w:sz w:val="16"/>
                <w:szCs w:val="16"/>
              </w:rPr>
            </w:pPr>
          </w:p>
        </w:tc>
        <w:tc>
          <w:tcPr>
            <w:tcW w:w="347" w:type="pct"/>
            <w:tcBorders>
              <w:top w:val="nil"/>
              <w:left w:val="nil"/>
              <w:bottom w:val="nil"/>
              <w:right w:val="nil"/>
            </w:tcBorders>
            <w:shd w:val="clear" w:color="auto" w:fill="auto"/>
            <w:noWrap/>
            <w:vAlign w:val="bottom"/>
            <w:hideMark/>
          </w:tcPr>
          <w:p w14:paraId="15DAFD3A" w14:textId="77777777" w:rsidR="0014651E" w:rsidRPr="0014651E" w:rsidRDefault="0014651E" w:rsidP="00C20033">
            <w:pPr>
              <w:jc w:val="center"/>
              <w:rPr>
                <w:rFonts w:asciiTheme="majorHAnsi" w:hAnsiTheme="majorHAnsi" w:cstheme="majorHAnsi"/>
                <w:sz w:val="16"/>
                <w:szCs w:val="16"/>
              </w:rPr>
            </w:pPr>
          </w:p>
        </w:tc>
      </w:tr>
      <w:tr w:rsidR="00591E10" w:rsidRPr="0014651E" w14:paraId="16E3ECA0" w14:textId="77777777" w:rsidTr="00591E10">
        <w:trPr>
          <w:trHeight w:hRule="exact" w:val="227"/>
        </w:trPr>
        <w:tc>
          <w:tcPr>
            <w:tcW w:w="2839" w:type="pct"/>
            <w:tcBorders>
              <w:top w:val="nil"/>
              <w:left w:val="nil"/>
              <w:bottom w:val="nil"/>
              <w:right w:val="nil"/>
            </w:tcBorders>
            <w:shd w:val="clear" w:color="auto" w:fill="auto"/>
            <w:noWrap/>
            <w:vAlign w:val="bottom"/>
            <w:hideMark/>
          </w:tcPr>
          <w:p w14:paraId="37D4C165" w14:textId="77777777" w:rsidR="0014651E" w:rsidRPr="0014651E" w:rsidRDefault="0014651E">
            <w:pPr>
              <w:rPr>
                <w:rFonts w:asciiTheme="majorHAnsi" w:hAnsiTheme="majorHAnsi" w:cstheme="majorHAnsi"/>
                <w:b/>
                <w:bCs/>
                <w:sz w:val="16"/>
                <w:szCs w:val="16"/>
              </w:rPr>
            </w:pPr>
            <w:r w:rsidRPr="0014651E">
              <w:rPr>
                <w:rFonts w:asciiTheme="majorHAnsi" w:hAnsiTheme="majorHAnsi" w:cstheme="majorHAnsi"/>
                <w:b/>
                <w:bCs/>
                <w:sz w:val="16"/>
                <w:szCs w:val="16"/>
              </w:rPr>
              <w:t>TOTAL DO PASSIVO</w:t>
            </w:r>
          </w:p>
        </w:tc>
        <w:tc>
          <w:tcPr>
            <w:tcW w:w="955" w:type="pct"/>
            <w:tcBorders>
              <w:top w:val="nil"/>
              <w:left w:val="nil"/>
              <w:bottom w:val="nil"/>
              <w:right w:val="nil"/>
            </w:tcBorders>
            <w:shd w:val="clear" w:color="auto" w:fill="auto"/>
            <w:noWrap/>
            <w:vAlign w:val="bottom"/>
            <w:hideMark/>
          </w:tcPr>
          <w:p w14:paraId="780C084B" w14:textId="77777777" w:rsidR="0014651E" w:rsidRPr="0014651E" w:rsidRDefault="0014651E">
            <w:pPr>
              <w:jc w:val="right"/>
              <w:rPr>
                <w:rFonts w:asciiTheme="majorHAnsi" w:hAnsiTheme="majorHAnsi" w:cstheme="majorHAnsi"/>
                <w:b/>
                <w:bCs/>
                <w:sz w:val="16"/>
                <w:szCs w:val="16"/>
              </w:rPr>
            </w:pPr>
            <w:r w:rsidRPr="0014651E">
              <w:rPr>
                <w:rFonts w:asciiTheme="majorHAnsi" w:hAnsiTheme="majorHAnsi" w:cstheme="majorHAnsi"/>
                <w:b/>
                <w:bCs/>
                <w:sz w:val="16"/>
                <w:szCs w:val="16"/>
              </w:rPr>
              <w:t xml:space="preserve">                 2.525.435.342 </w:t>
            </w:r>
          </w:p>
        </w:tc>
        <w:tc>
          <w:tcPr>
            <w:tcW w:w="859" w:type="pct"/>
            <w:tcBorders>
              <w:top w:val="nil"/>
              <w:left w:val="nil"/>
              <w:bottom w:val="nil"/>
              <w:right w:val="nil"/>
            </w:tcBorders>
            <w:shd w:val="clear" w:color="auto" w:fill="auto"/>
            <w:noWrap/>
            <w:vAlign w:val="bottom"/>
            <w:hideMark/>
          </w:tcPr>
          <w:p w14:paraId="00A725D4" w14:textId="77777777" w:rsidR="0014651E" w:rsidRPr="0014651E" w:rsidRDefault="0014651E">
            <w:pPr>
              <w:jc w:val="right"/>
              <w:rPr>
                <w:rFonts w:asciiTheme="majorHAnsi" w:hAnsiTheme="majorHAnsi" w:cstheme="majorHAnsi"/>
                <w:b/>
                <w:bCs/>
                <w:sz w:val="16"/>
                <w:szCs w:val="16"/>
              </w:rPr>
            </w:pPr>
            <w:r w:rsidRPr="0014651E">
              <w:rPr>
                <w:rFonts w:asciiTheme="majorHAnsi" w:hAnsiTheme="majorHAnsi" w:cstheme="majorHAnsi"/>
                <w:b/>
                <w:bCs/>
                <w:sz w:val="16"/>
                <w:szCs w:val="16"/>
              </w:rPr>
              <w:t xml:space="preserve">            2.378.467.144 </w:t>
            </w:r>
          </w:p>
        </w:tc>
        <w:tc>
          <w:tcPr>
            <w:tcW w:w="347" w:type="pct"/>
            <w:tcBorders>
              <w:top w:val="nil"/>
              <w:left w:val="nil"/>
              <w:bottom w:val="nil"/>
              <w:right w:val="nil"/>
            </w:tcBorders>
            <w:shd w:val="clear" w:color="auto" w:fill="auto"/>
            <w:noWrap/>
            <w:vAlign w:val="bottom"/>
            <w:hideMark/>
          </w:tcPr>
          <w:p w14:paraId="2762DDCE" w14:textId="77777777" w:rsidR="0014651E" w:rsidRPr="0014651E" w:rsidRDefault="0014651E" w:rsidP="00C20033">
            <w:pPr>
              <w:jc w:val="center"/>
              <w:rPr>
                <w:rFonts w:asciiTheme="majorHAnsi" w:hAnsiTheme="majorHAnsi" w:cstheme="majorHAnsi"/>
                <w:b/>
                <w:bCs/>
                <w:sz w:val="16"/>
                <w:szCs w:val="16"/>
              </w:rPr>
            </w:pPr>
          </w:p>
        </w:tc>
      </w:tr>
      <w:tr w:rsidR="00591E10" w:rsidRPr="0014651E" w14:paraId="5A510BA6" w14:textId="77777777" w:rsidTr="00591E10">
        <w:trPr>
          <w:trHeight w:hRule="exact" w:val="227"/>
        </w:trPr>
        <w:tc>
          <w:tcPr>
            <w:tcW w:w="2839" w:type="pct"/>
            <w:tcBorders>
              <w:top w:val="nil"/>
              <w:left w:val="nil"/>
              <w:bottom w:val="nil"/>
              <w:right w:val="nil"/>
            </w:tcBorders>
            <w:shd w:val="clear" w:color="auto" w:fill="auto"/>
            <w:noWrap/>
            <w:vAlign w:val="bottom"/>
            <w:hideMark/>
          </w:tcPr>
          <w:p w14:paraId="40F96B5D" w14:textId="77777777" w:rsidR="0014651E" w:rsidRPr="0014651E" w:rsidRDefault="0014651E">
            <w:pPr>
              <w:rPr>
                <w:rFonts w:asciiTheme="majorHAnsi" w:hAnsiTheme="majorHAnsi" w:cstheme="majorHAnsi"/>
                <w:sz w:val="16"/>
                <w:szCs w:val="16"/>
              </w:rPr>
            </w:pPr>
          </w:p>
        </w:tc>
        <w:tc>
          <w:tcPr>
            <w:tcW w:w="955" w:type="pct"/>
            <w:tcBorders>
              <w:top w:val="nil"/>
              <w:left w:val="nil"/>
              <w:bottom w:val="nil"/>
              <w:right w:val="nil"/>
            </w:tcBorders>
            <w:shd w:val="clear" w:color="auto" w:fill="auto"/>
            <w:noWrap/>
            <w:vAlign w:val="bottom"/>
            <w:hideMark/>
          </w:tcPr>
          <w:p w14:paraId="3B989794" w14:textId="77777777" w:rsidR="0014651E" w:rsidRPr="0014651E" w:rsidRDefault="0014651E">
            <w:pPr>
              <w:rPr>
                <w:rFonts w:asciiTheme="majorHAnsi" w:hAnsiTheme="majorHAnsi" w:cstheme="majorHAnsi"/>
                <w:sz w:val="16"/>
                <w:szCs w:val="16"/>
              </w:rPr>
            </w:pPr>
          </w:p>
        </w:tc>
        <w:tc>
          <w:tcPr>
            <w:tcW w:w="859" w:type="pct"/>
            <w:tcBorders>
              <w:top w:val="nil"/>
              <w:left w:val="nil"/>
              <w:bottom w:val="nil"/>
              <w:right w:val="nil"/>
            </w:tcBorders>
            <w:shd w:val="clear" w:color="auto" w:fill="auto"/>
            <w:noWrap/>
            <w:vAlign w:val="bottom"/>
            <w:hideMark/>
          </w:tcPr>
          <w:p w14:paraId="67FBE12E" w14:textId="77777777" w:rsidR="0014651E" w:rsidRPr="0014651E" w:rsidRDefault="0014651E">
            <w:pPr>
              <w:jc w:val="right"/>
              <w:rPr>
                <w:rFonts w:asciiTheme="majorHAnsi" w:hAnsiTheme="majorHAnsi" w:cstheme="majorHAnsi"/>
                <w:sz w:val="16"/>
                <w:szCs w:val="16"/>
              </w:rPr>
            </w:pPr>
          </w:p>
        </w:tc>
        <w:tc>
          <w:tcPr>
            <w:tcW w:w="347" w:type="pct"/>
            <w:tcBorders>
              <w:top w:val="nil"/>
              <w:left w:val="nil"/>
              <w:bottom w:val="nil"/>
              <w:right w:val="nil"/>
            </w:tcBorders>
            <w:shd w:val="clear" w:color="auto" w:fill="auto"/>
            <w:noWrap/>
            <w:vAlign w:val="center"/>
            <w:hideMark/>
          </w:tcPr>
          <w:p w14:paraId="44FA8870" w14:textId="77777777" w:rsidR="0014651E" w:rsidRPr="0014651E" w:rsidRDefault="0014651E" w:rsidP="00C20033">
            <w:pPr>
              <w:jc w:val="center"/>
              <w:rPr>
                <w:rFonts w:asciiTheme="majorHAnsi" w:hAnsiTheme="majorHAnsi" w:cstheme="majorHAnsi"/>
                <w:sz w:val="16"/>
                <w:szCs w:val="16"/>
              </w:rPr>
            </w:pPr>
          </w:p>
        </w:tc>
      </w:tr>
      <w:tr w:rsidR="00591E10" w:rsidRPr="0014651E" w14:paraId="2ADDC395" w14:textId="77777777" w:rsidTr="00591E10">
        <w:trPr>
          <w:trHeight w:hRule="exact" w:val="227"/>
        </w:trPr>
        <w:tc>
          <w:tcPr>
            <w:tcW w:w="2839" w:type="pct"/>
            <w:tcBorders>
              <w:top w:val="nil"/>
              <w:left w:val="nil"/>
              <w:bottom w:val="nil"/>
              <w:right w:val="nil"/>
            </w:tcBorders>
            <w:shd w:val="clear" w:color="auto" w:fill="auto"/>
            <w:noWrap/>
            <w:vAlign w:val="bottom"/>
            <w:hideMark/>
          </w:tcPr>
          <w:p w14:paraId="7238CCC6" w14:textId="77777777" w:rsidR="0014651E" w:rsidRPr="0014651E" w:rsidRDefault="0014651E">
            <w:pPr>
              <w:rPr>
                <w:rFonts w:asciiTheme="majorHAnsi" w:hAnsiTheme="majorHAnsi" w:cstheme="majorHAnsi"/>
                <w:b/>
                <w:bCs/>
                <w:sz w:val="16"/>
                <w:szCs w:val="16"/>
              </w:rPr>
            </w:pPr>
            <w:r w:rsidRPr="0014651E">
              <w:rPr>
                <w:rFonts w:asciiTheme="majorHAnsi" w:hAnsiTheme="majorHAnsi" w:cstheme="majorHAnsi"/>
                <w:b/>
                <w:bCs/>
                <w:sz w:val="16"/>
                <w:szCs w:val="16"/>
              </w:rPr>
              <w:t>PATRIMÔNIO LÍQUIDO</w:t>
            </w:r>
          </w:p>
        </w:tc>
        <w:tc>
          <w:tcPr>
            <w:tcW w:w="955" w:type="pct"/>
            <w:tcBorders>
              <w:top w:val="nil"/>
              <w:left w:val="nil"/>
              <w:bottom w:val="nil"/>
              <w:right w:val="nil"/>
            </w:tcBorders>
            <w:shd w:val="clear" w:color="auto" w:fill="auto"/>
            <w:noWrap/>
            <w:vAlign w:val="bottom"/>
            <w:hideMark/>
          </w:tcPr>
          <w:p w14:paraId="0814B03C" w14:textId="77777777" w:rsidR="0014651E" w:rsidRPr="0014651E" w:rsidRDefault="0014651E">
            <w:pPr>
              <w:jc w:val="right"/>
              <w:rPr>
                <w:rFonts w:asciiTheme="majorHAnsi" w:hAnsiTheme="majorHAnsi" w:cstheme="majorHAnsi"/>
                <w:b/>
                <w:bCs/>
                <w:sz w:val="16"/>
                <w:szCs w:val="16"/>
              </w:rPr>
            </w:pPr>
            <w:r w:rsidRPr="0014651E">
              <w:rPr>
                <w:rFonts w:asciiTheme="majorHAnsi" w:hAnsiTheme="majorHAnsi" w:cstheme="majorHAnsi"/>
                <w:b/>
                <w:bCs/>
                <w:sz w:val="16"/>
                <w:szCs w:val="16"/>
              </w:rPr>
              <w:t xml:space="preserve">                 2.196.530.311 </w:t>
            </w:r>
          </w:p>
        </w:tc>
        <w:tc>
          <w:tcPr>
            <w:tcW w:w="859" w:type="pct"/>
            <w:tcBorders>
              <w:top w:val="nil"/>
              <w:left w:val="nil"/>
              <w:bottom w:val="nil"/>
              <w:right w:val="nil"/>
            </w:tcBorders>
            <w:shd w:val="clear" w:color="auto" w:fill="auto"/>
            <w:noWrap/>
            <w:vAlign w:val="bottom"/>
            <w:hideMark/>
          </w:tcPr>
          <w:p w14:paraId="1CB99B48" w14:textId="77777777" w:rsidR="0014651E" w:rsidRPr="0014651E" w:rsidRDefault="0014651E">
            <w:pPr>
              <w:jc w:val="right"/>
              <w:rPr>
                <w:rFonts w:asciiTheme="majorHAnsi" w:hAnsiTheme="majorHAnsi" w:cstheme="majorHAnsi"/>
                <w:b/>
                <w:bCs/>
                <w:sz w:val="16"/>
                <w:szCs w:val="16"/>
              </w:rPr>
            </w:pPr>
            <w:r w:rsidRPr="0014651E">
              <w:rPr>
                <w:rFonts w:asciiTheme="majorHAnsi" w:hAnsiTheme="majorHAnsi" w:cstheme="majorHAnsi"/>
                <w:b/>
                <w:bCs/>
                <w:sz w:val="16"/>
                <w:szCs w:val="16"/>
              </w:rPr>
              <w:t xml:space="preserve">            2.037.881.425 </w:t>
            </w:r>
          </w:p>
        </w:tc>
        <w:tc>
          <w:tcPr>
            <w:tcW w:w="347" w:type="pct"/>
            <w:tcBorders>
              <w:top w:val="nil"/>
              <w:left w:val="nil"/>
              <w:bottom w:val="nil"/>
              <w:right w:val="nil"/>
            </w:tcBorders>
            <w:shd w:val="clear" w:color="auto" w:fill="auto"/>
            <w:noWrap/>
            <w:vAlign w:val="center"/>
            <w:hideMark/>
          </w:tcPr>
          <w:p w14:paraId="1786D673" w14:textId="77777777" w:rsidR="0014651E" w:rsidRPr="0014651E" w:rsidRDefault="0014651E" w:rsidP="00C20033">
            <w:pPr>
              <w:jc w:val="center"/>
              <w:rPr>
                <w:rFonts w:asciiTheme="majorHAnsi" w:hAnsiTheme="majorHAnsi" w:cstheme="majorHAnsi"/>
                <w:b/>
                <w:bCs/>
                <w:sz w:val="16"/>
                <w:szCs w:val="16"/>
              </w:rPr>
            </w:pPr>
          </w:p>
        </w:tc>
      </w:tr>
      <w:tr w:rsidR="00591E10" w:rsidRPr="0014651E" w14:paraId="6208F84C" w14:textId="77777777" w:rsidTr="00591E10">
        <w:trPr>
          <w:trHeight w:hRule="exact" w:val="227"/>
        </w:trPr>
        <w:tc>
          <w:tcPr>
            <w:tcW w:w="2839" w:type="pct"/>
            <w:tcBorders>
              <w:top w:val="nil"/>
              <w:left w:val="nil"/>
              <w:bottom w:val="nil"/>
              <w:right w:val="nil"/>
            </w:tcBorders>
            <w:shd w:val="clear" w:color="auto" w:fill="auto"/>
            <w:noWrap/>
            <w:vAlign w:val="bottom"/>
            <w:hideMark/>
          </w:tcPr>
          <w:p w14:paraId="18A501C0" w14:textId="77777777" w:rsidR="0014651E" w:rsidRPr="0014651E" w:rsidRDefault="0014651E">
            <w:pPr>
              <w:rPr>
                <w:rFonts w:asciiTheme="majorHAnsi" w:hAnsiTheme="majorHAnsi" w:cstheme="majorHAnsi"/>
                <w:sz w:val="16"/>
                <w:szCs w:val="16"/>
              </w:rPr>
            </w:pPr>
            <w:r w:rsidRPr="0014651E">
              <w:rPr>
                <w:rFonts w:asciiTheme="majorHAnsi" w:hAnsiTheme="majorHAnsi" w:cstheme="majorHAnsi"/>
                <w:sz w:val="16"/>
                <w:szCs w:val="16"/>
              </w:rPr>
              <w:t xml:space="preserve">        Capital Social</w:t>
            </w:r>
          </w:p>
        </w:tc>
        <w:tc>
          <w:tcPr>
            <w:tcW w:w="955" w:type="pct"/>
            <w:tcBorders>
              <w:top w:val="nil"/>
              <w:left w:val="nil"/>
              <w:bottom w:val="nil"/>
              <w:right w:val="nil"/>
            </w:tcBorders>
            <w:shd w:val="clear" w:color="auto" w:fill="auto"/>
            <w:noWrap/>
            <w:vAlign w:val="bottom"/>
            <w:hideMark/>
          </w:tcPr>
          <w:p w14:paraId="0D40D554" w14:textId="77777777" w:rsidR="0014651E" w:rsidRPr="0014651E" w:rsidRDefault="0014651E">
            <w:pPr>
              <w:jc w:val="right"/>
              <w:rPr>
                <w:rFonts w:asciiTheme="majorHAnsi" w:hAnsiTheme="majorHAnsi" w:cstheme="majorHAnsi"/>
                <w:sz w:val="16"/>
                <w:szCs w:val="16"/>
              </w:rPr>
            </w:pPr>
            <w:r w:rsidRPr="0014651E">
              <w:rPr>
                <w:rFonts w:asciiTheme="majorHAnsi" w:hAnsiTheme="majorHAnsi" w:cstheme="majorHAnsi"/>
                <w:sz w:val="16"/>
                <w:szCs w:val="16"/>
              </w:rPr>
              <w:t xml:space="preserve">               23.517.549.307 </w:t>
            </w:r>
          </w:p>
        </w:tc>
        <w:tc>
          <w:tcPr>
            <w:tcW w:w="859" w:type="pct"/>
            <w:tcBorders>
              <w:top w:val="nil"/>
              <w:left w:val="nil"/>
              <w:bottom w:val="nil"/>
              <w:right w:val="nil"/>
            </w:tcBorders>
            <w:shd w:val="clear" w:color="auto" w:fill="auto"/>
            <w:noWrap/>
            <w:vAlign w:val="bottom"/>
            <w:hideMark/>
          </w:tcPr>
          <w:p w14:paraId="0B44C24C" w14:textId="77777777" w:rsidR="0014651E" w:rsidRPr="0014651E" w:rsidRDefault="0014651E">
            <w:pPr>
              <w:jc w:val="right"/>
              <w:rPr>
                <w:rFonts w:asciiTheme="majorHAnsi" w:hAnsiTheme="majorHAnsi" w:cstheme="majorHAnsi"/>
                <w:sz w:val="16"/>
                <w:szCs w:val="16"/>
              </w:rPr>
            </w:pPr>
            <w:r w:rsidRPr="0014651E">
              <w:rPr>
                <w:rFonts w:asciiTheme="majorHAnsi" w:hAnsiTheme="majorHAnsi" w:cstheme="majorHAnsi"/>
                <w:sz w:val="16"/>
                <w:szCs w:val="16"/>
              </w:rPr>
              <w:t xml:space="preserve">         22.233.502.272 </w:t>
            </w:r>
          </w:p>
        </w:tc>
        <w:tc>
          <w:tcPr>
            <w:tcW w:w="347" w:type="pct"/>
            <w:tcBorders>
              <w:top w:val="nil"/>
              <w:left w:val="nil"/>
              <w:bottom w:val="nil"/>
              <w:right w:val="nil"/>
            </w:tcBorders>
            <w:shd w:val="clear" w:color="auto" w:fill="auto"/>
            <w:noWrap/>
            <w:vAlign w:val="center"/>
            <w:hideMark/>
          </w:tcPr>
          <w:p w14:paraId="67DE9BB9" w14:textId="77777777" w:rsidR="0014651E" w:rsidRPr="0014651E" w:rsidRDefault="0014651E" w:rsidP="00C20033">
            <w:pPr>
              <w:jc w:val="center"/>
              <w:rPr>
                <w:rFonts w:asciiTheme="majorHAnsi" w:hAnsiTheme="majorHAnsi" w:cstheme="majorHAnsi"/>
                <w:sz w:val="16"/>
                <w:szCs w:val="16"/>
              </w:rPr>
            </w:pPr>
            <w:r w:rsidRPr="0014651E">
              <w:rPr>
                <w:rFonts w:asciiTheme="majorHAnsi" w:hAnsiTheme="majorHAnsi" w:cstheme="majorHAnsi"/>
                <w:sz w:val="16"/>
                <w:szCs w:val="16"/>
              </w:rPr>
              <w:t>(16a)</w:t>
            </w:r>
          </w:p>
        </w:tc>
      </w:tr>
      <w:tr w:rsidR="00591E10" w:rsidRPr="0014651E" w14:paraId="5461A953" w14:textId="77777777" w:rsidTr="00591E10">
        <w:trPr>
          <w:trHeight w:hRule="exact" w:val="227"/>
        </w:trPr>
        <w:tc>
          <w:tcPr>
            <w:tcW w:w="2839" w:type="pct"/>
            <w:tcBorders>
              <w:top w:val="nil"/>
              <w:left w:val="nil"/>
              <w:bottom w:val="nil"/>
              <w:right w:val="nil"/>
            </w:tcBorders>
            <w:shd w:val="clear" w:color="auto" w:fill="auto"/>
            <w:noWrap/>
            <w:vAlign w:val="bottom"/>
            <w:hideMark/>
          </w:tcPr>
          <w:p w14:paraId="0D2A71A0" w14:textId="77777777" w:rsidR="0014651E" w:rsidRPr="0014651E" w:rsidRDefault="0014651E">
            <w:pPr>
              <w:rPr>
                <w:rFonts w:asciiTheme="majorHAnsi" w:hAnsiTheme="majorHAnsi" w:cstheme="majorHAnsi"/>
                <w:sz w:val="16"/>
                <w:szCs w:val="16"/>
              </w:rPr>
            </w:pPr>
            <w:r w:rsidRPr="0014651E">
              <w:rPr>
                <w:rFonts w:asciiTheme="majorHAnsi" w:hAnsiTheme="majorHAnsi" w:cstheme="majorHAnsi"/>
                <w:sz w:val="16"/>
                <w:szCs w:val="16"/>
              </w:rPr>
              <w:t xml:space="preserve">        Adiantamento para Futuro Aumento de Capital</w:t>
            </w:r>
          </w:p>
        </w:tc>
        <w:tc>
          <w:tcPr>
            <w:tcW w:w="955" w:type="pct"/>
            <w:tcBorders>
              <w:top w:val="nil"/>
              <w:left w:val="nil"/>
              <w:bottom w:val="nil"/>
              <w:right w:val="nil"/>
            </w:tcBorders>
            <w:shd w:val="clear" w:color="auto" w:fill="auto"/>
            <w:noWrap/>
            <w:vAlign w:val="bottom"/>
            <w:hideMark/>
          </w:tcPr>
          <w:p w14:paraId="3055BDD3" w14:textId="77777777" w:rsidR="0014651E" w:rsidRPr="0014651E" w:rsidRDefault="0014651E">
            <w:pPr>
              <w:jc w:val="right"/>
              <w:rPr>
                <w:rFonts w:asciiTheme="majorHAnsi" w:hAnsiTheme="majorHAnsi" w:cstheme="majorHAnsi"/>
                <w:sz w:val="16"/>
                <w:szCs w:val="16"/>
              </w:rPr>
            </w:pPr>
            <w:r w:rsidRPr="0014651E">
              <w:rPr>
                <w:rFonts w:asciiTheme="majorHAnsi" w:hAnsiTheme="majorHAnsi" w:cstheme="majorHAnsi"/>
                <w:sz w:val="16"/>
                <w:szCs w:val="16"/>
              </w:rPr>
              <w:t xml:space="preserve">                     130.412.142 </w:t>
            </w:r>
          </w:p>
        </w:tc>
        <w:tc>
          <w:tcPr>
            <w:tcW w:w="859" w:type="pct"/>
            <w:tcBorders>
              <w:top w:val="nil"/>
              <w:left w:val="nil"/>
              <w:bottom w:val="nil"/>
              <w:right w:val="nil"/>
            </w:tcBorders>
            <w:shd w:val="clear" w:color="auto" w:fill="auto"/>
            <w:noWrap/>
            <w:vAlign w:val="bottom"/>
            <w:hideMark/>
          </w:tcPr>
          <w:p w14:paraId="6460120E" w14:textId="77777777" w:rsidR="0014651E" w:rsidRPr="0014651E" w:rsidRDefault="0014651E">
            <w:pPr>
              <w:jc w:val="right"/>
              <w:rPr>
                <w:rFonts w:asciiTheme="majorHAnsi" w:hAnsiTheme="majorHAnsi" w:cstheme="majorHAnsi"/>
                <w:sz w:val="16"/>
                <w:szCs w:val="16"/>
              </w:rPr>
            </w:pPr>
            <w:r w:rsidRPr="0014651E">
              <w:rPr>
                <w:rFonts w:asciiTheme="majorHAnsi" w:hAnsiTheme="majorHAnsi" w:cstheme="majorHAnsi"/>
                <w:sz w:val="16"/>
                <w:szCs w:val="16"/>
              </w:rPr>
              <w:t xml:space="preserve">            1.288.641.343 </w:t>
            </w:r>
          </w:p>
        </w:tc>
        <w:tc>
          <w:tcPr>
            <w:tcW w:w="347" w:type="pct"/>
            <w:tcBorders>
              <w:top w:val="nil"/>
              <w:left w:val="nil"/>
              <w:bottom w:val="nil"/>
              <w:right w:val="nil"/>
            </w:tcBorders>
            <w:shd w:val="clear" w:color="auto" w:fill="auto"/>
            <w:noWrap/>
            <w:vAlign w:val="center"/>
            <w:hideMark/>
          </w:tcPr>
          <w:p w14:paraId="54A18B16" w14:textId="77777777" w:rsidR="0014651E" w:rsidRPr="0014651E" w:rsidRDefault="0014651E" w:rsidP="00C20033">
            <w:pPr>
              <w:jc w:val="center"/>
              <w:rPr>
                <w:rFonts w:asciiTheme="majorHAnsi" w:hAnsiTheme="majorHAnsi" w:cstheme="majorHAnsi"/>
                <w:sz w:val="16"/>
                <w:szCs w:val="16"/>
              </w:rPr>
            </w:pPr>
            <w:r w:rsidRPr="0014651E">
              <w:rPr>
                <w:rFonts w:asciiTheme="majorHAnsi" w:hAnsiTheme="majorHAnsi" w:cstheme="majorHAnsi"/>
                <w:sz w:val="16"/>
                <w:szCs w:val="16"/>
              </w:rPr>
              <w:t>(16b)</w:t>
            </w:r>
          </w:p>
        </w:tc>
      </w:tr>
      <w:tr w:rsidR="00591E10" w:rsidRPr="0014651E" w14:paraId="468BA895" w14:textId="77777777" w:rsidTr="00591E10">
        <w:trPr>
          <w:trHeight w:hRule="exact" w:val="227"/>
        </w:trPr>
        <w:tc>
          <w:tcPr>
            <w:tcW w:w="2839" w:type="pct"/>
            <w:tcBorders>
              <w:top w:val="nil"/>
              <w:left w:val="nil"/>
              <w:bottom w:val="nil"/>
              <w:right w:val="nil"/>
            </w:tcBorders>
            <w:shd w:val="clear" w:color="auto" w:fill="auto"/>
            <w:noWrap/>
            <w:vAlign w:val="bottom"/>
            <w:hideMark/>
          </w:tcPr>
          <w:p w14:paraId="41A9C94B" w14:textId="77777777" w:rsidR="0014651E" w:rsidRPr="0014651E" w:rsidRDefault="0014651E">
            <w:pPr>
              <w:rPr>
                <w:rFonts w:asciiTheme="majorHAnsi" w:hAnsiTheme="majorHAnsi" w:cstheme="majorHAnsi"/>
                <w:sz w:val="16"/>
                <w:szCs w:val="16"/>
              </w:rPr>
            </w:pPr>
            <w:r w:rsidRPr="0014651E">
              <w:rPr>
                <w:rFonts w:asciiTheme="majorHAnsi" w:hAnsiTheme="majorHAnsi" w:cstheme="majorHAnsi"/>
                <w:sz w:val="16"/>
                <w:szCs w:val="16"/>
              </w:rPr>
              <w:t xml:space="preserve">        Prejuízos Acumulados</w:t>
            </w:r>
          </w:p>
        </w:tc>
        <w:tc>
          <w:tcPr>
            <w:tcW w:w="955" w:type="pct"/>
            <w:tcBorders>
              <w:top w:val="nil"/>
              <w:left w:val="nil"/>
              <w:bottom w:val="nil"/>
              <w:right w:val="nil"/>
            </w:tcBorders>
            <w:shd w:val="clear" w:color="auto" w:fill="auto"/>
            <w:noWrap/>
            <w:vAlign w:val="bottom"/>
            <w:hideMark/>
          </w:tcPr>
          <w:p w14:paraId="299C0A8E" w14:textId="77777777" w:rsidR="0014651E" w:rsidRPr="0014651E" w:rsidRDefault="0014651E">
            <w:pPr>
              <w:jc w:val="right"/>
              <w:rPr>
                <w:rFonts w:asciiTheme="majorHAnsi" w:hAnsiTheme="majorHAnsi" w:cstheme="majorHAnsi"/>
                <w:sz w:val="16"/>
                <w:szCs w:val="16"/>
              </w:rPr>
            </w:pPr>
            <w:r w:rsidRPr="0014651E">
              <w:rPr>
                <w:rFonts w:asciiTheme="majorHAnsi" w:hAnsiTheme="majorHAnsi" w:cstheme="majorHAnsi"/>
                <w:sz w:val="16"/>
                <w:szCs w:val="16"/>
              </w:rPr>
              <w:t xml:space="preserve">             (21.451.431.138)</w:t>
            </w:r>
          </w:p>
        </w:tc>
        <w:tc>
          <w:tcPr>
            <w:tcW w:w="859" w:type="pct"/>
            <w:tcBorders>
              <w:top w:val="nil"/>
              <w:left w:val="nil"/>
              <w:bottom w:val="nil"/>
              <w:right w:val="nil"/>
            </w:tcBorders>
            <w:shd w:val="clear" w:color="auto" w:fill="auto"/>
            <w:noWrap/>
            <w:vAlign w:val="bottom"/>
            <w:hideMark/>
          </w:tcPr>
          <w:p w14:paraId="624DA7ED" w14:textId="77777777" w:rsidR="0014651E" w:rsidRPr="0014651E" w:rsidRDefault="0014651E">
            <w:pPr>
              <w:jc w:val="right"/>
              <w:rPr>
                <w:rFonts w:asciiTheme="majorHAnsi" w:hAnsiTheme="majorHAnsi" w:cstheme="majorHAnsi"/>
                <w:sz w:val="16"/>
                <w:szCs w:val="16"/>
              </w:rPr>
            </w:pPr>
            <w:r w:rsidRPr="0014651E">
              <w:rPr>
                <w:rFonts w:asciiTheme="majorHAnsi" w:hAnsiTheme="majorHAnsi" w:cstheme="majorHAnsi"/>
                <w:sz w:val="16"/>
                <w:szCs w:val="16"/>
              </w:rPr>
              <w:t xml:space="preserve">        (21.484.262.190)</w:t>
            </w:r>
          </w:p>
        </w:tc>
        <w:tc>
          <w:tcPr>
            <w:tcW w:w="347" w:type="pct"/>
            <w:tcBorders>
              <w:top w:val="nil"/>
              <w:left w:val="nil"/>
              <w:bottom w:val="nil"/>
              <w:right w:val="nil"/>
            </w:tcBorders>
            <w:shd w:val="clear" w:color="auto" w:fill="auto"/>
            <w:noWrap/>
            <w:vAlign w:val="center"/>
            <w:hideMark/>
          </w:tcPr>
          <w:p w14:paraId="58300DBB" w14:textId="77777777" w:rsidR="0014651E" w:rsidRPr="0014651E" w:rsidRDefault="0014651E" w:rsidP="00C20033">
            <w:pPr>
              <w:jc w:val="center"/>
              <w:rPr>
                <w:rFonts w:asciiTheme="majorHAnsi" w:hAnsiTheme="majorHAnsi" w:cstheme="majorHAnsi"/>
                <w:sz w:val="16"/>
                <w:szCs w:val="16"/>
              </w:rPr>
            </w:pPr>
            <w:r w:rsidRPr="0014651E">
              <w:rPr>
                <w:rFonts w:asciiTheme="majorHAnsi" w:hAnsiTheme="majorHAnsi" w:cstheme="majorHAnsi"/>
                <w:sz w:val="16"/>
                <w:szCs w:val="16"/>
              </w:rPr>
              <w:t>(16c)</w:t>
            </w:r>
          </w:p>
        </w:tc>
      </w:tr>
      <w:tr w:rsidR="00591E10" w:rsidRPr="0014651E" w14:paraId="79A6F191" w14:textId="77777777" w:rsidTr="00591E10">
        <w:trPr>
          <w:trHeight w:hRule="exact" w:val="227"/>
        </w:trPr>
        <w:tc>
          <w:tcPr>
            <w:tcW w:w="2839" w:type="pct"/>
            <w:tcBorders>
              <w:top w:val="nil"/>
              <w:left w:val="nil"/>
              <w:bottom w:val="nil"/>
              <w:right w:val="nil"/>
            </w:tcBorders>
            <w:shd w:val="clear" w:color="auto" w:fill="auto"/>
            <w:noWrap/>
            <w:vAlign w:val="bottom"/>
            <w:hideMark/>
          </w:tcPr>
          <w:p w14:paraId="76CF3A50" w14:textId="77777777" w:rsidR="0014651E" w:rsidRPr="0014651E" w:rsidRDefault="0014651E">
            <w:pPr>
              <w:jc w:val="right"/>
              <w:rPr>
                <w:rFonts w:asciiTheme="majorHAnsi" w:hAnsiTheme="majorHAnsi" w:cstheme="majorHAnsi"/>
                <w:sz w:val="16"/>
                <w:szCs w:val="16"/>
              </w:rPr>
            </w:pPr>
          </w:p>
        </w:tc>
        <w:tc>
          <w:tcPr>
            <w:tcW w:w="955" w:type="pct"/>
            <w:tcBorders>
              <w:top w:val="nil"/>
              <w:left w:val="nil"/>
              <w:bottom w:val="nil"/>
              <w:right w:val="nil"/>
            </w:tcBorders>
            <w:shd w:val="clear" w:color="auto" w:fill="auto"/>
            <w:noWrap/>
            <w:vAlign w:val="bottom"/>
            <w:hideMark/>
          </w:tcPr>
          <w:p w14:paraId="06FCF545" w14:textId="77777777" w:rsidR="0014651E" w:rsidRPr="0014651E" w:rsidRDefault="0014651E">
            <w:pPr>
              <w:rPr>
                <w:rFonts w:asciiTheme="majorHAnsi" w:hAnsiTheme="majorHAnsi" w:cstheme="majorHAnsi"/>
                <w:sz w:val="16"/>
                <w:szCs w:val="16"/>
              </w:rPr>
            </w:pPr>
          </w:p>
        </w:tc>
        <w:tc>
          <w:tcPr>
            <w:tcW w:w="859" w:type="pct"/>
            <w:tcBorders>
              <w:top w:val="nil"/>
              <w:left w:val="nil"/>
              <w:bottom w:val="nil"/>
              <w:right w:val="nil"/>
            </w:tcBorders>
            <w:shd w:val="clear" w:color="auto" w:fill="auto"/>
            <w:noWrap/>
            <w:vAlign w:val="bottom"/>
            <w:hideMark/>
          </w:tcPr>
          <w:p w14:paraId="315A0241" w14:textId="77777777" w:rsidR="0014651E" w:rsidRPr="0014651E" w:rsidRDefault="0014651E">
            <w:pPr>
              <w:jc w:val="right"/>
              <w:rPr>
                <w:rFonts w:asciiTheme="majorHAnsi" w:hAnsiTheme="majorHAnsi" w:cstheme="majorHAnsi"/>
                <w:sz w:val="16"/>
                <w:szCs w:val="16"/>
              </w:rPr>
            </w:pPr>
          </w:p>
        </w:tc>
        <w:tc>
          <w:tcPr>
            <w:tcW w:w="347" w:type="pct"/>
            <w:tcBorders>
              <w:top w:val="nil"/>
              <w:left w:val="nil"/>
              <w:bottom w:val="nil"/>
              <w:right w:val="nil"/>
            </w:tcBorders>
            <w:shd w:val="clear" w:color="auto" w:fill="auto"/>
            <w:noWrap/>
            <w:vAlign w:val="center"/>
            <w:hideMark/>
          </w:tcPr>
          <w:p w14:paraId="65153534" w14:textId="77777777" w:rsidR="0014651E" w:rsidRPr="0014651E" w:rsidRDefault="0014651E" w:rsidP="00C20033">
            <w:pPr>
              <w:jc w:val="center"/>
              <w:rPr>
                <w:rFonts w:asciiTheme="majorHAnsi" w:hAnsiTheme="majorHAnsi" w:cstheme="majorHAnsi"/>
                <w:sz w:val="16"/>
                <w:szCs w:val="16"/>
              </w:rPr>
            </w:pPr>
          </w:p>
        </w:tc>
      </w:tr>
      <w:tr w:rsidR="00591E10" w:rsidRPr="0014651E" w14:paraId="5CCB4258" w14:textId="77777777" w:rsidTr="00591E10">
        <w:trPr>
          <w:trHeight w:hRule="exact" w:val="227"/>
        </w:trPr>
        <w:tc>
          <w:tcPr>
            <w:tcW w:w="2839" w:type="pct"/>
            <w:tcBorders>
              <w:top w:val="nil"/>
              <w:left w:val="nil"/>
              <w:bottom w:val="nil"/>
              <w:right w:val="nil"/>
            </w:tcBorders>
            <w:shd w:val="clear" w:color="auto" w:fill="auto"/>
            <w:noWrap/>
            <w:vAlign w:val="bottom"/>
            <w:hideMark/>
          </w:tcPr>
          <w:p w14:paraId="148E342D" w14:textId="77777777" w:rsidR="0014651E" w:rsidRPr="0014651E" w:rsidRDefault="0014651E">
            <w:pPr>
              <w:rPr>
                <w:rFonts w:asciiTheme="majorHAnsi" w:hAnsiTheme="majorHAnsi" w:cstheme="majorHAnsi"/>
                <w:b/>
                <w:bCs/>
                <w:sz w:val="16"/>
                <w:szCs w:val="16"/>
              </w:rPr>
            </w:pPr>
            <w:r w:rsidRPr="0014651E">
              <w:rPr>
                <w:rFonts w:asciiTheme="majorHAnsi" w:hAnsiTheme="majorHAnsi" w:cstheme="majorHAnsi"/>
                <w:b/>
                <w:bCs/>
                <w:sz w:val="16"/>
                <w:szCs w:val="16"/>
              </w:rPr>
              <w:t>TOTAL DO PASSIVO E PATRIMÔNIO LÍQUIDO</w:t>
            </w:r>
          </w:p>
        </w:tc>
        <w:tc>
          <w:tcPr>
            <w:tcW w:w="955" w:type="pct"/>
            <w:tcBorders>
              <w:top w:val="nil"/>
              <w:left w:val="nil"/>
              <w:bottom w:val="nil"/>
              <w:right w:val="nil"/>
            </w:tcBorders>
            <w:shd w:val="clear" w:color="auto" w:fill="auto"/>
            <w:noWrap/>
            <w:vAlign w:val="bottom"/>
            <w:hideMark/>
          </w:tcPr>
          <w:p w14:paraId="2E74566D" w14:textId="77777777" w:rsidR="0014651E" w:rsidRPr="0014651E" w:rsidRDefault="0014651E">
            <w:pPr>
              <w:jc w:val="right"/>
              <w:rPr>
                <w:rFonts w:asciiTheme="majorHAnsi" w:hAnsiTheme="majorHAnsi" w:cstheme="majorHAnsi"/>
                <w:b/>
                <w:bCs/>
                <w:sz w:val="16"/>
                <w:szCs w:val="16"/>
              </w:rPr>
            </w:pPr>
            <w:r w:rsidRPr="0014651E">
              <w:rPr>
                <w:rFonts w:asciiTheme="majorHAnsi" w:hAnsiTheme="majorHAnsi" w:cstheme="majorHAnsi"/>
                <w:b/>
                <w:bCs/>
                <w:sz w:val="16"/>
                <w:szCs w:val="16"/>
              </w:rPr>
              <w:t xml:space="preserve">                 4.721.965.653 </w:t>
            </w:r>
          </w:p>
        </w:tc>
        <w:tc>
          <w:tcPr>
            <w:tcW w:w="859" w:type="pct"/>
            <w:tcBorders>
              <w:top w:val="nil"/>
              <w:left w:val="nil"/>
              <w:bottom w:val="nil"/>
              <w:right w:val="nil"/>
            </w:tcBorders>
            <w:shd w:val="clear" w:color="auto" w:fill="auto"/>
            <w:noWrap/>
            <w:vAlign w:val="bottom"/>
            <w:hideMark/>
          </w:tcPr>
          <w:p w14:paraId="4024504A" w14:textId="7CF22710" w:rsidR="0014651E" w:rsidRPr="0014651E" w:rsidRDefault="0014651E">
            <w:pPr>
              <w:jc w:val="right"/>
              <w:rPr>
                <w:rFonts w:asciiTheme="majorHAnsi" w:hAnsiTheme="majorHAnsi" w:cstheme="majorHAnsi"/>
                <w:b/>
                <w:bCs/>
                <w:sz w:val="16"/>
                <w:szCs w:val="16"/>
              </w:rPr>
            </w:pPr>
            <w:r w:rsidRPr="0014651E">
              <w:rPr>
                <w:rFonts w:asciiTheme="majorHAnsi" w:hAnsiTheme="majorHAnsi" w:cstheme="majorHAnsi"/>
                <w:b/>
                <w:bCs/>
                <w:sz w:val="16"/>
                <w:szCs w:val="16"/>
              </w:rPr>
              <w:t xml:space="preserve">            4.416.348.5</w:t>
            </w:r>
            <w:r w:rsidR="00D672FD">
              <w:rPr>
                <w:rFonts w:asciiTheme="majorHAnsi" w:hAnsiTheme="majorHAnsi" w:cstheme="majorHAnsi"/>
                <w:b/>
                <w:bCs/>
                <w:sz w:val="16"/>
                <w:szCs w:val="16"/>
              </w:rPr>
              <w:t>69</w:t>
            </w:r>
            <w:r w:rsidRPr="0014651E">
              <w:rPr>
                <w:rFonts w:asciiTheme="majorHAnsi" w:hAnsiTheme="majorHAnsi" w:cstheme="majorHAnsi"/>
                <w:b/>
                <w:bCs/>
                <w:sz w:val="16"/>
                <w:szCs w:val="16"/>
              </w:rPr>
              <w:t xml:space="preserve"> </w:t>
            </w:r>
          </w:p>
        </w:tc>
        <w:tc>
          <w:tcPr>
            <w:tcW w:w="347" w:type="pct"/>
            <w:tcBorders>
              <w:top w:val="nil"/>
              <w:left w:val="nil"/>
              <w:bottom w:val="nil"/>
              <w:right w:val="nil"/>
            </w:tcBorders>
            <w:shd w:val="clear" w:color="auto" w:fill="auto"/>
            <w:noWrap/>
            <w:vAlign w:val="center"/>
            <w:hideMark/>
          </w:tcPr>
          <w:p w14:paraId="4C2905AB" w14:textId="77777777" w:rsidR="0014651E" w:rsidRPr="0014651E" w:rsidRDefault="0014651E">
            <w:pPr>
              <w:jc w:val="right"/>
              <w:rPr>
                <w:rFonts w:asciiTheme="majorHAnsi" w:hAnsiTheme="majorHAnsi" w:cstheme="majorHAnsi"/>
                <w:b/>
                <w:bCs/>
                <w:sz w:val="16"/>
                <w:szCs w:val="16"/>
              </w:rPr>
            </w:pPr>
          </w:p>
        </w:tc>
      </w:tr>
      <w:tr w:rsidR="00591E10" w:rsidRPr="0014651E" w14:paraId="5070A828" w14:textId="77777777" w:rsidTr="00591E10">
        <w:trPr>
          <w:trHeight w:hRule="exact" w:val="227"/>
        </w:trPr>
        <w:tc>
          <w:tcPr>
            <w:tcW w:w="2839" w:type="pct"/>
            <w:tcBorders>
              <w:top w:val="nil"/>
              <w:left w:val="nil"/>
              <w:bottom w:val="nil"/>
              <w:right w:val="nil"/>
            </w:tcBorders>
            <w:shd w:val="clear" w:color="auto" w:fill="auto"/>
            <w:noWrap/>
            <w:vAlign w:val="bottom"/>
            <w:hideMark/>
          </w:tcPr>
          <w:p w14:paraId="7CBCFFE8" w14:textId="77777777" w:rsidR="0014651E" w:rsidRPr="0014651E" w:rsidRDefault="0014651E">
            <w:pPr>
              <w:jc w:val="center"/>
              <w:rPr>
                <w:rFonts w:asciiTheme="majorHAnsi" w:hAnsiTheme="majorHAnsi" w:cstheme="majorHAnsi"/>
                <w:sz w:val="16"/>
                <w:szCs w:val="16"/>
              </w:rPr>
            </w:pPr>
          </w:p>
        </w:tc>
        <w:tc>
          <w:tcPr>
            <w:tcW w:w="955" w:type="pct"/>
            <w:tcBorders>
              <w:top w:val="nil"/>
              <w:left w:val="nil"/>
              <w:bottom w:val="nil"/>
              <w:right w:val="nil"/>
            </w:tcBorders>
            <w:shd w:val="clear" w:color="auto" w:fill="auto"/>
            <w:noWrap/>
            <w:vAlign w:val="bottom"/>
            <w:hideMark/>
          </w:tcPr>
          <w:p w14:paraId="79B27498" w14:textId="77777777" w:rsidR="0014651E" w:rsidRPr="0014651E" w:rsidRDefault="0014651E">
            <w:pPr>
              <w:rPr>
                <w:rFonts w:asciiTheme="majorHAnsi" w:hAnsiTheme="majorHAnsi" w:cstheme="majorHAnsi"/>
                <w:sz w:val="16"/>
                <w:szCs w:val="16"/>
              </w:rPr>
            </w:pPr>
          </w:p>
        </w:tc>
        <w:tc>
          <w:tcPr>
            <w:tcW w:w="859" w:type="pct"/>
            <w:tcBorders>
              <w:top w:val="nil"/>
              <w:left w:val="nil"/>
              <w:bottom w:val="nil"/>
              <w:right w:val="nil"/>
            </w:tcBorders>
            <w:shd w:val="clear" w:color="auto" w:fill="auto"/>
            <w:noWrap/>
            <w:vAlign w:val="bottom"/>
            <w:hideMark/>
          </w:tcPr>
          <w:p w14:paraId="4E2FDB3C" w14:textId="77777777" w:rsidR="0014651E" w:rsidRPr="0014651E" w:rsidRDefault="0014651E">
            <w:pPr>
              <w:jc w:val="right"/>
              <w:rPr>
                <w:rFonts w:asciiTheme="majorHAnsi" w:hAnsiTheme="majorHAnsi" w:cstheme="majorHAnsi"/>
                <w:sz w:val="16"/>
                <w:szCs w:val="16"/>
              </w:rPr>
            </w:pPr>
          </w:p>
        </w:tc>
        <w:tc>
          <w:tcPr>
            <w:tcW w:w="347" w:type="pct"/>
            <w:tcBorders>
              <w:top w:val="nil"/>
              <w:left w:val="nil"/>
              <w:bottom w:val="nil"/>
              <w:right w:val="nil"/>
            </w:tcBorders>
            <w:shd w:val="clear" w:color="auto" w:fill="auto"/>
            <w:noWrap/>
            <w:vAlign w:val="center"/>
            <w:hideMark/>
          </w:tcPr>
          <w:p w14:paraId="1CFA7BEB" w14:textId="77777777" w:rsidR="0014651E" w:rsidRPr="0014651E" w:rsidRDefault="0014651E">
            <w:pPr>
              <w:jc w:val="right"/>
              <w:rPr>
                <w:rFonts w:asciiTheme="majorHAnsi" w:hAnsiTheme="majorHAnsi" w:cstheme="majorHAnsi"/>
                <w:sz w:val="16"/>
                <w:szCs w:val="16"/>
              </w:rPr>
            </w:pPr>
          </w:p>
        </w:tc>
      </w:tr>
      <w:tr w:rsidR="00591E10" w:rsidRPr="0014651E" w14:paraId="356289E7" w14:textId="77777777" w:rsidTr="00591E10">
        <w:trPr>
          <w:trHeight w:hRule="exact" w:val="227"/>
        </w:trPr>
        <w:tc>
          <w:tcPr>
            <w:tcW w:w="2839" w:type="pct"/>
            <w:tcBorders>
              <w:top w:val="nil"/>
              <w:left w:val="nil"/>
              <w:bottom w:val="nil"/>
              <w:right w:val="nil"/>
            </w:tcBorders>
            <w:shd w:val="clear" w:color="auto" w:fill="auto"/>
            <w:noWrap/>
            <w:vAlign w:val="bottom"/>
            <w:hideMark/>
          </w:tcPr>
          <w:p w14:paraId="0CEFF2CE" w14:textId="77777777" w:rsidR="0014651E" w:rsidRPr="0014651E" w:rsidRDefault="0014651E">
            <w:pPr>
              <w:jc w:val="center"/>
              <w:rPr>
                <w:rFonts w:asciiTheme="majorHAnsi" w:hAnsiTheme="majorHAnsi" w:cstheme="majorHAnsi"/>
                <w:sz w:val="16"/>
                <w:szCs w:val="16"/>
              </w:rPr>
            </w:pPr>
          </w:p>
        </w:tc>
        <w:tc>
          <w:tcPr>
            <w:tcW w:w="955" w:type="pct"/>
            <w:tcBorders>
              <w:top w:val="nil"/>
              <w:left w:val="nil"/>
              <w:bottom w:val="nil"/>
              <w:right w:val="nil"/>
            </w:tcBorders>
            <w:shd w:val="clear" w:color="auto" w:fill="auto"/>
            <w:noWrap/>
            <w:vAlign w:val="bottom"/>
            <w:hideMark/>
          </w:tcPr>
          <w:p w14:paraId="6C428E5E" w14:textId="77777777" w:rsidR="0014651E" w:rsidRPr="0014651E" w:rsidRDefault="0014651E">
            <w:pPr>
              <w:rPr>
                <w:rFonts w:asciiTheme="majorHAnsi" w:hAnsiTheme="majorHAnsi" w:cstheme="majorHAnsi"/>
                <w:sz w:val="16"/>
                <w:szCs w:val="16"/>
              </w:rPr>
            </w:pPr>
          </w:p>
        </w:tc>
        <w:tc>
          <w:tcPr>
            <w:tcW w:w="859" w:type="pct"/>
            <w:tcBorders>
              <w:top w:val="nil"/>
              <w:left w:val="nil"/>
              <w:bottom w:val="nil"/>
              <w:right w:val="nil"/>
            </w:tcBorders>
            <w:shd w:val="clear" w:color="auto" w:fill="auto"/>
            <w:noWrap/>
            <w:vAlign w:val="bottom"/>
            <w:hideMark/>
          </w:tcPr>
          <w:p w14:paraId="505C9B91" w14:textId="77777777" w:rsidR="0014651E" w:rsidRPr="0014651E" w:rsidRDefault="0014651E">
            <w:pPr>
              <w:jc w:val="center"/>
              <w:rPr>
                <w:rFonts w:asciiTheme="majorHAnsi" w:hAnsiTheme="majorHAnsi" w:cstheme="majorHAnsi"/>
                <w:sz w:val="16"/>
                <w:szCs w:val="16"/>
              </w:rPr>
            </w:pPr>
          </w:p>
        </w:tc>
        <w:tc>
          <w:tcPr>
            <w:tcW w:w="347" w:type="pct"/>
            <w:tcBorders>
              <w:top w:val="nil"/>
              <w:left w:val="nil"/>
              <w:bottom w:val="nil"/>
              <w:right w:val="nil"/>
            </w:tcBorders>
            <w:shd w:val="clear" w:color="auto" w:fill="auto"/>
            <w:noWrap/>
            <w:vAlign w:val="center"/>
            <w:hideMark/>
          </w:tcPr>
          <w:p w14:paraId="0BC8E76A" w14:textId="77777777" w:rsidR="0014651E" w:rsidRPr="0014651E" w:rsidRDefault="0014651E">
            <w:pPr>
              <w:jc w:val="right"/>
              <w:rPr>
                <w:rFonts w:asciiTheme="majorHAnsi" w:hAnsiTheme="majorHAnsi" w:cstheme="majorHAnsi"/>
                <w:sz w:val="16"/>
                <w:szCs w:val="16"/>
              </w:rPr>
            </w:pPr>
          </w:p>
        </w:tc>
      </w:tr>
      <w:tr w:rsidR="00591E10" w:rsidRPr="0014651E" w14:paraId="6F178851" w14:textId="77777777" w:rsidTr="00591E10">
        <w:trPr>
          <w:trHeight w:hRule="exact" w:val="227"/>
        </w:trPr>
        <w:tc>
          <w:tcPr>
            <w:tcW w:w="2839" w:type="pct"/>
            <w:tcBorders>
              <w:top w:val="nil"/>
              <w:left w:val="nil"/>
              <w:bottom w:val="nil"/>
              <w:right w:val="nil"/>
            </w:tcBorders>
            <w:shd w:val="clear" w:color="auto" w:fill="auto"/>
            <w:noWrap/>
            <w:vAlign w:val="bottom"/>
            <w:hideMark/>
          </w:tcPr>
          <w:p w14:paraId="205125D5" w14:textId="77777777" w:rsidR="0014651E" w:rsidRPr="0014651E" w:rsidRDefault="0014651E">
            <w:pPr>
              <w:jc w:val="center"/>
              <w:rPr>
                <w:rFonts w:asciiTheme="majorHAnsi" w:hAnsiTheme="majorHAnsi" w:cstheme="majorHAnsi"/>
                <w:sz w:val="16"/>
                <w:szCs w:val="16"/>
              </w:rPr>
            </w:pPr>
          </w:p>
        </w:tc>
        <w:tc>
          <w:tcPr>
            <w:tcW w:w="955" w:type="pct"/>
            <w:tcBorders>
              <w:top w:val="nil"/>
              <w:left w:val="nil"/>
              <w:bottom w:val="nil"/>
              <w:right w:val="nil"/>
            </w:tcBorders>
            <w:shd w:val="clear" w:color="auto" w:fill="auto"/>
            <w:noWrap/>
            <w:vAlign w:val="bottom"/>
            <w:hideMark/>
          </w:tcPr>
          <w:p w14:paraId="642517B8" w14:textId="77777777" w:rsidR="0014651E" w:rsidRPr="0014651E" w:rsidRDefault="0014651E">
            <w:pPr>
              <w:rPr>
                <w:rFonts w:asciiTheme="majorHAnsi" w:hAnsiTheme="majorHAnsi" w:cstheme="majorHAnsi"/>
                <w:sz w:val="16"/>
                <w:szCs w:val="16"/>
              </w:rPr>
            </w:pPr>
          </w:p>
        </w:tc>
        <w:tc>
          <w:tcPr>
            <w:tcW w:w="859" w:type="pct"/>
            <w:tcBorders>
              <w:top w:val="nil"/>
              <w:left w:val="nil"/>
              <w:bottom w:val="nil"/>
              <w:right w:val="nil"/>
            </w:tcBorders>
            <w:shd w:val="clear" w:color="auto" w:fill="auto"/>
            <w:noWrap/>
            <w:vAlign w:val="bottom"/>
            <w:hideMark/>
          </w:tcPr>
          <w:p w14:paraId="7E0BE8A6" w14:textId="77777777" w:rsidR="0014651E" w:rsidRPr="0014651E" w:rsidRDefault="0014651E">
            <w:pPr>
              <w:rPr>
                <w:rFonts w:asciiTheme="majorHAnsi" w:hAnsiTheme="majorHAnsi" w:cstheme="majorHAnsi"/>
                <w:sz w:val="16"/>
                <w:szCs w:val="16"/>
              </w:rPr>
            </w:pPr>
          </w:p>
        </w:tc>
        <w:tc>
          <w:tcPr>
            <w:tcW w:w="347" w:type="pct"/>
            <w:tcBorders>
              <w:top w:val="nil"/>
              <w:left w:val="nil"/>
              <w:bottom w:val="nil"/>
              <w:right w:val="nil"/>
            </w:tcBorders>
            <w:shd w:val="clear" w:color="auto" w:fill="auto"/>
            <w:noWrap/>
            <w:vAlign w:val="center"/>
            <w:hideMark/>
          </w:tcPr>
          <w:p w14:paraId="29E91D58" w14:textId="77777777" w:rsidR="0014651E" w:rsidRPr="0014651E" w:rsidRDefault="0014651E">
            <w:pPr>
              <w:jc w:val="right"/>
              <w:rPr>
                <w:rFonts w:asciiTheme="majorHAnsi" w:hAnsiTheme="majorHAnsi" w:cstheme="majorHAnsi"/>
                <w:sz w:val="16"/>
                <w:szCs w:val="16"/>
              </w:rPr>
            </w:pPr>
          </w:p>
        </w:tc>
      </w:tr>
      <w:tr w:rsidR="00591E10" w:rsidRPr="0014651E" w14:paraId="3AA35609" w14:textId="77777777" w:rsidTr="00591E10">
        <w:trPr>
          <w:trHeight w:hRule="exact" w:val="227"/>
        </w:trPr>
        <w:tc>
          <w:tcPr>
            <w:tcW w:w="2839" w:type="pct"/>
            <w:tcBorders>
              <w:top w:val="nil"/>
              <w:left w:val="nil"/>
              <w:bottom w:val="nil"/>
              <w:right w:val="nil"/>
            </w:tcBorders>
            <w:shd w:val="clear" w:color="auto" w:fill="auto"/>
            <w:noWrap/>
            <w:vAlign w:val="bottom"/>
            <w:hideMark/>
          </w:tcPr>
          <w:p w14:paraId="74D572F9" w14:textId="77777777" w:rsidR="0014651E" w:rsidRPr="0014651E" w:rsidRDefault="0014651E">
            <w:pPr>
              <w:jc w:val="center"/>
              <w:rPr>
                <w:rFonts w:asciiTheme="majorHAnsi" w:hAnsiTheme="majorHAnsi" w:cstheme="majorHAnsi"/>
                <w:sz w:val="16"/>
                <w:szCs w:val="16"/>
              </w:rPr>
            </w:pPr>
          </w:p>
        </w:tc>
        <w:tc>
          <w:tcPr>
            <w:tcW w:w="955" w:type="pct"/>
            <w:tcBorders>
              <w:top w:val="nil"/>
              <w:left w:val="nil"/>
              <w:bottom w:val="nil"/>
              <w:right w:val="nil"/>
            </w:tcBorders>
            <w:shd w:val="clear" w:color="auto" w:fill="auto"/>
            <w:noWrap/>
            <w:vAlign w:val="bottom"/>
            <w:hideMark/>
          </w:tcPr>
          <w:p w14:paraId="3BA8BBDC" w14:textId="77777777" w:rsidR="0014651E" w:rsidRPr="0014651E" w:rsidRDefault="0014651E">
            <w:pPr>
              <w:jc w:val="center"/>
              <w:rPr>
                <w:rFonts w:asciiTheme="majorHAnsi" w:hAnsiTheme="majorHAnsi" w:cstheme="majorHAnsi"/>
                <w:sz w:val="16"/>
                <w:szCs w:val="16"/>
              </w:rPr>
            </w:pPr>
          </w:p>
        </w:tc>
        <w:tc>
          <w:tcPr>
            <w:tcW w:w="859" w:type="pct"/>
            <w:tcBorders>
              <w:top w:val="nil"/>
              <w:left w:val="nil"/>
              <w:bottom w:val="nil"/>
              <w:right w:val="nil"/>
            </w:tcBorders>
            <w:shd w:val="clear" w:color="auto" w:fill="auto"/>
            <w:noWrap/>
            <w:vAlign w:val="bottom"/>
            <w:hideMark/>
          </w:tcPr>
          <w:p w14:paraId="533BB512" w14:textId="77777777" w:rsidR="0014651E" w:rsidRPr="0014651E" w:rsidRDefault="0014651E">
            <w:pPr>
              <w:rPr>
                <w:rFonts w:asciiTheme="majorHAnsi" w:hAnsiTheme="majorHAnsi" w:cstheme="majorHAnsi"/>
                <w:sz w:val="16"/>
                <w:szCs w:val="16"/>
              </w:rPr>
            </w:pPr>
          </w:p>
        </w:tc>
        <w:tc>
          <w:tcPr>
            <w:tcW w:w="347" w:type="pct"/>
            <w:tcBorders>
              <w:top w:val="nil"/>
              <w:left w:val="nil"/>
              <w:bottom w:val="nil"/>
              <w:right w:val="nil"/>
            </w:tcBorders>
            <w:shd w:val="clear" w:color="auto" w:fill="auto"/>
            <w:noWrap/>
            <w:vAlign w:val="center"/>
            <w:hideMark/>
          </w:tcPr>
          <w:p w14:paraId="349E5EB0" w14:textId="77777777" w:rsidR="0014651E" w:rsidRPr="0014651E" w:rsidRDefault="0014651E">
            <w:pPr>
              <w:jc w:val="right"/>
              <w:rPr>
                <w:rFonts w:asciiTheme="majorHAnsi" w:hAnsiTheme="majorHAnsi" w:cstheme="majorHAnsi"/>
                <w:sz w:val="16"/>
                <w:szCs w:val="16"/>
              </w:rPr>
            </w:pPr>
          </w:p>
        </w:tc>
      </w:tr>
      <w:tr w:rsidR="0014651E" w:rsidRPr="0014651E" w14:paraId="5687E555" w14:textId="77777777" w:rsidTr="00591E10">
        <w:trPr>
          <w:trHeight w:hRule="exact" w:val="227"/>
        </w:trPr>
        <w:tc>
          <w:tcPr>
            <w:tcW w:w="4999" w:type="pct"/>
            <w:gridSpan w:val="4"/>
            <w:tcBorders>
              <w:top w:val="nil"/>
              <w:left w:val="nil"/>
              <w:bottom w:val="nil"/>
              <w:right w:val="nil"/>
            </w:tcBorders>
            <w:shd w:val="clear" w:color="auto" w:fill="auto"/>
            <w:noWrap/>
            <w:vAlign w:val="bottom"/>
            <w:hideMark/>
          </w:tcPr>
          <w:p w14:paraId="272877C7" w14:textId="77777777" w:rsidR="0014651E" w:rsidRPr="0014651E" w:rsidRDefault="0014651E">
            <w:pPr>
              <w:jc w:val="center"/>
              <w:rPr>
                <w:rFonts w:asciiTheme="majorHAnsi" w:hAnsiTheme="majorHAnsi" w:cstheme="majorHAnsi"/>
                <w:sz w:val="16"/>
                <w:szCs w:val="16"/>
              </w:rPr>
            </w:pPr>
            <w:r w:rsidRPr="0014651E">
              <w:rPr>
                <w:rFonts w:asciiTheme="majorHAnsi" w:hAnsiTheme="majorHAnsi" w:cstheme="majorHAnsi"/>
                <w:sz w:val="16"/>
                <w:szCs w:val="16"/>
              </w:rPr>
              <w:t>(As Notas Explicativas são parte integrante das demonstrações contábeis intermediárias)</w:t>
            </w:r>
          </w:p>
        </w:tc>
      </w:tr>
    </w:tbl>
    <w:p w14:paraId="521D37B1" w14:textId="77777777" w:rsidR="00444C41" w:rsidRDefault="00444C41" w:rsidP="00917E9B">
      <w:pPr>
        <w:pStyle w:val="Ttulo1"/>
        <w:rPr>
          <w:rFonts w:ascii="Calibri" w:hAnsi="Calibri" w:cs="Calibri"/>
          <w:szCs w:val="22"/>
        </w:rPr>
      </w:pPr>
    </w:p>
    <w:p w14:paraId="649E4093" w14:textId="77777777" w:rsidR="00444C41" w:rsidRDefault="00444C41" w:rsidP="00917E9B">
      <w:pPr>
        <w:pStyle w:val="Ttulo1"/>
        <w:rPr>
          <w:rFonts w:ascii="Calibri" w:hAnsi="Calibri" w:cs="Calibri"/>
          <w:szCs w:val="22"/>
        </w:rPr>
      </w:pPr>
    </w:p>
    <w:p w14:paraId="3DA1AB6A" w14:textId="22E184A6" w:rsidR="00444C41" w:rsidRDefault="00444C41" w:rsidP="00917E9B">
      <w:pPr>
        <w:pStyle w:val="Ttulo1"/>
        <w:rPr>
          <w:rFonts w:ascii="Calibri" w:hAnsi="Calibri" w:cs="Calibri"/>
          <w:szCs w:val="22"/>
        </w:rPr>
      </w:pPr>
    </w:p>
    <w:p w14:paraId="40AA9AD0" w14:textId="6C01F47A" w:rsidR="00591E10" w:rsidRDefault="00591E10" w:rsidP="00591E10"/>
    <w:p w14:paraId="220CE123" w14:textId="6325B615" w:rsidR="00591E10" w:rsidRDefault="00591E10" w:rsidP="00591E10"/>
    <w:p w14:paraId="38C73093" w14:textId="4C9F5549" w:rsidR="00591E10" w:rsidRDefault="00591E10" w:rsidP="00591E10"/>
    <w:p w14:paraId="1797C237" w14:textId="340272A6" w:rsidR="00591E10" w:rsidRDefault="00591E10" w:rsidP="00591E10"/>
    <w:p w14:paraId="5CF52CC2" w14:textId="44C3023E" w:rsidR="00591E10" w:rsidRDefault="00591E10" w:rsidP="00591E10"/>
    <w:p w14:paraId="0839D05B" w14:textId="65132D5D" w:rsidR="00591E10" w:rsidRDefault="00591E10" w:rsidP="00591E10"/>
    <w:p w14:paraId="2BC031D6" w14:textId="0744AB8C" w:rsidR="00591E10" w:rsidRDefault="00591E10" w:rsidP="00591E10"/>
    <w:p w14:paraId="7075D44D" w14:textId="735E81E2" w:rsidR="00591E10" w:rsidRDefault="00591E10" w:rsidP="00591E10"/>
    <w:p w14:paraId="0BA9BB4F" w14:textId="09837116" w:rsidR="00591E10" w:rsidRDefault="00591E10" w:rsidP="00591E10"/>
    <w:tbl>
      <w:tblPr>
        <w:tblW w:w="5011" w:type="pct"/>
        <w:tblLayout w:type="fixed"/>
        <w:tblCellMar>
          <w:left w:w="70" w:type="dxa"/>
          <w:right w:w="70" w:type="dxa"/>
        </w:tblCellMar>
        <w:tblLook w:val="04A0" w:firstRow="1" w:lastRow="0" w:firstColumn="1" w:lastColumn="0" w:noHBand="0" w:noVBand="1"/>
      </w:tblPr>
      <w:tblGrid>
        <w:gridCol w:w="3523"/>
        <w:gridCol w:w="1548"/>
        <w:gridCol w:w="1553"/>
        <w:gridCol w:w="1548"/>
        <w:gridCol w:w="1548"/>
        <w:gridCol w:w="749"/>
        <w:gridCol w:w="21"/>
      </w:tblGrid>
      <w:tr w:rsidR="00591E10" w:rsidRPr="00591E10" w14:paraId="0A295056" w14:textId="77777777" w:rsidTr="00591E10">
        <w:trPr>
          <w:gridAfter w:val="1"/>
          <w:wAfter w:w="11" w:type="pct"/>
          <w:trHeight w:hRule="exact" w:val="227"/>
        </w:trPr>
        <w:tc>
          <w:tcPr>
            <w:tcW w:w="4989" w:type="pct"/>
            <w:gridSpan w:val="6"/>
            <w:tcBorders>
              <w:top w:val="nil"/>
              <w:left w:val="nil"/>
              <w:bottom w:val="nil"/>
              <w:right w:val="nil"/>
            </w:tcBorders>
            <w:shd w:val="clear" w:color="auto" w:fill="auto"/>
            <w:noWrap/>
            <w:vAlign w:val="bottom"/>
            <w:hideMark/>
          </w:tcPr>
          <w:p w14:paraId="397CF755" w14:textId="77777777" w:rsidR="00591E10" w:rsidRPr="00591E10" w:rsidRDefault="00591E10">
            <w:pPr>
              <w:jc w:val="center"/>
              <w:rPr>
                <w:rFonts w:asciiTheme="majorHAnsi" w:hAnsiTheme="majorHAnsi" w:cstheme="majorHAnsi"/>
                <w:b/>
                <w:bCs/>
                <w:sz w:val="16"/>
                <w:szCs w:val="16"/>
              </w:rPr>
            </w:pPr>
            <w:r w:rsidRPr="00591E10">
              <w:rPr>
                <w:rFonts w:asciiTheme="majorHAnsi" w:hAnsiTheme="majorHAnsi" w:cstheme="majorHAnsi"/>
                <w:b/>
                <w:bCs/>
                <w:sz w:val="16"/>
                <w:szCs w:val="16"/>
              </w:rPr>
              <w:t>VALEC ENGENHARIA, CONSTRUÇÕES E FERROVIAS S/A</w:t>
            </w:r>
          </w:p>
        </w:tc>
      </w:tr>
      <w:tr w:rsidR="00591E10" w:rsidRPr="00591E10" w14:paraId="69CD574C" w14:textId="77777777" w:rsidTr="00591E10">
        <w:trPr>
          <w:gridAfter w:val="1"/>
          <w:wAfter w:w="11" w:type="pct"/>
          <w:trHeight w:hRule="exact" w:val="227"/>
        </w:trPr>
        <w:tc>
          <w:tcPr>
            <w:tcW w:w="4989" w:type="pct"/>
            <w:gridSpan w:val="6"/>
            <w:tcBorders>
              <w:top w:val="nil"/>
              <w:left w:val="nil"/>
              <w:bottom w:val="nil"/>
              <w:right w:val="nil"/>
            </w:tcBorders>
            <w:shd w:val="clear" w:color="auto" w:fill="auto"/>
            <w:noWrap/>
            <w:vAlign w:val="bottom"/>
            <w:hideMark/>
          </w:tcPr>
          <w:p w14:paraId="6DFBA3F1" w14:textId="77777777" w:rsidR="00591E10" w:rsidRPr="00591E10" w:rsidRDefault="00591E10">
            <w:pPr>
              <w:jc w:val="center"/>
              <w:rPr>
                <w:rFonts w:asciiTheme="majorHAnsi" w:hAnsiTheme="majorHAnsi" w:cstheme="majorHAnsi"/>
                <w:b/>
                <w:bCs/>
                <w:sz w:val="16"/>
                <w:szCs w:val="16"/>
              </w:rPr>
            </w:pPr>
            <w:r w:rsidRPr="00591E10">
              <w:rPr>
                <w:rFonts w:asciiTheme="majorHAnsi" w:hAnsiTheme="majorHAnsi" w:cstheme="majorHAnsi"/>
                <w:b/>
                <w:bCs/>
                <w:sz w:val="16"/>
                <w:szCs w:val="16"/>
              </w:rPr>
              <w:t xml:space="preserve">DEMONSTRAÇÃO DO RESULTADO </w:t>
            </w:r>
          </w:p>
        </w:tc>
      </w:tr>
      <w:tr w:rsidR="00591E10" w:rsidRPr="00591E10" w14:paraId="25FA8590" w14:textId="77777777" w:rsidTr="00591E10">
        <w:trPr>
          <w:gridAfter w:val="1"/>
          <w:wAfter w:w="11" w:type="pct"/>
          <w:trHeight w:hRule="exact" w:val="227"/>
        </w:trPr>
        <w:tc>
          <w:tcPr>
            <w:tcW w:w="4989" w:type="pct"/>
            <w:gridSpan w:val="6"/>
            <w:tcBorders>
              <w:top w:val="nil"/>
              <w:left w:val="nil"/>
              <w:bottom w:val="nil"/>
              <w:right w:val="nil"/>
            </w:tcBorders>
            <w:shd w:val="clear" w:color="auto" w:fill="auto"/>
            <w:noWrap/>
            <w:vAlign w:val="bottom"/>
            <w:hideMark/>
          </w:tcPr>
          <w:p w14:paraId="059AFD78" w14:textId="77777777" w:rsidR="00591E10" w:rsidRPr="00591E10" w:rsidRDefault="00591E10">
            <w:pPr>
              <w:jc w:val="center"/>
              <w:rPr>
                <w:rFonts w:asciiTheme="majorHAnsi" w:hAnsiTheme="majorHAnsi" w:cstheme="majorHAnsi"/>
                <w:b/>
                <w:bCs/>
                <w:sz w:val="16"/>
                <w:szCs w:val="16"/>
              </w:rPr>
            </w:pPr>
            <w:r w:rsidRPr="00591E10">
              <w:rPr>
                <w:rFonts w:asciiTheme="majorHAnsi" w:hAnsiTheme="majorHAnsi" w:cstheme="majorHAnsi"/>
                <w:b/>
                <w:bCs/>
                <w:sz w:val="16"/>
                <w:szCs w:val="16"/>
              </w:rPr>
              <w:t>2º TRIMESTRE 2022</w:t>
            </w:r>
          </w:p>
        </w:tc>
      </w:tr>
      <w:tr w:rsidR="00591E10" w:rsidRPr="00591E10" w14:paraId="13591204" w14:textId="77777777" w:rsidTr="00591E10">
        <w:trPr>
          <w:gridAfter w:val="1"/>
          <w:wAfter w:w="11" w:type="pct"/>
          <w:trHeight w:hRule="exact" w:val="227"/>
        </w:trPr>
        <w:tc>
          <w:tcPr>
            <w:tcW w:w="4989" w:type="pct"/>
            <w:gridSpan w:val="6"/>
            <w:tcBorders>
              <w:top w:val="nil"/>
              <w:left w:val="nil"/>
              <w:bottom w:val="nil"/>
              <w:right w:val="nil"/>
            </w:tcBorders>
            <w:shd w:val="clear" w:color="auto" w:fill="auto"/>
            <w:noWrap/>
            <w:vAlign w:val="bottom"/>
            <w:hideMark/>
          </w:tcPr>
          <w:p w14:paraId="16E2BC28" w14:textId="77777777" w:rsidR="00591E10" w:rsidRPr="00591E10" w:rsidRDefault="00591E10">
            <w:pPr>
              <w:jc w:val="center"/>
              <w:rPr>
                <w:rFonts w:asciiTheme="majorHAnsi" w:hAnsiTheme="majorHAnsi" w:cstheme="majorHAnsi"/>
                <w:b/>
                <w:bCs/>
                <w:sz w:val="16"/>
                <w:szCs w:val="16"/>
              </w:rPr>
            </w:pPr>
            <w:r w:rsidRPr="00591E10">
              <w:rPr>
                <w:rFonts w:asciiTheme="majorHAnsi" w:hAnsiTheme="majorHAnsi" w:cstheme="majorHAnsi"/>
                <w:b/>
                <w:bCs/>
                <w:sz w:val="16"/>
                <w:szCs w:val="16"/>
              </w:rPr>
              <w:t>Em R$ 1</w:t>
            </w:r>
          </w:p>
        </w:tc>
      </w:tr>
      <w:tr w:rsidR="00591E10" w:rsidRPr="00591E10" w14:paraId="02F8FC0B" w14:textId="77777777" w:rsidTr="00591E10">
        <w:trPr>
          <w:gridAfter w:val="1"/>
          <w:wAfter w:w="11" w:type="pct"/>
          <w:trHeight w:hRule="exact" w:val="227"/>
        </w:trPr>
        <w:tc>
          <w:tcPr>
            <w:tcW w:w="1679" w:type="pct"/>
            <w:tcBorders>
              <w:top w:val="nil"/>
              <w:left w:val="nil"/>
              <w:bottom w:val="nil"/>
              <w:right w:val="nil"/>
            </w:tcBorders>
            <w:shd w:val="clear" w:color="auto" w:fill="auto"/>
            <w:noWrap/>
            <w:vAlign w:val="bottom"/>
            <w:hideMark/>
          </w:tcPr>
          <w:p w14:paraId="5B14E1DE" w14:textId="77777777" w:rsidR="00591E10" w:rsidRPr="00591E10" w:rsidRDefault="00591E10">
            <w:pPr>
              <w:jc w:val="center"/>
              <w:rPr>
                <w:rFonts w:asciiTheme="majorHAnsi" w:hAnsiTheme="majorHAnsi" w:cstheme="majorHAnsi"/>
                <w:b/>
                <w:bCs/>
                <w:sz w:val="16"/>
                <w:szCs w:val="16"/>
              </w:rPr>
            </w:pPr>
          </w:p>
        </w:tc>
        <w:tc>
          <w:tcPr>
            <w:tcW w:w="738" w:type="pct"/>
            <w:tcBorders>
              <w:top w:val="nil"/>
              <w:left w:val="nil"/>
              <w:bottom w:val="nil"/>
              <w:right w:val="nil"/>
            </w:tcBorders>
            <w:shd w:val="clear" w:color="auto" w:fill="auto"/>
            <w:noWrap/>
            <w:vAlign w:val="bottom"/>
            <w:hideMark/>
          </w:tcPr>
          <w:p w14:paraId="4B29E740" w14:textId="77777777" w:rsidR="00591E10" w:rsidRPr="00591E10" w:rsidRDefault="00591E10">
            <w:pPr>
              <w:jc w:val="center"/>
              <w:rPr>
                <w:rFonts w:asciiTheme="majorHAnsi" w:hAnsiTheme="majorHAnsi" w:cstheme="majorHAnsi"/>
                <w:sz w:val="16"/>
                <w:szCs w:val="16"/>
              </w:rPr>
            </w:pPr>
          </w:p>
        </w:tc>
        <w:tc>
          <w:tcPr>
            <w:tcW w:w="740" w:type="pct"/>
            <w:tcBorders>
              <w:top w:val="nil"/>
              <w:left w:val="nil"/>
              <w:bottom w:val="nil"/>
              <w:right w:val="nil"/>
            </w:tcBorders>
            <w:shd w:val="clear" w:color="auto" w:fill="auto"/>
            <w:noWrap/>
            <w:vAlign w:val="bottom"/>
            <w:hideMark/>
          </w:tcPr>
          <w:p w14:paraId="219967C8" w14:textId="77777777" w:rsidR="00591E10" w:rsidRPr="00591E10" w:rsidRDefault="00591E10">
            <w:pPr>
              <w:jc w:val="center"/>
              <w:rPr>
                <w:rFonts w:asciiTheme="majorHAnsi" w:hAnsiTheme="majorHAnsi" w:cstheme="majorHAnsi"/>
                <w:sz w:val="16"/>
                <w:szCs w:val="16"/>
              </w:rPr>
            </w:pPr>
          </w:p>
        </w:tc>
        <w:tc>
          <w:tcPr>
            <w:tcW w:w="738" w:type="pct"/>
            <w:tcBorders>
              <w:top w:val="nil"/>
              <w:left w:val="nil"/>
              <w:bottom w:val="nil"/>
              <w:right w:val="nil"/>
            </w:tcBorders>
            <w:shd w:val="clear" w:color="auto" w:fill="auto"/>
            <w:noWrap/>
            <w:vAlign w:val="bottom"/>
            <w:hideMark/>
          </w:tcPr>
          <w:p w14:paraId="152F1BDB" w14:textId="77777777" w:rsidR="00591E10" w:rsidRPr="00591E10" w:rsidRDefault="00591E10">
            <w:pPr>
              <w:jc w:val="center"/>
              <w:rPr>
                <w:rFonts w:asciiTheme="majorHAnsi" w:hAnsiTheme="majorHAnsi" w:cstheme="majorHAnsi"/>
                <w:sz w:val="16"/>
                <w:szCs w:val="16"/>
              </w:rPr>
            </w:pPr>
          </w:p>
        </w:tc>
        <w:tc>
          <w:tcPr>
            <w:tcW w:w="738" w:type="pct"/>
            <w:tcBorders>
              <w:top w:val="nil"/>
              <w:left w:val="nil"/>
              <w:bottom w:val="nil"/>
              <w:right w:val="nil"/>
            </w:tcBorders>
            <w:shd w:val="clear" w:color="auto" w:fill="auto"/>
            <w:noWrap/>
            <w:vAlign w:val="bottom"/>
            <w:hideMark/>
          </w:tcPr>
          <w:p w14:paraId="4B4C5CE0" w14:textId="77777777" w:rsidR="00591E10" w:rsidRPr="00591E10" w:rsidRDefault="00591E10">
            <w:pPr>
              <w:jc w:val="center"/>
              <w:rPr>
                <w:rFonts w:asciiTheme="majorHAnsi" w:hAnsiTheme="majorHAnsi" w:cstheme="majorHAnsi"/>
                <w:sz w:val="16"/>
                <w:szCs w:val="16"/>
              </w:rPr>
            </w:pPr>
          </w:p>
        </w:tc>
        <w:tc>
          <w:tcPr>
            <w:tcW w:w="357" w:type="pct"/>
            <w:tcBorders>
              <w:top w:val="nil"/>
              <w:left w:val="nil"/>
              <w:bottom w:val="nil"/>
              <w:right w:val="nil"/>
            </w:tcBorders>
            <w:shd w:val="clear" w:color="auto" w:fill="auto"/>
            <w:noWrap/>
            <w:vAlign w:val="bottom"/>
            <w:hideMark/>
          </w:tcPr>
          <w:p w14:paraId="4B93DFAE" w14:textId="77777777" w:rsidR="00591E10" w:rsidRPr="00591E10" w:rsidRDefault="00591E10">
            <w:pPr>
              <w:jc w:val="center"/>
              <w:rPr>
                <w:rFonts w:asciiTheme="majorHAnsi" w:hAnsiTheme="majorHAnsi" w:cstheme="majorHAnsi"/>
                <w:sz w:val="16"/>
                <w:szCs w:val="16"/>
              </w:rPr>
            </w:pPr>
          </w:p>
        </w:tc>
      </w:tr>
      <w:tr w:rsidR="00591E10" w:rsidRPr="00591E10" w14:paraId="629E3B73" w14:textId="77777777" w:rsidTr="00591E10">
        <w:trPr>
          <w:gridAfter w:val="1"/>
          <w:wAfter w:w="11" w:type="pct"/>
          <w:trHeight w:hRule="exact" w:val="227"/>
        </w:trPr>
        <w:tc>
          <w:tcPr>
            <w:tcW w:w="1679" w:type="pct"/>
            <w:tcBorders>
              <w:top w:val="nil"/>
              <w:left w:val="nil"/>
              <w:bottom w:val="nil"/>
              <w:right w:val="nil"/>
            </w:tcBorders>
            <w:shd w:val="clear" w:color="auto" w:fill="auto"/>
            <w:noWrap/>
            <w:vAlign w:val="bottom"/>
            <w:hideMark/>
          </w:tcPr>
          <w:p w14:paraId="24E9DFB4" w14:textId="77777777" w:rsidR="00591E10" w:rsidRPr="00591E10" w:rsidRDefault="00591E10">
            <w:pPr>
              <w:jc w:val="center"/>
              <w:rPr>
                <w:rFonts w:asciiTheme="majorHAnsi" w:hAnsiTheme="majorHAnsi" w:cstheme="majorHAnsi"/>
                <w:sz w:val="16"/>
                <w:szCs w:val="16"/>
              </w:rPr>
            </w:pPr>
          </w:p>
        </w:tc>
        <w:tc>
          <w:tcPr>
            <w:tcW w:w="738" w:type="pct"/>
            <w:tcBorders>
              <w:top w:val="nil"/>
              <w:left w:val="nil"/>
              <w:bottom w:val="nil"/>
              <w:right w:val="nil"/>
            </w:tcBorders>
            <w:shd w:val="clear" w:color="auto" w:fill="auto"/>
            <w:vAlign w:val="bottom"/>
            <w:hideMark/>
          </w:tcPr>
          <w:p w14:paraId="3B37CE97" w14:textId="77777777" w:rsidR="00591E10" w:rsidRPr="00591E10" w:rsidRDefault="00591E10" w:rsidP="00591E10">
            <w:pPr>
              <w:jc w:val="right"/>
              <w:rPr>
                <w:rFonts w:asciiTheme="majorHAnsi" w:hAnsiTheme="majorHAnsi" w:cstheme="majorHAnsi"/>
                <w:b/>
                <w:bCs/>
                <w:sz w:val="16"/>
                <w:szCs w:val="16"/>
              </w:rPr>
            </w:pPr>
            <w:r w:rsidRPr="00591E10">
              <w:rPr>
                <w:rFonts w:asciiTheme="majorHAnsi" w:hAnsiTheme="majorHAnsi" w:cstheme="majorHAnsi"/>
                <w:b/>
                <w:bCs/>
                <w:sz w:val="16"/>
                <w:szCs w:val="16"/>
              </w:rPr>
              <w:t>01/04/2022</w:t>
            </w:r>
          </w:p>
        </w:tc>
        <w:tc>
          <w:tcPr>
            <w:tcW w:w="740" w:type="pct"/>
            <w:tcBorders>
              <w:top w:val="nil"/>
              <w:left w:val="nil"/>
              <w:bottom w:val="nil"/>
              <w:right w:val="nil"/>
            </w:tcBorders>
            <w:shd w:val="clear" w:color="auto" w:fill="auto"/>
            <w:vAlign w:val="bottom"/>
            <w:hideMark/>
          </w:tcPr>
          <w:p w14:paraId="66FD4B4C" w14:textId="77777777" w:rsidR="00591E10" w:rsidRPr="00591E10" w:rsidRDefault="00591E10" w:rsidP="00591E10">
            <w:pPr>
              <w:jc w:val="right"/>
              <w:rPr>
                <w:rFonts w:asciiTheme="majorHAnsi" w:hAnsiTheme="majorHAnsi" w:cstheme="majorHAnsi"/>
                <w:b/>
                <w:bCs/>
                <w:sz w:val="16"/>
                <w:szCs w:val="16"/>
              </w:rPr>
            </w:pPr>
            <w:r w:rsidRPr="00591E10">
              <w:rPr>
                <w:rFonts w:asciiTheme="majorHAnsi" w:hAnsiTheme="majorHAnsi" w:cstheme="majorHAnsi"/>
                <w:b/>
                <w:bCs/>
                <w:sz w:val="16"/>
                <w:szCs w:val="16"/>
              </w:rPr>
              <w:t>01/01/2022</w:t>
            </w:r>
          </w:p>
        </w:tc>
        <w:tc>
          <w:tcPr>
            <w:tcW w:w="738" w:type="pct"/>
            <w:tcBorders>
              <w:top w:val="nil"/>
              <w:left w:val="nil"/>
              <w:bottom w:val="nil"/>
              <w:right w:val="nil"/>
            </w:tcBorders>
            <w:shd w:val="clear" w:color="auto" w:fill="auto"/>
            <w:vAlign w:val="bottom"/>
            <w:hideMark/>
          </w:tcPr>
          <w:p w14:paraId="1E3E97A6" w14:textId="77777777" w:rsidR="00591E10" w:rsidRPr="00591E10" w:rsidRDefault="00591E10" w:rsidP="00591E10">
            <w:pPr>
              <w:jc w:val="right"/>
              <w:rPr>
                <w:rFonts w:asciiTheme="majorHAnsi" w:hAnsiTheme="majorHAnsi" w:cstheme="majorHAnsi"/>
                <w:b/>
                <w:bCs/>
                <w:sz w:val="16"/>
                <w:szCs w:val="16"/>
              </w:rPr>
            </w:pPr>
            <w:r w:rsidRPr="00591E10">
              <w:rPr>
                <w:rFonts w:asciiTheme="majorHAnsi" w:hAnsiTheme="majorHAnsi" w:cstheme="majorHAnsi"/>
                <w:b/>
                <w:bCs/>
                <w:sz w:val="16"/>
                <w:szCs w:val="16"/>
              </w:rPr>
              <w:t>01/04/2021</w:t>
            </w:r>
          </w:p>
        </w:tc>
        <w:tc>
          <w:tcPr>
            <w:tcW w:w="738" w:type="pct"/>
            <w:tcBorders>
              <w:top w:val="nil"/>
              <w:left w:val="nil"/>
              <w:bottom w:val="nil"/>
              <w:right w:val="nil"/>
            </w:tcBorders>
            <w:shd w:val="clear" w:color="auto" w:fill="auto"/>
            <w:vAlign w:val="bottom"/>
            <w:hideMark/>
          </w:tcPr>
          <w:p w14:paraId="624C8A81" w14:textId="77777777" w:rsidR="00591E10" w:rsidRPr="00591E10" w:rsidRDefault="00591E10" w:rsidP="00591E10">
            <w:pPr>
              <w:jc w:val="right"/>
              <w:rPr>
                <w:rFonts w:asciiTheme="majorHAnsi" w:hAnsiTheme="majorHAnsi" w:cstheme="majorHAnsi"/>
                <w:b/>
                <w:bCs/>
                <w:sz w:val="16"/>
                <w:szCs w:val="16"/>
              </w:rPr>
            </w:pPr>
            <w:r w:rsidRPr="00591E10">
              <w:rPr>
                <w:rFonts w:asciiTheme="majorHAnsi" w:hAnsiTheme="majorHAnsi" w:cstheme="majorHAnsi"/>
                <w:b/>
                <w:bCs/>
                <w:sz w:val="16"/>
                <w:szCs w:val="16"/>
              </w:rPr>
              <w:t>01/01/2021</w:t>
            </w:r>
          </w:p>
        </w:tc>
        <w:tc>
          <w:tcPr>
            <w:tcW w:w="357" w:type="pct"/>
            <w:tcBorders>
              <w:top w:val="nil"/>
              <w:left w:val="nil"/>
              <w:bottom w:val="nil"/>
              <w:right w:val="nil"/>
            </w:tcBorders>
            <w:shd w:val="clear" w:color="auto" w:fill="auto"/>
            <w:noWrap/>
            <w:vAlign w:val="bottom"/>
            <w:hideMark/>
          </w:tcPr>
          <w:p w14:paraId="2D6A507B" w14:textId="77777777" w:rsidR="00591E10" w:rsidRPr="00591E10" w:rsidRDefault="00591E10" w:rsidP="00591E10">
            <w:pPr>
              <w:jc w:val="right"/>
              <w:rPr>
                <w:rFonts w:asciiTheme="majorHAnsi" w:hAnsiTheme="majorHAnsi" w:cstheme="majorHAnsi"/>
                <w:b/>
                <w:bCs/>
                <w:sz w:val="16"/>
                <w:szCs w:val="16"/>
              </w:rPr>
            </w:pPr>
          </w:p>
        </w:tc>
      </w:tr>
      <w:tr w:rsidR="00591E10" w:rsidRPr="00591E10" w14:paraId="4A1D8B9A" w14:textId="77777777" w:rsidTr="00591E10">
        <w:trPr>
          <w:trHeight w:hRule="exact" w:val="227"/>
        </w:trPr>
        <w:tc>
          <w:tcPr>
            <w:tcW w:w="1679" w:type="pct"/>
            <w:tcBorders>
              <w:top w:val="nil"/>
              <w:left w:val="nil"/>
              <w:bottom w:val="nil"/>
              <w:right w:val="nil"/>
            </w:tcBorders>
            <w:shd w:val="clear" w:color="auto" w:fill="auto"/>
            <w:noWrap/>
            <w:vAlign w:val="bottom"/>
            <w:hideMark/>
          </w:tcPr>
          <w:p w14:paraId="6B5B9087" w14:textId="77777777" w:rsidR="00591E10" w:rsidRPr="00591E10" w:rsidRDefault="00591E10">
            <w:pPr>
              <w:rPr>
                <w:rFonts w:asciiTheme="majorHAnsi" w:hAnsiTheme="majorHAnsi" w:cstheme="majorHAnsi"/>
                <w:sz w:val="16"/>
                <w:szCs w:val="16"/>
              </w:rPr>
            </w:pPr>
          </w:p>
        </w:tc>
        <w:tc>
          <w:tcPr>
            <w:tcW w:w="738" w:type="pct"/>
            <w:tcBorders>
              <w:top w:val="nil"/>
              <w:left w:val="nil"/>
              <w:bottom w:val="nil"/>
              <w:right w:val="nil"/>
            </w:tcBorders>
            <w:shd w:val="clear" w:color="auto" w:fill="auto"/>
            <w:vAlign w:val="bottom"/>
            <w:hideMark/>
          </w:tcPr>
          <w:p w14:paraId="32C47E82" w14:textId="77777777" w:rsidR="00591E10" w:rsidRPr="00591E10" w:rsidRDefault="00591E10" w:rsidP="00591E10">
            <w:pPr>
              <w:jc w:val="right"/>
              <w:rPr>
                <w:rFonts w:asciiTheme="majorHAnsi" w:hAnsiTheme="majorHAnsi" w:cstheme="majorHAnsi"/>
                <w:b/>
                <w:bCs/>
                <w:sz w:val="16"/>
                <w:szCs w:val="16"/>
              </w:rPr>
            </w:pPr>
            <w:r w:rsidRPr="00591E10">
              <w:rPr>
                <w:rFonts w:asciiTheme="majorHAnsi" w:hAnsiTheme="majorHAnsi" w:cstheme="majorHAnsi"/>
                <w:b/>
                <w:bCs/>
                <w:sz w:val="16"/>
                <w:szCs w:val="16"/>
              </w:rPr>
              <w:t>a 30/06/2022</w:t>
            </w:r>
          </w:p>
        </w:tc>
        <w:tc>
          <w:tcPr>
            <w:tcW w:w="740" w:type="pct"/>
            <w:tcBorders>
              <w:top w:val="nil"/>
              <w:left w:val="nil"/>
              <w:bottom w:val="nil"/>
              <w:right w:val="nil"/>
            </w:tcBorders>
            <w:shd w:val="clear" w:color="auto" w:fill="auto"/>
            <w:vAlign w:val="bottom"/>
            <w:hideMark/>
          </w:tcPr>
          <w:p w14:paraId="3736179F" w14:textId="77777777" w:rsidR="00591E10" w:rsidRPr="00591E10" w:rsidRDefault="00591E10" w:rsidP="00591E10">
            <w:pPr>
              <w:jc w:val="right"/>
              <w:rPr>
                <w:rFonts w:asciiTheme="majorHAnsi" w:hAnsiTheme="majorHAnsi" w:cstheme="majorHAnsi"/>
                <w:b/>
                <w:bCs/>
                <w:sz w:val="16"/>
                <w:szCs w:val="16"/>
              </w:rPr>
            </w:pPr>
            <w:r w:rsidRPr="00591E10">
              <w:rPr>
                <w:rFonts w:asciiTheme="majorHAnsi" w:hAnsiTheme="majorHAnsi" w:cstheme="majorHAnsi"/>
                <w:b/>
                <w:bCs/>
                <w:sz w:val="16"/>
                <w:szCs w:val="16"/>
              </w:rPr>
              <w:t>a 30/06/2022</w:t>
            </w:r>
          </w:p>
        </w:tc>
        <w:tc>
          <w:tcPr>
            <w:tcW w:w="738" w:type="pct"/>
            <w:tcBorders>
              <w:top w:val="nil"/>
              <w:left w:val="nil"/>
              <w:bottom w:val="nil"/>
              <w:right w:val="nil"/>
            </w:tcBorders>
            <w:shd w:val="clear" w:color="auto" w:fill="auto"/>
            <w:vAlign w:val="bottom"/>
            <w:hideMark/>
          </w:tcPr>
          <w:p w14:paraId="3134F2CC" w14:textId="77777777" w:rsidR="00591E10" w:rsidRPr="00591E10" w:rsidRDefault="00591E10" w:rsidP="00591E10">
            <w:pPr>
              <w:jc w:val="right"/>
              <w:rPr>
                <w:rFonts w:asciiTheme="majorHAnsi" w:hAnsiTheme="majorHAnsi" w:cstheme="majorHAnsi"/>
                <w:b/>
                <w:bCs/>
                <w:sz w:val="16"/>
                <w:szCs w:val="16"/>
              </w:rPr>
            </w:pPr>
            <w:r w:rsidRPr="00591E10">
              <w:rPr>
                <w:rFonts w:asciiTheme="majorHAnsi" w:hAnsiTheme="majorHAnsi" w:cstheme="majorHAnsi"/>
                <w:b/>
                <w:bCs/>
                <w:sz w:val="16"/>
                <w:szCs w:val="16"/>
              </w:rPr>
              <w:t>a 30/06/2021</w:t>
            </w:r>
          </w:p>
        </w:tc>
        <w:tc>
          <w:tcPr>
            <w:tcW w:w="738" w:type="pct"/>
            <w:tcBorders>
              <w:top w:val="nil"/>
              <w:left w:val="nil"/>
              <w:bottom w:val="nil"/>
              <w:right w:val="nil"/>
            </w:tcBorders>
            <w:shd w:val="clear" w:color="auto" w:fill="auto"/>
            <w:vAlign w:val="bottom"/>
            <w:hideMark/>
          </w:tcPr>
          <w:p w14:paraId="57535340" w14:textId="77777777" w:rsidR="00591E10" w:rsidRPr="00591E10" w:rsidRDefault="00591E10" w:rsidP="00591E10">
            <w:pPr>
              <w:jc w:val="right"/>
              <w:rPr>
                <w:rFonts w:asciiTheme="majorHAnsi" w:hAnsiTheme="majorHAnsi" w:cstheme="majorHAnsi"/>
                <w:b/>
                <w:bCs/>
                <w:sz w:val="16"/>
                <w:szCs w:val="16"/>
              </w:rPr>
            </w:pPr>
            <w:r w:rsidRPr="00591E10">
              <w:rPr>
                <w:rFonts w:asciiTheme="majorHAnsi" w:hAnsiTheme="majorHAnsi" w:cstheme="majorHAnsi"/>
                <w:b/>
                <w:bCs/>
                <w:sz w:val="16"/>
                <w:szCs w:val="16"/>
              </w:rPr>
              <w:t>a 30/06/2021</w:t>
            </w:r>
          </w:p>
        </w:tc>
        <w:tc>
          <w:tcPr>
            <w:tcW w:w="368" w:type="pct"/>
            <w:gridSpan w:val="2"/>
            <w:tcBorders>
              <w:top w:val="nil"/>
              <w:left w:val="nil"/>
              <w:bottom w:val="nil"/>
              <w:right w:val="nil"/>
            </w:tcBorders>
            <w:shd w:val="clear" w:color="auto" w:fill="auto"/>
            <w:noWrap/>
            <w:vAlign w:val="bottom"/>
            <w:hideMark/>
          </w:tcPr>
          <w:p w14:paraId="32ADA19B" w14:textId="77777777" w:rsidR="00591E10" w:rsidRPr="00591E10" w:rsidRDefault="00591E10" w:rsidP="00C20033">
            <w:pPr>
              <w:jc w:val="center"/>
              <w:rPr>
                <w:rFonts w:asciiTheme="majorHAnsi" w:hAnsiTheme="majorHAnsi" w:cstheme="majorHAnsi"/>
                <w:b/>
                <w:bCs/>
                <w:sz w:val="16"/>
                <w:szCs w:val="16"/>
              </w:rPr>
            </w:pPr>
            <w:r w:rsidRPr="00591E10">
              <w:rPr>
                <w:rFonts w:asciiTheme="majorHAnsi" w:hAnsiTheme="majorHAnsi" w:cstheme="majorHAnsi"/>
                <w:b/>
                <w:bCs/>
                <w:sz w:val="16"/>
                <w:szCs w:val="16"/>
              </w:rPr>
              <w:t>Nota</w:t>
            </w:r>
          </w:p>
        </w:tc>
      </w:tr>
      <w:tr w:rsidR="00591E10" w:rsidRPr="00591E10" w14:paraId="049FD338" w14:textId="77777777" w:rsidTr="00591E10">
        <w:trPr>
          <w:trHeight w:hRule="exact" w:val="227"/>
        </w:trPr>
        <w:tc>
          <w:tcPr>
            <w:tcW w:w="1679" w:type="pct"/>
            <w:tcBorders>
              <w:top w:val="nil"/>
              <w:left w:val="nil"/>
              <w:bottom w:val="nil"/>
              <w:right w:val="nil"/>
            </w:tcBorders>
            <w:shd w:val="clear" w:color="auto" w:fill="auto"/>
            <w:noWrap/>
            <w:vAlign w:val="bottom"/>
            <w:hideMark/>
          </w:tcPr>
          <w:p w14:paraId="6A817A0B" w14:textId="77777777" w:rsidR="00591E10" w:rsidRPr="00591E10" w:rsidRDefault="00591E10">
            <w:pPr>
              <w:jc w:val="right"/>
              <w:rPr>
                <w:rFonts w:asciiTheme="majorHAnsi" w:hAnsiTheme="majorHAnsi" w:cstheme="majorHAnsi"/>
                <w:b/>
                <w:bCs/>
                <w:sz w:val="16"/>
                <w:szCs w:val="16"/>
              </w:rPr>
            </w:pPr>
          </w:p>
        </w:tc>
        <w:tc>
          <w:tcPr>
            <w:tcW w:w="738" w:type="pct"/>
            <w:tcBorders>
              <w:top w:val="nil"/>
              <w:left w:val="nil"/>
              <w:bottom w:val="nil"/>
              <w:right w:val="nil"/>
            </w:tcBorders>
            <w:shd w:val="clear" w:color="auto" w:fill="auto"/>
            <w:noWrap/>
            <w:vAlign w:val="bottom"/>
            <w:hideMark/>
          </w:tcPr>
          <w:p w14:paraId="0433F5CE" w14:textId="77777777" w:rsidR="00591E10" w:rsidRPr="00591E10" w:rsidRDefault="00591E10" w:rsidP="00591E10">
            <w:pPr>
              <w:jc w:val="right"/>
              <w:rPr>
                <w:rFonts w:asciiTheme="majorHAnsi" w:hAnsiTheme="majorHAnsi" w:cstheme="majorHAnsi"/>
                <w:sz w:val="16"/>
                <w:szCs w:val="16"/>
              </w:rPr>
            </w:pPr>
          </w:p>
        </w:tc>
        <w:tc>
          <w:tcPr>
            <w:tcW w:w="740" w:type="pct"/>
            <w:tcBorders>
              <w:top w:val="nil"/>
              <w:left w:val="nil"/>
              <w:bottom w:val="nil"/>
              <w:right w:val="nil"/>
            </w:tcBorders>
            <w:shd w:val="clear" w:color="auto" w:fill="auto"/>
            <w:noWrap/>
            <w:vAlign w:val="bottom"/>
            <w:hideMark/>
          </w:tcPr>
          <w:p w14:paraId="58699256" w14:textId="77777777" w:rsidR="00591E10" w:rsidRPr="00591E10" w:rsidRDefault="00591E10" w:rsidP="00591E10">
            <w:pPr>
              <w:jc w:val="right"/>
              <w:rPr>
                <w:rFonts w:asciiTheme="majorHAnsi" w:hAnsiTheme="majorHAnsi" w:cstheme="majorHAnsi"/>
                <w:sz w:val="16"/>
                <w:szCs w:val="16"/>
              </w:rPr>
            </w:pPr>
          </w:p>
        </w:tc>
        <w:tc>
          <w:tcPr>
            <w:tcW w:w="738" w:type="pct"/>
            <w:tcBorders>
              <w:top w:val="nil"/>
              <w:left w:val="nil"/>
              <w:bottom w:val="nil"/>
              <w:right w:val="nil"/>
            </w:tcBorders>
            <w:shd w:val="clear" w:color="auto" w:fill="auto"/>
            <w:noWrap/>
            <w:vAlign w:val="bottom"/>
            <w:hideMark/>
          </w:tcPr>
          <w:p w14:paraId="651FD76A" w14:textId="77777777" w:rsidR="00591E10" w:rsidRPr="00591E10" w:rsidRDefault="00591E10" w:rsidP="00591E10">
            <w:pPr>
              <w:jc w:val="right"/>
              <w:rPr>
                <w:rFonts w:asciiTheme="majorHAnsi" w:hAnsiTheme="majorHAnsi" w:cstheme="majorHAnsi"/>
                <w:sz w:val="16"/>
                <w:szCs w:val="16"/>
              </w:rPr>
            </w:pPr>
          </w:p>
        </w:tc>
        <w:tc>
          <w:tcPr>
            <w:tcW w:w="738" w:type="pct"/>
            <w:tcBorders>
              <w:top w:val="nil"/>
              <w:left w:val="nil"/>
              <w:bottom w:val="nil"/>
              <w:right w:val="nil"/>
            </w:tcBorders>
            <w:shd w:val="clear" w:color="auto" w:fill="auto"/>
            <w:noWrap/>
            <w:vAlign w:val="bottom"/>
            <w:hideMark/>
          </w:tcPr>
          <w:p w14:paraId="1197E61C" w14:textId="77777777" w:rsidR="00591E10" w:rsidRPr="00591E10" w:rsidRDefault="00591E10" w:rsidP="00591E10">
            <w:pPr>
              <w:jc w:val="right"/>
              <w:rPr>
                <w:rFonts w:asciiTheme="majorHAnsi" w:hAnsiTheme="majorHAnsi" w:cstheme="majorHAnsi"/>
                <w:sz w:val="16"/>
                <w:szCs w:val="16"/>
              </w:rPr>
            </w:pPr>
          </w:p>
        </w:tc>
        <w:tc>
          <w:tcPr>
            <w:tcW w:w="368" w:type="pct"/>
            <w:gridSpan w:val="2"/>
            <w:tcBorders>
              <w:top w:val="nil"/>
              <w:left w:val="nil"/>
              <w:bottom w:val="nil"/>
              <w:right w:val="nil"/>
            </w:tcBorders>
            <w:shd w:val="clear" w:color="auto" w:fill="auto"/>
            <w:noWrap/>
            <w:vAlign w:val="bottom"/>
            <w:hideMark/>
          </w:tcPr>
          <w:p w14:paraId="0B638988" w14:textId="77777777" w:rsidR="00591E10" w:rsidRPr="00591E10" w:rsidRDefault="00591E10" w:rsidP="00C20033">
            <w:pPr>
              <w:jc w:val="center"/>
              <w:rPr>
                <w:rFonts w:asciiTheme="majorHAnsi" w:hAnsiTheme="majorHAnsi" w:cstheme="majorHAnsi"/>
                <w:sz w:val="16"/>
                <w:szCs w:val="16"/>
              </w:rPr>
            </w:pPr>
          </w:p>
        </w:tc>
      </w:tr>
      <w:tr w:rsidR="00591E10" w:rsidRPr="00591E10" w14:paraId="0E5ADB0B" w14:textId="77777777" w:rsidTr="00591E10">
        <w:trPr>
          <w:trHeight w:hRule="exact" w:val="227"/>
        </w:trPr>
        <w:tc>
          <w:tcPr>
            <w:tcW w:w="1679" w:type="pct"/>
            <w:tcBorders>
              <w:top w:val="nil"/>
              <w:left w:val="nil"/>
              <w:bottom w:val="nil"/>
              <w:right w:val="nil"/>
            </w:tcBorders>
            <w:shd w:val="clear" w:color="auto" w:fill="auto"/>
            <w:noWrap/>
            <w:vAlign w:val="bottom"/>
            <w:hideMark/>
          </w:tcPr>
          <w:p w14:paraId="0276B04A" w14:textId="77777777" w:rsidR="00591E10" w:rsidRPr="00591E10" w:rsidRDefault="00591E10">
            <w:pPr>
              <w:outlineLvl w:val="0"/>
              <w:rPr>
                <w:rFonts w:asciiTheme="majorHAnsi" w:hAnsiTheme="majorHAnsi" w:cstheme="majorHAnsi"/>
                <w:b/>
                <w:bCs/>
                <w:sz w:val="16"/>
                <w:szCs w:val="16"/>
              </w:rPr>
            </w:pPr>
            <w:r w:rsidRPr="00591E10">
              <w:rPr>
                <w:rFonts w:asciiTheme="majorHAnsi" w:hAnsiTheme="majorHAnsi" w:cstheme="majorHAnsi"/>
                <w:b/>
                <w:bCs/>
                <w:sz w:val="16"/>
                <w:szCs w:val="16"/>
              </w:rPr>
              <w:t>RECEITAS</w:t>
            </w:r>
          </w:p>
        </w:tc>
        <w:tc>
          <w:tcPr>
            <w:tcW w:w="738" w:type="pct"/>
            <w:tcBorders>
              <w:top w:val="nil"/>
              <w:left w:val="nil"/>
              <w:bottom w:val="nil"/>
              <w:right w:val="nil"/>
            </w:tcBorders>
            <w:shd w:val="clear" w:color="auto" w:fill="auto"/>
            <w:noWrap/>
            <w:vAlign w:val="bottom"/>
            <w:hideMark/>
          </w:tcPr>
          <w:p w14:paraId="1E55A90D" w14:textId="77777777" w:rsidR="00591E10" w:rsidRPr="00591E10" w:rsidRDefault="00591E10" w:rsidP="00591E10">
            <w:pPr>
              <w:jc w:val="right"/>
              <w:outlineLvl w:val="0"/>
              <w:rPr>
                <w:rFonts w:asciiTheme="majorHAnsi" w:hAnsiTheme="majorHAnsi" w:cstheme="majorHAnsi"/>
                <w:b/>
                <w:bCs/>
                <w:sz w:val="16"/>
                <w:szCs w:val="16"/>
              </w:rPr>
            </w:pPr>
          </w:p>
        </w:tc>
        <w:tc>
          <w:tcPr>
            <w:tcW w:w="740" w:type="pct"/>
            <w:tcBorders>
              <w:top w:val="nil"/>
              <w:left w:val="nil"/>
              <w:bottom w:val="nil"/>
              <w:right w:val="nil"/>
            </w:tcBorders>
            <w:shd w:val="clear" w:color="auto" w:fill="auto"/>
            <w:noWrap/>
            <w:vAlign w:val="bottom"/>
            <w:hideMark/>
          </w:tcPr>
          <w:p w14:paraId="57432AF8" w14:textId="77777777" w:rsidR="00591E10" w:rsidRPr="00591E10" w:rsidRDefault="00591E10" w:rsidP="00591E10">
            <w:pPr>
              <w:jc w:val="right"/>
              <w:outlineLvl w:val="0"/>
              <w:rPr>
                <w:rFonts w:asciiTheme="majorHAnsi" w:hAnsiTheme="majorHAnsi" w:cstheme="majorHAnsi"/>
                <w:sz w:val="16"/>
                <w:szCs w:val="16"/>
              </w:rPr>
            </w:pPr>
          </w:p>
        </w:tc>
        <w:tc>
          <w:tcPr>
            <w:tcW w:w="738" w:type="pct"/>
            <w:tcBorders>
              <w:top w:val="nil"/>
              <w:left w:val="nil"/>
              <w:bottom w:val="nil"/>
              <w:right w:val="nil"/>
            </w:tcBorders>
            <w:shd w:val="clear" w:color="auto" w:fill="auto"/>
            <w:noWrap/>
            <w:vAlign w:val="bottom"/>
            <w:hideMark/>
          </w:tcPr>
          <w:p w14:paraId="46D4555E" w14:textId="77777777" w:rsidR="00591E10" w:rsidRPr="00591E10" w:rsidRDefault="00591E10" w:rsidP="00591E10">
            <w:pPr>
              <w:jc w:val="right"/>
              <w:outlineLvl w:val="0"/>
              <w:rPr>
                <w:rFonts w:asciiTheme="majorHAnsi" w:hAnsiTheme="majorHAnsi" w:cstheme="majorHAnsi"/>
                <w:sz w:val="16"/>
                <w:szCs w:val="16"/>
              </w:rPr>
            </w:pPr>
          </w:p>
        </w:tc>
        <w:tc>
          <w:tcPr>
            <w:tcW w:w="738" w:type="pct"/>
            <w:tcBorders>
              <w:top w:val="nil"/>
              <w:left w:val="nil"/>
              <w:bottom w:val="nil"/>
              <w:right w:val="nil"/>
            </w:tcBorders>
            <w:shd w:val="clear" w:color="auto" w:fill="auto"/>
            <w:noWrap/>
            <w:vAlign w:val="bottom"/>
            <w:hideMark/>
          </w:tcPr>
          <w:p w14:paraId="5ADBD8DB" w14:textId="77777777" w:rsidR="00591E10" w:rsidRPr="00591E10" w:rsidRDefault="00591E10" w:rsidP="00591E10">
            <w:pPr>
              <w:jc w:val="right"/>
              <w:outlineLvl w:val="0"/>
              <w:rPr>
                <w:rFonts w:asciiTheme="majorHAnsi" w:hAnsiTheme="majorHAnsi" w:cstheme="majorHAnsi"/>
                <w:sz w:val="16"/>
                <w:szCs w:val="16"/>
              </w:rPr>
            </w:pPr>
          </w:p>
        </w:tc>
        <w:tc>
          <w:tcPr>
            <w:tcW w:w="368" w:type="pct"/>
            <w:gridSpan w:val="2"/>
            <w:tcBorders>
              <w:top w:val="nil"/>
              <w:left w:val="nil"/>
              <w:bottom w:val="nil"/>
              <w:right w:val="nil"/>
            </w:tcBorders>
            <w:shd w:val="clear" w:color="auto" w:fill="auto"/>
            <w:noWrap/>
            <w:vAlign w:val="bottom"/>
            <w:hideMark/>
          </w:tcPr>
          <w:p w14:paraId="3F1B1E01" w14:textId="77777777" w:rsidR="00591E10" w:rsidRPr="00591E10" w:rsidRDefault="00591E10" w:rsidP="00C20033">
            <w:pPr>
              <w:jc w:val="center"/>
              <w:outlineLvl w:val="0"/>
              <w:rPr>
                <w:rFonts w:asciiTheme="majorHAnsi" w:hAnsiTheme="majorHAnsi" w:cstheme="majorHAnsi"/>
                <w:sz w:val="16"/>
                <w:szCs w:val="16"/>
              </w:rPr>
            </w:pPr>
          </w:p>
        </w:tc>
      </w:tr>
      <w:tr w:rsidR="00591E10" w:rsidRPr="00591E10" w14:paraId="524F7621" w14:textId="77777777" w:rsidTr="00591E10">
        <w:trPr>
          <w:trHeight w:hRule="exact" w:val="227"/>
        </w:trPr>
        <w:tc>
          <w:tcPr>
            <w:tcW w:w="1679" w:type="pct"/>
            <w:tcBorders>
              <w:top w:val="nil"/>
              <w:left w:val="nil"/>
              <w:bottom w:val="nil"/>
              <w:right w:val="nil"/>
            </w:tcBorders>
            <w:shd w:val="clear" w:color="auto" w:fill="auto"/>
            <w:noWrap/>
            <w:vAlign w:val="bottom"/>
            <w:hideMark/>
          </w:tcPr>
          <w:p w14:paraId="4E91DDD5" w14:textId="77777777" w:rsidR="00591E10" w:rsidRPr="00591E10" w:rsidRDefault="00591E10">
            <w:pPr>
              <w:outlineLvl w:val="0"/>
              <w:rPr>
                <w:rFonts w:asciiTheme="majorHAnsi" w:hAnsiTheme="majorHAnsi" w:cstheme="majorHAnsi"/>
                <w:sz w:val="16"/>
                <w:szCs w:val="16"/>
              </w:rPr>
            </w:pPr>
            <w:r w:rsidRPr="00591E10">
              <w:rPr>
                <w:rFonts w:asciiTheme="majorHAnsi" w:hAnsiTheme="majorHAnsi" w:cstheme="majorHAnsi"/>
                <w:sz w:val="16"/>
                <w:szCs w:val="16"/>
              </w:rPr>
              <w:t xml:space="preserve">        Receita de Exploração da Ferrovia</w:t>
            </w:r>
          </w:p>
        </w:tc>
        <w:tc>
          <w:tcPr>
            <w:tcW w:w="738" w:type="pct"/>
            <w:tcBorders>
              <w:top w:val="nil"/>
              <w:left w:val="nil"/>
              <w:bottom w:val="nil"/>
              <w:right w:val="nil"/>
            </w:tcBorders>
            <w:shd w:val="clear" w:color="auto" w:fill="auto"/>
            <w:noWrap/>
            <w:vAlign w:val="bottom"/>
            <w:hideMark/>
          </w:tcPr>
          <w:p w14:paraId="4CF80DFE" w14:textId="77777777" w:rsidR="00591E10" w:rsidRPr="00591E10" w:rsidRDefault="00591E10" w:rsidP="00591E10">
            <w:pPr>
              <w:jc w:val="right"/>
              <w:outlineLvl w:val="0"/>
              <w:rPr>
                <w:rFonts w:asciiTheme="majorHAnsi" w:hAnsiTheme="majorHAnsi" w:cstheme="majorHAnsi"/>
                <w:sz w:val="16"/>
                <w:szCs w:val="16"/>
              </w:rPr>
            </w:pPr>
            <w:r w:rsidRPr="00591E10">
              <w:rPr>
                <w:rFonts w:asciiTheme="majorHAnsi" w:hAnsiTheme="majorHAnsi" w:cstheme="majorHAnsi"/>
                <w:sz w:val="16"/>
                <w:szCs w:val="16"/>
              </w:rPr>
              <w:t xml:space="preserve">                        2.636 </w:t>
            </w:r>
          </w:p>
        </w:tc>
        <w:tc>
          <w:tcPr>
            <w:tcW w:w="740" w:type="pct"/>
            <w:tcBorders>
              <w:top w:val="nil"/>
              <w:left w:val="nil"/>
              <w:bottom w:val="nil"/>
              <w:right w:val="nil"/>
            </w:tcBorders>
            <w:shd w:val="clear" w:color="auto" w:fill="auto"/>
            <w:noWrap/>
            <w:vAlign w:val="bottom"/>
            <w:hideMark/>
          </w:tcPr>
          <w:p w14:paraId="633DAC67" w14:textId="77777777" w:rsidR="00591E10" w:rsidRPr="00591E10" w:rsidRDefault="00591E10" w:rsidP="00591E10">
            <w:pPr>
              <w:jc w:val="right"/>
              <w:outlineLvl w:val="0"/>
              <w:rPr>
                <w:rFonts w:asciiTheme="majorHAnsi" w:hAnsiTheme="majorHAnsi" w:cstheme="majorHAnsi"/>
                <w:sz w:val="16"/>
                <w:szCs w:val="16"/>
              </w:rPr>
            </w:pPr>
            <w:r w:rsidRPr="00591E10">
              <w:rPr>
                <w:rFonts w:asciiTheme="majorHAnsi" w:hAnsiTheme="majorHAnsi" w:cstheme="majorHAnsi"/>
                <w:sz w:val="16"/>
                <w:szCs w:val="16"/>
              </w:rPr>
              <w:t xml:space="preserve">                      16.538 </w:t>
            </w:r>
          </w:p>
        </w:tc>
        <w:tc>
          <w:tcPr>
            <w:tcW w:w="738" w:type="pct"/>
            <w:tcBorders>
              <w:top w:val="nil"/>
              <w:left w:val="nil"/>
              <w:bottom w:val="nil"/>
              <w:right w:val="nil"/>
            </w:tcBorders>
            <w:shd w:val="clear" w:color="auto" w:fill="auto"/>
            <w:noWrap/>
            <w:vAlign w:val="bottom"/>
            <w:hideMark/>
          </w:tcPr>
          <w:p w14:paraId="500BD12C" w14:textId="77777777" w:rsidR="00591E10" w:rsidRPr="00591E10" w:rsidRDefault="00591E10" w:rsidP="00591E10">
            <w:pPr>
              <w:jc w:val="right"/>
              <w:outlineLvl w:val="0"/>
              <w:rPr>
                <w:rFonts w:asciiTheme="majorHAnsi" w:hAnsiTheme="majorHAnsi" w:cstheme="majorHAnsi"/>
                <w:sz w:val="16"/>
                <w:szCs w:val="16"/>
              </w:rPr>
            </w:pPr>
            <w:r w:rsidRPr="00591E10">
              <w:rPr>
                <w:rFonts w:asciiTheme="majorHAnsi" w:hAnsiTheme="majorHAnsi" w:cstheme="majorHAnsi"/>
                <w:sz w:val="16"/>
                <w:szCs w:val="16"/>
              </w:rPr>
              <w:t xml:space="preserve">                    105.062 </w:t>
            </w:r>
          </w:p>
        </w:tc>
        <w:tc>
          <w:tcPr>
            <w:tcW w:w="738" w:type="pct"/>
            <w:tcBorders>
              <w:top w:val="nil"/>
              <w:left w:val="nil"/>
              <w:bottom w:val="nil"/>
              <w:right w:val="nil"/>
            </w:tcBorders>
            <w:shd w:val="clear" w:color="auto" w:fill="auto"/>
            <w:noWrap/>
            <w:vAlign w:val="bottom"/>
            <w:hideMark/>
          </w:tcPr>
          <w:p w14:paraId="70645215" w14:textId="77777777" w:rsidR="00591E10" w:rsidRPr="00591E10" w:rsidRDefault="00591E10" w:rsidP="00591E10">
            <w:pPr>
              <w:jc w:val="right"/>
              <w:outlineLvl w:val="0"/>
              <w:rPr>
                <w:rFonts w:asciiTheme="majorHAnsi" w:hAnsiTheme="majorHAnsi" w:cstheme="majorHAnsi"/>
                <w:sz w:val="16"/>
                <w:szCs w:val="16"/>
              </w:rPr>
            </w:pPr>
            <w:r w:rsidRPr="00591E10">
              <w:rPr>
                <w:rFonts w:asciiTheme="majorHAnsi" w:hAnsiTheme="majorHAnsi" w:cstheme="majorHAnsi"/>
                <w:sz w:val="16"/>
                <w:szCs w:val="16"/>
              </w:rPr>
              <w:t xml:space="preserve">                      110.877 </w:t>
            </w:r>
          </w:p>
        </w:tc>
        <w:tc>
          <w:tcPr>
            <w:tcW w:w="368" w:type="pct"/>
            <w:gridSpan w:val="2"/>
            <w:tcBorders>
              <w:top w:val="nil"/>
              <w:left w:val="nil"/>
              <w:bottom w:val="nil"/>
              <w:right w:val="nil"/>
            </w:tcBorders>
            <w:shd w:val="clear" w:color="auto" w:fill="auto"/>
            <w:noWrap/>
            <w:vAlign w:val="bottom"/>
            <w:hideMark/>
          </w:tcPr>
          <w:p w14:paraId="53ADEC4F" w14:textId="77777777" w:rsidR="00591E10" w:rsidRPr="00591E10" w:rsidRDefault="00591E10" w:rsidP="00C20033">
            <w:pPr>
              <w:jc w:val="center"/>
              <w:outlineLvl w:val="0"/>
              <w:rPr>
                <w:rFonts w:asciiTheme="majorHAnsi" w:hAnsiTheme="majorHAnsi" w:cstheme="majorHAnsi"/>
                <w:sz w:val="16"/>
                <w:szCs w:val="16"/>
              </w:rPr>
            </w:pPr>
          </w:p>
        </w:tc>
      </w:tr>
      <w:tr w:rsidR="00591E10" w:rsidRPr="00591E10" w14:paraId="03C920E3" w14:textId="77777777" w:rsidTr="00591E10">
        <w:trPr>
          <w:trHeight w:hRule="exact" w:val="227"/>
        </w:trPr>
        <w:tc>
          <w:tcPr>
            <w:tcW w:w="1679" w:type="pct"/>
            <w:tcBorders>
              <w:top w:val="nil"/>
              <w:left w:val="nil"/>
              <w:bottom w:val="nil"/>
              <w:right w:val="nil"/>
            </w:tcBorders>
            <w:shd w:val="clear" w:color="auto" w:fill="auto"/>
            <w:noWrap/>
            <w:vAlign w:val="bottom"/>
            <w:hideMark/>
          </w:tcPr>
          <w:p w14:paraId="4D73AB40" w14:textId="77777777" w:rsidR="00591E10" w:rsidRPr="00591E10" w:rsidRDefault="00591E10">
            <w:pPr>
              <w:outlineLvl w:val="0"/>
              <w:rPr>
                <w:rFonts w:asciiTheme="majorHAnsi" w:hAnsiTheme="majorHAnsi" w:cstheme="majorHAnsi"/>
                <w:sz w:val="16"/>
                <w:szCs w:val="16"/>
              </w:rPr>
            </w:pPr>
            <w:r w:rsidRPr="00591E10">
              <w:rPr>
                <w:rFonts w:asciiTheme="majorHAnsi" w:hAnsiTheme="majorHAnsi" w:cstheme="majorHAnsi"/>
                <w:sz w:val="16"/>
                <w:szCs w:val="16"/>
              </w:rPr>
              <w:t xml:space="preserve">        Receita com Subconcessão FIOL</w:t>
            </w:r>
          </w:p>
        </w:tc>
        <w:tc>
          <w:tcPr>
            <w:tcW w:w="738" w:type="pct"/>
            <w:tcBorders>
              <w:top w:val="nil"/>
              <w:left w:val="nil"/>
              <w:bottom w:val="nil"/>
              <w:right w:val="nil"/>
            </w:tcBorders>
            <w:shd w:val="clear" w:color="auto" w:fill="auto"/>
            <w:noWrap/>
            <w:vAlign w:val="bottom"/>
            <w:hideMark/>
          </w:tcPr>
          <w:p w14:paraId="697D993A" w14:textId="77777777" w:rsidR="00591E10" w:rsidRPr="00591E10" w:rsidRDefault="00591E10" w:rsidP="00591E10">
            <w:pPr>
              <w:jc w:val="right"/>
              <w:outlineLvl w:val="0"/>
              <w:rPr>
                <w:rFonts w:asciiTheme="majorHAnsi" w:hAnsiTheme="majorHAnsi" w:cstheme="majorHAnsi"/>
                <w:sz w:val="16"/>
                <w:szCs w:val="16"/>
              </w:rPr>
            </w:pPr>
            <w:r w:rsidRPr="00591E10">
              <w:rPr>
                <w:rFonts w:asciiTheme="majorHAnsi" w:hAnsiTheme="majorHAnsi" w:cstheme="majorHAnsi"/>
                <w:sz w:val="16"/>
                <w:szCs w:val="16"/>
              </w:rPr>
              <w:t xml:space="preserve">                    545.500 </w:t>
            </w:r>
          </w:p>
        </w:tc>
        <w:tc>
          <w:tcPr>
            <w:tcW w:w="740" w:type="pct"/>
            <w:tcBorders>
              <w:top w:val="nil"/>
              <w:left w:val="nil"/>
              <w:bottom w:val="nil"/>
              <w:right w:val="nil"/>
            </w:tcBorders>
            <w:shd w:val="clear" w:color="auto" w:fill="auto"/>
            <w:noWrap/>
            <w:vAlign w:val="bottom"/>
            <w:hideMark/>
          </w:tcPr>
          <w:p w14:paraId="126C4441" w14:textId="77777777" w:rsidR="00591E10" w:rsidRPr="00591E10" w:rsidRDefault="00591E10" w:rsidP="00591E10">
            <w:pPr>
              <w:jc w:val="right"/>
              <w:outlineLvl w:val="0"/>
              <w:rPr>
                <w:rFonts w:asciiTheme="majorHAnsi" w:hAnsiTheme="majorHAnsi" w:cstheme="majorHAnsi"/>
                <w:sz w:val="16"/>
                <w:szCs w:val="16"/>
              </w:rPr>
            </w:pPr>
            <w:r w:rsidRPr="00591E10">
              <w:rPr>
                <w:rFonts w:asciiTheme="majorHAnsi" w:hAnsiTheme="majorHAnsi" w:cstheme="majorHAnsi"/>
                <w:sz w:val="16"/>
                <w:szCs w:val="16"/>
              </w:rPr>
              <w:t xml:space="preserve">                1.091.000 </w:t>
            </w:r>
          </w:p>
        </w:tc>
        <w:tc>
          <w:tcPr>
            <w:tcW w:w="738" w:type="pct"/>
            <w:tcBorders>
              <w:top w:val="nil"/>
              <w:left w:val="nil"/>
              <w:bottom w:val="nil"/>
              <w:right w:val="nil"/>
            </w:tcBorders>
            <w:shd w:val="clear" w:color="auto" w:fill="auto"/>
            <w:noWrap/>
            <w:vAlign w:val="bottom"/>
            <w:hideMark/>
          </w:tcPr>
          <w:p w14:paraId="5E832097" w14:textId="77777777" w:rsidR="00591E10" w:rsidRPr="00591E10" w:rsidRDefault="00591E10" w:rsidP="00591E10">
            <w:pPr>
              <w:jc w:val="right"/>
              <w:outlineLvl w:val="0"/>
              <w:rPr>
                <w:rFonts w:asciiTheme="majorHAnsi" w:hAnsiTheme="majorHAnsi" w:cstheme="majorHAnsi"/>
                <w:sz w:val="16"/>
                <w:szCs w:val="16"/>
              </w:rPr>
            </w:pPr>
            <w:r w:rsidRPr="00591E10">
              <w:rPr>
                <w:rFonts w:asciiTheme="majorHAnsi" w:hAnsiTheme="majorHAnsi" w:cstheme="majorHAnsi"/>
                <w:sz w:val="16"/>
                <w:szCs w:val="16"/>
              </w:rPr>
              <w:t xml:space="preserve">                               -   </w:t>
            </w:r>
          </w:p>
        </w:tc>
        <w:tc>
          <w:tcPr>
            <w:tcW w:w="738" w:type="pct"/>
            <w:tcBorders>
              <w:top w:val="nil"/>
              <w:left w:val="nil"/>
              <w:bottom w:val="nil"/>
              <w:right w:val="nil"/>
            </w:tcBorders>
            <w:shd w:val="clear" w:color="auto" w:fill="auto"/>
            <w:noWrap/>
            <w:vAlign w:val="bottom"/>
            <w:hideMark/>
          </w:tcPr>
          <w:p w14:paraId="67863CC9" w14:textId="77777777" w:rsidR="00591E10" w:rsidRPr="00591E10" w:rsidRDefault="00591E10" w:rsidP="00591E10">
            <w:pPr>
              <w:jc w:val="right"/>
              <w:outlineLvl w:val="0"/>
              <w:rPr>
                <w:rFonts w:asciiTheme="majorHAnsi" w:hAnsiTheme="majorHAnsi" w:cstheme="majorHAnsi"/>
                <w:sz w:val="16"/>
                <w:szCs w:val="16"/>
              </w:rPr>
            </w:pPr>
            <w:r w:rsidRPr="00591E10">
              <w:rPr>
                <w:rFonts w:asciiTheme="majorHAnsi" w:hAnsiTheme="majorHAnsi" w:cstheme="majorHAnsi"/>
                <w:sz w:val="16"/>
                <w:szCs w:val="16"/>
              </w:rPr>
              <w:t xml:space="preserve">                                 -   </w:t>
            </w:r>
          </w:p>
        </w:tc>
        <w:tc>
          <w:tcPr>
            <w:tcW w:w="368" w:type="pct"/>
            <w:gridSpan w:val="2"/>
            <w:tcBorders>
              <w:top w:val="nil"/>
              <w:left w:val="nil"/>
              <w:bottom w:val="nil"/>
              <w:right w:val="nil"/>
            </w:tcBorders>
            <w:shd w:val="clear" w:color="auto" w:fill="auto"/>
            <w:noWrap/>
            <w:vAlign w:val="bottom"/>
            <w:hideMark/>
          </w:tcPr>
          <w:p w14:paraId="23D6D57F" w14:textId="77777777" w:rsidR="00591E10" w:rsidRPr="00591E10" w:rsidRDefault="00591E10" w:rsidP="00C20033">
            <w:pPr>
              <w:jc w:val="center"/>
              <w:outlineLvl w:val="0"/>
              <w:rPr>
                <w:rFonts w:asciiTheme="majorHAnsi" w:hAnsiTheme="majorHAnsi" w:cstheme="majorHAnsi"/>
                <w:sz w:val="16"/>
                <w:szCs w:val="16"/>
              </w:rPr>
            </w:pPr>
          </w:p>
        </w:tc>
      </w:tr>
      <w:tr w:rsidR="00591E10" w:rsidRPr="00591E10" w14:paraId="63417A0D" w14:textId="77777777" w:rsidTr="00591E10">
        <w:trPr>
          <w:trHeight w:hRule="exact" w:val="227"/>
        </w:trPr>
        <w:tc>
          <w:tcPr>
            <w:tcW w:w="1679" w:type="pct"/>
            <w:tcBorders>
              <w:top w:val="nil"/>
              <w:left w:val="nil"/>
              <w:bottom w:val="nil"/>
              <w:right w:val="nil"/>
            </w:tcBorders>
            <w:shd w:val="clear" w:color="auto" w:fill="auto"/>
            <w:noWrap/>
            <w:vAlign w:val="bottom"/>
            <w:hideMark/>
          </w:tcPr>
          <w:p w14:paraId="55FF5D56" w14:textId="77777777" w:rsidR="00591E10" w:rsidRPr="00591E10" w:rsidRDefault="00591E10">
            <w:pPr>
              <w:outlineLvl w:val="0"/>
              <w:rPr>
                <w:rFonts w:asciiTheme="majorHAnsi" w:hAnsiTheme="majorHAnsi" w:cstheme="majorHAnsi"/>
                <w:sz w:val="16"/>
                <w:szCs w:val="16"/>
              </w:rPr>
            </w:pPr>
            <w:r w:rsidRPr="00591E10">
              <w:rPr>
                <w:rFonts w:asciiTheme="majorHAnsi" w:hAnsiTheme="majorHAnsi" w:cstheme="majorHAnsi"/>
                <w:sz w:val="16"/>
                <w:szCs w:val="16"/>
              </w:rPr>
              <w:t xml:space="preserve">        Permissão para uso de pátios</w:t>
            </w:r>
          </w:p>
        </w:tc>
        <w:tc>
          <w:tcPr>
            <w:tcW w:w="738" w:type="pct"/>
            <w:tcBorders>
              <w:top w:val="nil"/>
              <w:left w:val="nil"/>
              <w:bottom w:val="nil"/>
              <w:right w:val="nil"/>
            </w:tcBorders>
            <w:shd w:val="clear" w:color="auto" w:fill="auto"/>
            <w:noWrap/>
            <w:vAlign w:val="bottom"/>
            <w:hideMark/>
          </w:tcPr>
          <w:p w14:paraId="40AC80E9" w14:textId="77777777" w:rsidR="00591E10" w:rsidRPr="00591E10" w:rsidRDefault="00591E10" w:rsidP="00591E10">
            <w:pPr>
              <w:jc w:val="right"/>
              <w:outlineLvl w:val="0"/>
              <w:rPr>
                <w:rFonts w:asciiTheme="majorHAnsi" w:hAnsiTheme="majorHAnsi" w:cstheme="majorHAnsi"/>
                <w:sz w:val="16"/>
                <w:szCs w:val="16"/>
              </w:rPr>
            </w:pPr>
            <w:r w:rsidRPr="00591E10">
              <w:rPr>
                <w:rFonts w:asciiTheme="majorHAnsi" w:hAnsiTheme="majorHAnsi" w:cstheme="majorHAnsi"/>
                <w:sz w:val="16"/>
                <w:szCs w:val="16"/>
              </w:rPr>
              <w:t xml:space="preserve">                    956.942 </w:t>
            </w:r>
          </w:p>
        </w:tc>
        <w:tc>
          <w:tcPr>
            <w:tcW w:w="740" w:type="pct"/>
            <w:tcBorders>
              <w:top w:val="nil"/>
              <w:left w:val="nil"/>
              <w:bottom w:val="nil"/>
              <w:right w:val="nil"/>
            </w:tcBorders>
            <w:shd w:val="clear" w:color="000000" w:fill="FFFFFF"/>
            <w:noWrap/>
            <w:vAlign w:val="bottom"/>
            <w:hideMark/>
          </w:tcPr>
          <w:p w14:paraId="34DA4E3A" w14:textId="77777777" w:rsidR="00591E10" w:rsidRPr="00591E10" w:rsidRDefault="00591E10" w:rsidP="00591E10">
            <w:pPr>
              <w:jc w:val="right"/>
              <w:outlineLvl w:val="0"/>
              <w:rPr>
                <w:rFonts w:asciiTheme="majorHAnsi" w:hAnsiTheme="majorHAnsi" w:cstheme="majorHAnsi"/>
                <w:sz w:val="16"/>
                <w:szCs w:val="16"/>
              </w:rPr>
            </w:pPr>
            <w:r w:rsidRPr="00591E10">
              <w:rPr>
                <w:rFonts w:asciiTheme="majorHAnsi" w:hAnsiTheme="majorHAnsi" w:cstheme="majorHAnsi"/>
                <w:sz w:val="16"/>
                <w:szCs w:val="16"/>
              </w:rPr>
              <w:t xml:space="preserve">                2.141.455 </w:t>
            </w:r>
          </w:p>
        </w:tc>
        <w:tc>
          <w:tcPr>
            <w:tcW w:w="738" w:type="pct"/>
            <w:tcBorders>
              <w:top w:val="nil"/>
              <w:left w:val="nil"/>
              <w:bottom w:val="nil"/>
              <w:right w:val="nil"/>
            </w:tcBorders>
            <w:shd w:val="clear" w:color="000000" w:fill="FFFFFF"/>
            <w:noWrap/>
            <w:vAlign w:val="bottom"/>
            <w:hideMark/>
          </w:tcPr>
          <w:p w14:paraId="35F7C9E8" w14:textId="77777777" w:rsidR="00591E10" w:rsidRPr="00591E10" w:rsidRDefault="00591E10" w:rsidP="00591E10">
            <w:pPr>
              <w:jc w:val="right"/>
              <w:outlineLvl w:val="0"/>
              <w:rPr>
                <w:rFonts w:asciiTheme="majorHAnsi" w:hAnsiTheme="majorHAnsi" w:cstheme="majorHAnsi"/>
                <w:sz w:val="16"/>
                <w:szCs w:val="16"/>
              </w:rPr>
            </w:pPr>
            <w:r w:rsidRPr="00591E10">
              <w:rPr>
                <w:rFonts w:asciiTheme="majorHAnsi" w:hAnsiTheme="majorHAnsi" w:cstheme="majorHAnsi"/>
                <w:sz w:val="16"/>
                <w:szCs w:val="16"/>
              </w:rPr>
              <w:t xml:space="preserve">                    571.887 </w:t>
            </w:r>
          </w:p>
        </w:tc>
        <w:tc>
          <w:tcPr>
            <w:tcW w:w="738" w:type="pct"/>
            <w:tcBorders>
              <w:top w:val="nil"/>
              <w:left w:val="nil"/>
              <w:bottom w:val="nil"/>
              <w:right w:val="nil"/>
            </w:tcBorders>
            <w:shd w:val="clear" w:color="auto" w:fill="auto"/>
            <w:noWrap/>
            <w:vAlign w:val="bottom"/>
            <w:hideMark/>
          </w:tcPr>
          <w:p w14:paraId="7E09A404" w14:textId="77777777" w:rsidR="00591E10" w:rsidRPr="00591E10" w:rsidRDefault="00591E10" w:rsidP="00591E10">
            <w:pPr>
              <w:jc w:val="right"/>
              <w:outlineLvl w:val="0"/>
              <w:rPr>
                <w:rFonts w:asciiTheme="majorHAnsi" w:hAnsiTheme="majorHAnsi" w:cstheme="majorHAnsi"/>
                <w:sz w:val="16"/>
                <w:szCs w:val="16"/>
              </w:rPr>
            </w:pPr>
            <w:r w:rsidRPr="00591E10">
              <w:rPr>
                <w:rFonts w:asciiTheme="majorHAnsi" w:hAnsiTheme="majorHAnsi" w:cstheme="majorHAnsi"/>
                <w:sz w:val="16"/>
                <w:szCs w:val="16"/>
              </w:rPr>
              <w:t xml:space="preserve">                   1.196.191 </w:t>
            </w:r>
          </w:p>
        </w:tc>
        <w:tc>
          <w:tcPr>
            <w:tcW w:w="368" w:type="pct"/>
            <w:gridSpan w:val="2"/>
            <w:tcBorders>
              <w:top w:val="nil"/>
              <w:left w:val="nil"/>
              <w:bottom w:val="nil"/>
              <w:right w:val="nil"/>
            </w:tcBorders>
            <w:shd w:val="clear" w:color="auto" w:fill="auto"/>
            <w:noWrap/>
            <w:vAlign w:val="bottom"/>
            <w:hideMark/>
          </w:tcPr>
          <w:p w14:paraId="52E62C61" w14:textId="77777777" w:rsidR="00591E10" w:rsidRPr="00591E10" w:rsidRDefault="00591E10" w:rsidP="00C20033">
            <w:pPr>
              <w:jc w:val="center"/>
              <w:outlineLvl w:val="0"/>
              <w:rPr>
                <w:rFonts w:asciiTheme="majorHAnsi" w:hAnsiTheme="majorHAnsi" w:cstheme="majorHAnsi"/>
                <w:sz w:val="16"/>
                <w:szCs w:val="16"/>
              </w:rPr>
            </w:pPr>
          </w:p>
        </w:tc>
      </w:tr>
      <w:tr w:rsidR="00591E10" w:rsidRPr="00591E10" w14:paraId="76AF525C" w14:textId="77777777" w:rsidTr="00591E10">
        <w:trPr>
          <w:trHeight w:hRule="exact" w:val="227"/>
        </w:trPr>
        <w:tc>
          <w:tcPr>
            <w:tcW w:w="1679" w:type="pct"/>
            <w:tcBorders>
              <w:top w:val="nil"/>
              <w:left w:val="nil"/>
              <w:bottom w:val="nil"/>
              <w:right w:val="nil"/>
            </w:tcBorders>
            <w:shd w:val="clear" w:color="auto" w:fill="auto"/>
            <w:noWrap/>
            <w:vAlign w:val="bottom"/>
            <w:hideMark/>
          </w:tcPr>
          <w:p w14:paraId="61F42561" w14:textId="77777777" w:rsidR="00591E10" w:rsidRPr="00591E10" w:rsidRDefault="00591E10">
            <w:pPr>
              <w:outlineLvl w:val="0"/>
              <w:rPr>
                <w:rFonts w:asciiTheme="majorHAnsi" w:hAnsiTheme="majorHAnsi" w:cstheme="majorHAnsi"/>
                <w:sz w:val="16"/>
                <w:szCs w:val="16"/>
              </w:rPr>
            </w:pPr>
            <w:r w:rsidRPr="00591E10">
              <w:rPr>
                <w:rFonts w:asciiTheme="majorHAnsi" w:hAnsiTheme="majorHAnsi" w:cstheme="majorHAnsi"/>
                <w:sz w:val="16"/>
                <w:szCs w:val="16"/>
              </w:rPr>
              <w:t xml:space="preserve">        (-) Deduções de Receita</w:t>
            </w:r>
          </w:p>
        </w:tc>
        <w:tc>
          <w:tcPr>
            <w:tcW w:w="738" w:type="pct"/>
            <w:tcBorders>
              <w:top w:val="nil"/>
              <w:left w:val="nil"/>
              <w:bottom w:val="nil"/>
              <w:right w:val="nil"/>
            </w:tcBorders>
            <w:shd w:val="clear" w:color="auto" w:fill="auto"/>
            <w:noWrap/>
            <w:vAlign w:val="bottom"/>
            <w:hideMark/>
          </w:tcPr>
          <w:p w14:paraId="6E4AE037" w14:textId="77777777" w:rsidR="00591E10" w:rsidRPr="00591E10" w:rsidRDefault="00591E10" w:rsidP="00591E10">
            <w:pPr>
              <w:jc w:val="right"/>
              <w:outlineLvl w:val="0"/>
              <w:rPr>
                <w:rFonts w:asciiTheme="majorHAnsi" w:hAnsiTheme="majorHAnsi" w:cstheme="majorHAnsi"/>
                <w:sz w:val="16"/>
                <w:szCs w:val="16"/>
              </w:rPr>
            </w:pPr>
            <w:r w:rsidRPr="00591E10">
              <w:rPr>
                <w:rFonts w:asciiTheme="majorHAnsi" w:hAnsiTheme="majorHAnsi" w:cstheme="majorHAnsi"/>
                <w:sz w:val="16"/>
                <w:szCs w:val="16"/>
              </w:rPr>
              <w:t xml:space="preserve">                    (50.958)</w:t>
            </w:r>
          </w:p>
        </w:tc>
        <w:tc>
          <w:tcPr>
            <w:tcW w:w="740" w:type="pct"/>
            <w:tcBorders>
              <w:top w:val="nil"/>
              <w:left w:val="nil"/>
              <w:bottom w:val="nil"/>
              <w:right w:val="nil"/>
            </w:tcBorders>
            <w:shd w:val="clear" w:color="auto" w:fill="auto"/>
            <w:noWrap/>
            <w:vAlign w:val="bottom"/>
            <w:hideMark/>
          </w:tcPr>
          <w:p w14:paraId="49887FFD" w14:textId="77777777" w:rsidR="00591E10" w:rsidRPr="00591E10" w:rsidRDefault="00591E10" w:rsidP="00591E10">
            <w:pPr>
              <w:jc w:val="right"/>
              <w:outlineLvl w:val="0"/>
              <w:rPr>
                <w:rFonts w:asciiTheme="majorHAnsi" w:hAnsiTheme="majorHAnsi" w:cstheme="majorHAnsi"/>
                <w:sz w:val="16"/>
                <w:szCs w:val="16"/>
              </w:rPr>
            </w:pPr>
            <w:r w:rsidRPr="00591E10">
              <w:rPr>
                <w:rFonts w:asciiTheme="majorHAnsi" w:hAnsiTheme="majorHAnsi" w:cstheme="majorHAnsi"/>
                <w:sz w:val="16"/>
                <w:szCs w:val="16"/>
              </w:rPr>
              <w:t xml:space="preserve">                  (143.661)</w:t>
            </w:r>
          </w:p>
        </w:tc>
        <w:tc>
          <w:tcPr>
            <w:tcW w:w="738" w:type="pct"/>
            <w:tcBorders>
              <w:top w:val="nil"/>
              <w:left w:val="nil"/>
              <w:bottom w:val="nil"/>
              <w:right w:val="nil"/>
            </w:tcBorders>
            <w:shd w:val="clear" w:color="auto" w:fill="auto"/>
            <w:noWrap/>
            <w:vAlign w:val="bottom"/>
            <w:hideMark/>
          </w:tcPr>
          <w:p w14:paraId="14A2D6DE" w14:textId="77777777" w:rsidR="00591E10" w:rsidRPr="00591E10" w:rsidRDefault="00591E10" w:rsidP="00591E10">
            <w:pPr>
              <w:jc w:val="right"/>
              <w:outlineLvl w:val="0"/>
              <w:rPr>
                <w:rFonts w:asciiTheme="majorHAnsi" w:hAnsiTheme="majorHAnsi" w:cstheme="majorHAnsi"/>
                <w:sz w:val="16"/>
                <w:szCs w:val="16"/>
              </w:rPr>
            </w:pPr>
            <w:r w:rsidRPr="00591E10">
              <w:rPr>
                <w:rFonts w:asciiTheme="majorHAnsi" w:hAnsiTheme="majorHAnsi" w:cstheme="majorHAnsi"/>
                <w:sz w:val="16"/>
                <w:szCs w:val="16"/>
              </w:rPr>
              <w:t xml:space="preserve">                    (54.567)</w:t>
            </w:r>
          </w:p>
        </w:tc>
        <w:tc>
          <w:tcPr>
            <w:tcW w:w="738" w:type="pct"/>
            <w:tcBorders>
              <w:top w:val="nil"/>
              <w:left w:val="nil"/>
              <w:bottom w:val="nil"/>
              <w:right w:val="nil"/>
            </w:tcBorders>
            <w:shd w:val="clear" w:color="auto" w:fill="auto"/>
            <w:noWrap/>
            <w:vAlign w:val="bottom"/>
            <w:hideMark/>
          </w:tcPr>
          <w:p w14:paraId="4619C0D7" w14:textId="77777777" w:rsidR="00591E10" w:rsidRPr="00591E10" w:rsidRDefault="00591E10" w:rsidP="00591E10">
            <w:pPr>
              <w:jc w:val="right"/>
              <w:outlineLvl w:val="0"/>
              <w:rPr>
                <w:rFonts w:asciiTheme="majorHAnsi" w:hAnsiTheme="majorHAnsi" w:cstheme="majorHAnsi"/>
                <w:sz w:val="16"/>
                <w:szCs w:val="16"/>
              </w:rPr>
            </w:pPr>
            <w:r w:rsidRPr="00591E10">
              <w:rPr>
                <w:rFonts w:asciiTheme="majorHAnsi" w:hAnsiTheme="majorHAnsi" w:cstheme="majorHAnsi"/>
                <w:sz w:val="16"/>
                <w:szCs w:val="16"/>
              </w:rPr>
              <w:t xml:space="preserve">                    (163.240)</w:t>
            </w:r>
          </w:p>
        </w:tc>
        <w:tc>
          <w:tcPr>
            <w:tcW w:w="368" w:type="pct"/>
            <w:gridSpan w:val="2"/>
            <w:tcBorders>
              <w:top w:val="nil"/>
              <w:left w:val="nil"/>
              <w:bottom w:val="nil"/>
              <w:right w:val="nil"/>
            </w:tcBorders>
            <w:shd w:val="clear" w:color="auto" w:fill="auto"/>
            <w:noWrap/>
            <w:vAlign w:val="bottom"/>
            <w:hideMark/>
          </w:tcPr>
          <w:p w14:paraId="6507C8CD" w14:textId="77777777" w:rsidR="00591E10" w:rsidRPr="00591E10" w:rsidRDefault="00591E10" w:rsidP="00C20033">
            <w:pPr>
              <w:jc w:val="center"/>
              <w:outlineLvl w:val="0"/>
              <w:rPr>
                <w:rFonts w:asciiTheme="majorHAnsi" w:hAnsiTheme="majorHAnsi" w:cstheme="majorHAnsi"/>
                <w:sz w:val="16"/>
                <w:szCs w:val="16"/>
              </w:rPr>
            </w:pPr>
          </w:p>
        </w:tc>
      </w:tr>
      <w:tr w:rsidR="00591E10" w:rsidRPr="00591E10" w14:paraId="76A32714" w14:textId="77777777" w:rsidTr="00591E10">
        <w:trPr>
          <w:trHeight w:hRule="exact" w:val="227"/>
        </w:trPr>
        <w:tc>
          <w:tcPr>
            <w:tcW w:w="1679" w:type="pct"/>
            <w:tcBorders>
              <w:top w:val="nil"/>
              <w:left w:val="nil"/>
              <w:bottom w:val="nil"/>
              <w:right w:val="nil"/>
            </w:tcBorders>
            <w:shd w:val="clear" w:color="auto" w:fill="auto"/>
            <w:noWrap/>
            <w:vAlign w:val="bottom"/>
            <w:hideMark/>
          </w:tcPr>
          <w:p w14:paraId="3EF79739" w14:textId="77777777" w:rsidR="00591E10" w:rsidRPr="00591E10" w:rsidRDefault="00591E10">
            <w:pPr>
              <w:jc w:val="right"/>
              <w:outlineLvl w:val="0"/>
              <w:rPr>
                <w:rFonts w:asciiTheme="majorHAnsi" w:hAnsiTheme="majorHAnsi" w:cstheme="majorHAnsi"/>
                <w:sz w:val="16"/>
                <w:szCs w:val="16"/>
              </w:rPr>
            </w:pPr>
          </w:p>
        </w:tc>
        <w:tc>
          <w:tcPr>
            <w:tcW w:w="738" w:type="pct"/>
            <w:tcBorders>
              <w:top w:val="nil"/>
              <w:left w:val="nil"/>
              <w:bottom w:val="nil"/>
              <w:right w:val="nil"/>
            </w:tcBorders>
            <w:shd w:val="clear" w:color="auto" w:fill="auto"/>
            <w:noWrap/>
            <w:vAlign w:val="bottom"/>
            <w:hideMark/>
          </w:tcPr>
          <w:p w14:paraId="3B712CAA" w14:textId="77777777" w:rsidR="00591E10" w:rsidRPr="00591E10" w:rsidRDefault="00591E10" w:rsidP="00591E10">
            <w:pPr>
              <w:jc w:val="right"/>
              <w:outlineLvl w:val="0"/>
              <w:rPr>
                <w:rFonts w:asciiTheme="majorHAnsi" w:hAnsiTheme="majorHAnsi" w:cstheme="majorHAnsi"/>
                <w:sz w:val="16"/>
                <w:szCs w:val="16"/>
              </w:rPr>
            </w:pPr>
          </w:p>
        </w:tc>
        <w:tc>
          <w:tcPr>
            <w:tcW w:w="740" w:type="pct"/>
            <w:tcBorders>
              <w:top w:val="nil"/>
              <w:left w:val="nil"/>
              <w:bottom w:val="nil"/>
              <w:right w:val="nil"/>
            </w:tcBorders>
            <w:shd w:val="clear" w:color="auto" w:fill="auto"/>
            <w:noWrap/>
            <w:vAlign w:val="bottom"/>
            <w:hideMark/>
          </w:tcPr>
          <w:p w14:paraId="7FCB501E" w14:textId="77777777" w:rsidR="00591E10" w:rsidRPr="00591E10" w:rsidRDefault="00591E10" w:rsidP="00591E10">
            <w:pPr>
              <w:jc w:val="right"/>
              <w:outlineLvl w:val="0"/>
              <w:rPr>
                <w:rFonts w:asciiTheme="majorHAnsi" w:hAnsiTheme="majorHAnsi" w:cstheme="majorHAnsi"/>
                <w:sz w:val="16"/>
                <w:szCs w:val="16"/>
              </w:rPr>
            </w:pPr>
          </w:p>
        </w:tc>
        <w:tc>
          <w:tcPr>
            <w:tcW w:w="738" w:type="pct"/>
            <w:tcBorders>
              <w:top w:val="nil"/>
              <w:left w:val="nil"/>
              <w:bottom w:val="nil"/>
              <w:right w:val="nil"/>
            </w:tcBorders>
            <w:shd w:val="clear" w:color="auto" w:fill="auto"/>
            <w:noWrap/>
            <w:vAlign w:val="bottom"/>
            <w:hideMark/>
          </w:tcPr>
          <w:p w14:paraId="35CD9159" w14:textId="77777777" w:rsidR="00591E10" w:rsidRPr="00591E10" w:rsidRDefault="00591E10" w:rsidP="00591E10">
            <w:pPr>
              <w:jc w:val="right"/>
              <w:outlineLvl w:val="0"/>
              <w:rPr>
                <w:rFonts w:asciiTheme="majorHAnsi" w:hAnsiTheme="majorHAnsi" w:cstheme="majorHAnsi"/>
                <w:sz w:val="16"/>
                <w:szCs w:val="16"/>
              </w:rPr>
            </w:pPr>
          </w:p>
        </w:tc>
        <w:tc>
          <w:tcPr>
            <w:tcW w:w="738" w:type="pct"/>
            <w:tcBorders>
              <w:top w:val="nil"/>
              <w:left w:val="nil"/>
              <w:bottom w:val="nil"/>
              <w:right w:val="nil"/>
            </w:tcBorders>
            <w:shd w:val="clear" w:color="auto" w:fill="auto"/>
            <w:noWrap/>
            <w:vAlign w:val="bottom"/>
            <w:hideMark/>
          </w:tcPr>
          <w:p w14:paraId="2A4DE650" w14:textId="77777777" w:rsidR="00591E10" w:rsidRPr="00591E10" w:rsidRDefault="00591E10" w:rsidP="00591E10">
            <w:pPr>
              <w:jc w:val="right"/>
              <w:outlineLvl w:val="0"/>
              <w:rPr>
                <w:rFonts w:asciiTheme="majorHAnsi" w:hAnsiTheme="majorHAnsi" w:cstheme="majorHAnsi"/>
                <w:sz w:val="16"/>
                <w:szCs w:val="16"/>
              </w:rPr>
            </w:pPr>
          </w:p>
        </w:tc>
        <w:tc>
          <w:tcPr>
            <w:tcW w:w="368" w:type="pct"/>
            <w:gridSpan w:val="2"/>
            <w:tcBorders>
              <w:top w:val="nil"/>
              <w:left w:val="nil"/>
              <w:bottom w:val="nil"/>
              <w:right w:val="nil"/>
            </w:tcBorders>
            <w:shd w:val="clear" w:color="auto" w:fill="auto"/>
            <w:noWrap/>
            <w:vAlign w:val="bottom"/>
            <w:hideMark/>
          </w:tcPr>
          <w:p w14:paraId="098962E2" w14:textId="77777777" w:rsidR="00591E10" w:rsidRPr="00591E10" w:rsidRDefault="00591E10" w:rsidP="00C20033">
            <w:pPr>
              <w:jc w:val="center"/>
              <w:outlineLvl w:val="0"/>
              <w:rPr>
                <w:rFonts w:asciiTheme="majorHAnsi" w:hAnsiTheme="majorHAnsi" w:cstheme="majorHAnsi"/>
                <w:sz w:val="16"/>
                <w:szCs w:val="16"/>
              </w:rPr>
            </w:pPr>
          </w:p>
        </w:tc>
      </w:tr>
      <w:tr w:rsidR="00591E10" w:rsidRPr="00591E10" w14:paraId="2BF73EC7" w14:textId="77777777" w:rsidTr="00591E10">
        <w:trPr>
          <w:trHeight w:hRule="exact" w:val="227"/>
        </w:trPr>
        <w:tc>
          <w:tcPr>
            <w:tcW w:w="1679" w:type="pct"/>
            <w:tcBorders>
              <w:top w:val="nil"/>
              <w:left w:val="nil"/>
              <w:bottom w:val="nil"/>
              <w:right w:val="nil"/>
            </w:tcBorders>
            <w:shd w:val="clear" w:color="auto" w:fill="auto"/>
            <w:noWrap/>
            <w:vAlign w:val="bottom"/>
            <w:hideMark/>
          </w:tcPr>
          <w:p w14:paraId="6C1F2632" w14:textId="77777777" w:rsidR="00591E10" w:rsidRPr="00591E10" w:rsidRDefault="00591E10">
            <w:pPr>
              <w:rPr>
                <w:rFonts w:asciiTheme="majorHAnsi" w:hAnsiTheme="majorHAnsi" w:cstheme="majorHAnsi"/>
                <w:b/>
                <w:bCs/>
                <w:sz w:val="16"/>
                <w:szCs w:val="16"/>
              </w:rPr>
            </w:pPr>
            <w:r w:rsidRPr="00591E10">
              <w:rPr>
                <w:rFonts w:asciiTheme="majorHAnsi" w:hAnsiTheme="majorHAnsi" w:cstheme="majorHAnsi"/>
                <w:b/>
                <w:bCs/>
                <w:sz w:val="16"/>
                <w:szCs w:val="16"/>
              </w:rPr>
              <w:t>RECEITAS LÍQUIDAS</w:t>
            </w:r>
          </w:p>
        </w:tc>
        <w:tc>
          <w:tcPr>
            <w:tcW w:w="738" w:type="pct"/>
            <w:tcBorders>
              <w:top w:val="nil"/>
              <w:left w:val="nil"/>
              <w:bottom w:val="nil"/>
              <w:right w:val="nil"/>
            </w:tcBorders>
            <w:shd w:val="clear" w:color="auto" w:fill="auto"/>
            <w:noWrap/>
            <w:vAlign w:val="bottom"/>
            <w:hideMark/>
          </w:tcPr>
          <w:p w14:paraId="020936CB" w14:textId="77777777" w:rsidR="00591E10" w:rsidRPr="00591E10" w:rsidRDefault="00591E10" w:rsidP="00591E10">
            <w:pPr>
              <w:jc w:val="right"/>
              <w:rPr>
                <w:rFonts w:asciiTheme="majorHAnsi" w:hAnsiTheme="majorHAnsi" w:cstheme="majorHAnsi"/>
                <w:b/>
                <w:bCs/>
                <w:sz w:val="16"/>
                <w:szCs w:val="16"/>
              </w:rPr>
            </w:pPr>
            <w:r w:rsidRPr="00591E10">
              <w:rPr>
                <w:rFonts w:asciiTheme="majorHAnsi" w:hAnsiTheme="majorHAnsi" w:cstheme="majorHAnsi"/>
                <w:b/>
                <w:bCs/>
                <w:sz w:val="16"/>
                <w:szCs w:val="16"/>
              </w:rPr>
              <w:t xml:space="preserve">                1.454.119 </w:t>
            </w:r>
          </w:p>
        </w:tc>
        <w:tc>
          <w:tcPr>
            <w:tcW w:w="740" w:type="pct"/>
            <w:tcBorders>
              <w:top w:val="nil"/>
              <w:left w:val="nil"/>
              <w:bottom w:val="nil"/>
              <w:right w:val="nil"/>
            </w:tcBorders>
            <w:shd w:val="clear" w:color="000000" w:fill="FFFFFF"/>
            <w:noWrap/>
            <w:vAlign w:val="bottom"/>
            <w:hideMark/>
          </w:tcPr>
          <w:p w14:paraId="3687A924" w14:textId="77777777" w:rsidR="00591E10" w:rsidRPr="00591E10" w:rsidRDefault="00591E10" w:rsidP="00591E10">
            <w:pPr>
              <w:jc w:val="right"/>
              <w:rPr>
                <w:rFonts w:asciiTheme="majorHAnsi" w:hAnsiTheme="majorHAnsi" w:cstheme="majorHAnsi"/>
                <w:b/>
                <w:bCs/>
                <w:sz w:val="16"/>
                <w:szCs w:val="16"/>
              </w:rPr>
            </w:pPr>
            <w:r w:rsidRPr="00591E10">
              <w:rPr>
                <w:rFonts w:asciiTheme="majorHAnsi" w:hAnsiTheme="majorHAnsi" w:cstheme="majorHAnsi"/>
                <w:b/>
                <w:bCs/>
                <w:sz w:val="16"/>
                <w:szCs w:val="16"/>
              </w:rPr>
              <w:t xml:space="preserve">                3.105.332 </w:t>
            </w:r>
          </w:p>
        </w:tc>
        <w:tc>
          <w:tcPr>
            <w:tcW w:w="738" w:type="pct"/>
            <w:tcBorders>
              <w:top w:val="nil"/>
              <w:left w:val="nil"/>
              <w:bottom w:val="nil"/>
              <w:right w:val="nil"/>
            </w:tcBorders>
            <w:shd w:val="clear" w:color="000000" w:fill="FFFFFF"/>
            <w:noWrap/>
            <w:vAlign w:val="bottom"/>
            <w:hideMark/>
          </w:tcPr>
          <w:p w14:paraId="0D70A80B" w14:textId="77777777" w:rsidR="00591E10" w:rsidRPr="00591E10" w:rsidRDefault="00591E10" w:rsidP="00591E10">
            <w:pPr>
              <w:jc w:val="right"/>
              <w:rPr>
                <w:rFonts w:asciiTheme="majorHAnsi" w:hAnsiTheme="majorHAnsi" w:cstheme="majorHAnsi"/>
                <w:b/>
                <w:bCs/>
                <w:sz w:val="16"/>
                <w:szCs w:val="16"/>
              </w:rPr>
            </w:pPr>
            <w:r w:rsidRPr="00591E10">
              <w:rPr>
                <w:rFonts w:asciiTheme="majorHAnsi" w:hAnsiTheme="majorHAnsi" w:cstheme="majorHAnsi"/>
                <w:b/>
                <w:bCs/>
                <w:sz w:val="16"/>
                <w:szCs w:val="16"/>
              </w:rPr>
              <w:t xml:space="preserve">                    622.382 </w:t>
            </w:r>
          </w:p>
        </w:tc>
        <w:tc>
          <w:tcPr>
            <w:tcW w:w="738" w:type="pct"/>
            <w:tcBorders>
              <w:top w:val="nil"/>
              <w:left w:val="nil"/>
              <w:bottom w:val="nil"/>
              <w:right w:val="nil"/>
            </w:tcBorders>
            <w:shd w:val="clear" w:color="auto" w:fill="auto"/>
            <w:noWrap/>
            <w:vAlign w:val="bottom"/>
            <w:hideMark/>
          </w:tcPr>
          <w:p w14:paraId="35EB6FEF" w14:textId="77777777" w:rsidR="00591E10" w:rsidRPr="00591E10" w:rsidRDefault="00591E10" w:rsidP="00591E10">
            <w:pPr>
              <w:jc w:val="right"/>
              <w:rPr>
                <w:rFonts w:asciiTheme="majorHAnsi" w:hAnsiTheme="majorHAnsi" w:cstheme="majorHAnsi"/>
                <w:b/>
                <w:bCs/>
                <w:sz w:val="16"/>
                <w:szCs w:val="16"/>
              </w:rPr>
            </w:pPr>
            <w:r w:rsidRPr="00591E10">
              <w:rPr>
                <w:rFonts w:asciiTheme="majorHAnsi" w:hAnsiTheme="majorHAnsi" w:cstheme="majorHAnsi"/>
                <w:b/>
                <w:bCs/>
                <w:sz w:val="16"/>
                <w:szCs w:val="16"/>
              </w:rPr>
              <w:t xml:space="preserve">                   1.143.828 </w:t>
            </w:r>
          </w:p>
        </w:tc>
        <w:tc>
          <w:tcPr>
            <w:tcW w:w="368" w:type="pct"/>
            <w:gridSpan w:val="2"/>
            <w:tcBorders>
              <w:top w:val="nil"/>
              <w:left w:val="nil"/>
              <w:bottom w:val="nil"/>
              <w:right w:val="nil"/>
            </w:tcBorders>
            <w:shd w:val="clear" w:color="000000" w:fill="FFFFFF"/>
            <w:noWrap/>
            <w:vAlign w:val="bottom"/>
            <w:hideMark/>
          </w:tcPr>
          <w:p w14:paraId="2431F7AC" w14:textId="3A21E5D6" w:rsidR="00591E10" w:rsidRPr="00591E10" w:rsidRDefault="00591E10" w:rsidP="00C20033">
            <w:pPr>
              <w:jc w:val="center"/>
              <w:rPr>
                <w:rFonts w:asciiTheme="majorHAnsi" w:hAnsiTheme="majorHAnsi" w:cstheme="majorHAnsi"/>
                <w:sz w:val="16"/>
                <w:szCs w:val="16"/>
              </w:rPr>
            </w:pPr>
            <w:r w:rsidRPr="00591E10">
              <w:rPr>
                <w:rFonts w:asciiTheme="majorHAnsi" w:hAnsiTheme="majorHAnsi" w:cstheme="majorHAnsi"/>
                <w:sz w:val="16"/>
                <w:szCs w:val="16"/>
              </w:rPr>
              <w:t>(17)</w:t>
            </w:r>
          </w:p>
        </w:tc>
      </w:tr>
      <w:tr w:rsidR="00591E10" w:rsidRPr="00591E10" w14:paraId="0894EC84" w14:textId="77777777" w:rsidTr="00591E10">
        <w:trPr>
          <w:trHeight w:hRule="exact" w:val="227"/>
        </w:trPr>
        <w:tc>
          <w:tcPr>
            <w:tcW w:w="1679" w:type="pct"/>
            <w:tcBorders>
              <w:top w:val="nil"/>
              <w:left w:val="nil"/>
              <w:bottom w:val="nil"/>
              <w:right w:val="nil"/>
            </w:tcBorders>
            <w:shd w:val="clear" w:color="auto" w:fill="auto"/>
            <w:noWrap/>
            <w:vAlign w:val="bottom"/>
            <w:hideMark/>
          </w:tcPr>
          <w:p w14:paraId="47302219" w14:textId="77777777" w:rsidR="00591E10" w:rsidRPr="00591E10" w:rsidRDefault="00591E10">
            <w:pPr>
              <w:rPr>
                <w:rFonts w:asciiTheme="majorHAnsi" w:hAnsiTheme="majorHAnsi" w:cstheme="majorHAnsi"/>
                <w:sz w:val="16"/>
                <w:szCs w:val="16"/>
              </w:rPr>
            </w:pPr>
          </w:p>
        </w:tc>
        <w:tc>
          <w:tcPr>
            <w:tcW w:w="738" w:type="pct"/>
            <w:tcBorders>
              <w:top w:val="nil"/>
              <w:left w:val="nil"/>
              <w:bottom w:val="nil"/>
              <w:right w:val="nil"/>
            </w:tcBorders>
            <w:shd w:val="clear" w:color="auto" w:fill="auto"/>
            <w:noWrap/>
            <w:vAlign w:val="bottom"/>
            <w:hideMark/>
          </w:tcPr>
          <w:p w14:paraId="1C98EFB4" w14:textId="77777777" w:rsidR="00591E10" w:rsidRPr="00591E10" w:rsidRDefault="00591E10" w:rsidP="00591E10">
            <w:pPr>
              <w:jc w:val="right"/>
              <w:rPr>
                <w:rFonts w:asciiTheme="majorHAnsi" w:hAnsiTheme="majorHAnsi" w:cstheme="majorHAnsi"/>
                <w:sz w:val="16"/>
                <w:szCs w:val="16"/>
              </w:rPr>
            </w:pPr>
          </w:p>
        </w:tc>
        <w:tc>
          <w:tcPr>
            <w:tcW w:w="740" w:type="pct"/>
            <w:tcBorders>
              <w:top w:val="nil"/>
              <w:left w:val="nil"/>
              <w:bottom w:val="nil"/>
              <w:right w:val="nil"/>
            </w:tcBorders>
            <w:shd w:val="clear" w:color="auto" w:fill="auto"/>
            <w:noWrap/>
            <w:vAlign w:val="bottom"/>
            <w:hideMark/>
          </w:tcPr>
          <w:p w14:paraId="32307EF8" w14:textId="77777777" w:rsidR="00591E10" w:rsidRPr="00591E10" w:rsidRDefault="00591E10" w:rsidP="00591E10">
            <w:pPr>
              <w:jc w:val="right"/>
              <w:rPr>
                <w:rFonts w:asciiTheme="majorHAnsi" w:hAnsiTheme="majorHAnsi" w:cstheme="majorHAnsi"/>
                <w:sz w:val="16"/>
                <w:szCs w:val="16"/>
              </w:rPr>
            </w:pPr>
          </w:p>
        </w:tc>
        <w:tc>
          <w:tcPr>
            <w:tcW w:w="738" w:type="pct"/>
            <w:tcBorders>
              <w:top w:val="nil"/>
              <w:left w:val="nil"/>
              <w:bottom w:val="nil"/>
              <w:right w:val="nil"/>
            </w:tcBorders>
            <w:shd w:val="clear" w:color="auto" w:fill="auto"/>
            <w:noWrap/>
            <w:vAlign w:val="bottom"/>
            <w:hideMark/>
          </w:tcPr>
          <w:p w14:paraId="0983BAE0" w14:textId="77777777" w:rsidR="00591E10" w:rsidRPr="00591E10" w:rsidRDefault="00591E10" w:rsidP="00591E10">
            <w:pPr>
              <w:jc w:val="right"/>
              <w:rPr>
                <w:rFonts w:asciiTheme="majorHAnsi" w:hAnsiTheme="majorHAnsi" w:cstheme="majorHAnsi"/>
                <w:sz w:val="16"/>
                <w:szCs w:val="16"/>
              </w:rPr>
            </w:pPr>
          </w:p>
        </w:tc>
        <w:tc>
          <w:tcPr>
            <w:tcW w:w="738" w:type="pct"/>
            <w:tcBorders>
              <w:top w:val="nil"/>
              <w:left w:val="nil"/>
              <w:bottom w:val="nil"/>
              <w:right w:val="nil"/>
            </w:tcBorders>
            <w:shd w:val="clear" w:color="auto" w:fill="auto"/>
            <w:noWrap/>
            <w:vAlign w:val="bottom"/>
            <w:hideMark/>
          </w:tcPr>
          <w:p w14:paraId="1DA4E17E" w14:textId="77777777" w:rsidR="00591E10" w:rsidRPr="00591E10" w:rsidRDefault="00591E10" w:rsidP="00591E10">
            <w:pPr>
              <w:jc w:val="right"/>
              <w:rPr>
                <w:rFonts w:asciiTheme="majorHAnsi" w:hAnsiTheme="majorHAnsi" w:cstheme="majorHAnsi"/>
                <w:sz w:val="16"/>
                <w:szCs w:val="16"/>
              </w:rPr>
            </w:pPr>
          </w:p>
        </w:tc>
        <w:tc>
          <w:tcPr>
            <w:tcW w:w="368" w:type="pct"/>
            <w:gridSpan w:val="2"/>
            <w:tcBorders>
              <w:top w:val="nil"/>
              <w:left w:val="nil"/>
              <w:bottom w:val="nil"/>
              <w:right w:val="nil"/>
            </w:tcBorders>
            <w:shd w:val="clear" w:color="auto" w:fill="auto"/>
            <w:noWrap/>
            <w:vAlign w:val="bottom"/>
            <w:hideMark/>
          </w:tcPr>
          <w:p w14:paraId="596B6880" w14:textId="77777777" w:rsidR="00591E10" w:rsidRPr="00591E10" w:rsidRDefault="00591E10" w:rsidP="00C20033">
            <w:pPr>
              <w:jc w:val="center"/>
              <w:rPr>
                <w:rFonts w:asciiTheme="majorHAnsi" w:hAnsiTheme="majorHAnsi" w:cstheme="majorHAnsi"/>
                <w:sz w:val="16"/>
                <w:szCs w:val="16"/>
              </w:rPr>
            </w:pPr>
          </w:p>
        </w:tc>
      </w:tr>
      <w:tr w:rsidR="00591E10" w:rsidRPr="00591E10" w14:paraId="53F618A1" w14:textId="77777777" w:rsidTr="00591E10">
        <w:trPr>
          <w:trHeight w:hRule="exact" w:val="227"/>
        </w:trPr>
        <w:tc>
          <w:tcPr>
            <w:tcW w:w="1679" w:type="pct"/>
            <w:tcBorders>
              <w:top w:val="nil"/>
              <w:left w:val="nil"/>
              <w:bottom w:val="nil"/>
              <w:right w:val="nil"/>
            </w:tcBorders>
            <w:shd w:val="clear" w:color="auto" w:fill="auto"/>
            <w:noWrap/>
            <w:vAlign w:val="bottom"/>
            <w:hideMark/>
          </w:tcPr>
          <w:p w14:paraId="54423AA6" w14:textId="77777777" w:rsidR="00591E10" w:rsidRPr="00591E10" w:rsidRDefault="00591E10">
            <w:pPr>
              <w:rPr>
                <w:rFonts w:asciiTheme="majorHAnsi" w:hAnsiTheme="majorHAnsi" w:cstheme="majorHAnsi"/>
                <w:b/>
                <w:bCs/>
                <w:sz w:val="16"/>
                <w:szCs w:val="16"/>
              </w:rPr>
            </w:pPr>
            <w:r w:rsidRPr="00591E10">
              <w:rPr>
                <w:rFonts w:asciiTheme="majorHAnsi" w:hAnsiTheme="majorHAnsi" w:cstheme="majorHAnsi"/>
                <w:b/>
                <w:bCs/>
                <w:sz w:val="16"/>
                <w:szCs w:val="16"/>
              </w:rPr>
              <w:t>DESPESAS OPERACIONAIS</w:t>
            </w:r>
          </w:p>
        </w:tc>
        <w:tc>
          <w:tcPr>
            <w:tcW w:w="738" w:type="pct"/>
            <w:tcBorders>
              <w:top w:val="nil"/>
              <w:left w:val="nil"/>
              <w:bottom w:val="nil"/>
              <w:right w:val="nil"/>
            </w:tcBorders>
            <w:shd w:val="clear" w:color="auto" w:fill="auto"/>
            <w:noWrap/>
            <w:vAlign w:val="bottom"/>
            <w:hideMark/>
          </w:tcPr>
          <w:p w14:paraId="0BD0E313" w14:textId="77777777" w:rsidR="00591E10" w:rsidRPr="00591E10" w:rsidRDefault="00591E10" w:rsidP="00591E10">
            <w:pPr>
              <w:jc w:val="right"/>
              <w:rPr>
                <w:rFonts w:asciiTheme="majorHAnsi" w:hAnsiTheme="majorHAnsi" w:cstheme="majorHAnsi"/>
                <w:b/>
                <w:bCs/>
                <w:sz w:val="16"/>
                <w:szCs w:val="16"/>
              </w:rPr>
            </w:pPr>
            <w:r w:rsidRPr="00591E10">
              <w:rPr>
                <w:rFonts w:asciiTheme="majorHAnsi" w:hAnsiTheme="majorHAnsi" w:cstheme="majorHAnsi"/>
                <w:b/>
                <w:bCs/>
                <w:sz w:val="16"/>
                <w:szCs w:val="16"/>
              </w:rPr>
              <w:t xml:space="preserve">            (43.012.166)</w:t>
            </w:r>
          </w:p>
        </w:tc>
        <w:tc>
          <w:tcPr>
            <w:tcW w:w="740" w:type="pct"/>
            <w:tcBorders>
              <w:top w:val="nil"/>
              <w:left w:val="nil"/>
              <w:bottom w:val="nil"/>
              <w:right w:val="nil"/>
            </w:tcBorders>
            <w:shd w:val="clear" w:color="000000" w:fill="FFFFFF"/>
            <w:noWrap/>
            <w:vAlign w:val="bottom"/>
            <w:hideMark/>
          </w:tcPr>
          <w:p w14:paraId="67A4118A" w14:textId="77777777" w:rsidR="00591E10" w:rsidRPr="00591E10" w:rsidRDefault="00591E10" w:rsidP="00591E10">
            <w:pPr>
              <w:jc w:val="right"/>
              <w:rPr>
                <w:rFonts w:asciiTheme="majorHAnsi" w:hAnsiTheme="majorHAnsi" w:cstheme="majorHAnsi"/>
                <w:b/>
                <w:bCs/>
                <w:sz w:val="16"/>
                <w:szCs w:val="16"/>
              </w:rPr>
            </w:pPr>
            <w:r w:rsidRPr="00591E10">
              <w:rPr>
                <w:rFonts w:asciiTheme="majorHAnsi" w:hAnsiTheme="majorHAnsi" w:cstheme="majorHAnsi"/>
                <w:b/>
                <w:bCs/>
                <w:sz w:val="16"/>
                <w:szCs w:val="16"/>
              </w:rPr>
              <w:t xml:space="preserve">            (80.263.139)</w:t>
            </w:r>
          </w:p>
        </w:tc>
        <w:tc>
          <w:tcPr>
            <w:tcW w:w="738" w:type="pct"/>
            <w:tcBorders>
              <w:top w:val="nil"/>
              <w:left w:val="nil"/>
              <w:bottom w:val="nil"/>
              <w:right w:val="nil"/>
            </w:tcBorders>
            <w:shd w:val="clear" w:color="000000" w:fill="FFFFFF"/>
            <w:noWrap/>
            <w:vAlign w:val="bottom"/>
            <w:hideMark/>
          </w:tcPr>
          <w:p w14:paraId="1C41B978" w14:textId="77777777" w:rsidR="00591E10" w:rsidRPr="00591E10" w:rsidRDefault="00591E10" w:rsidP="00591E10">
            <w:pPr>
              <w:jc w:val="right"/>
              <w:rPr>
                <w:rFonts w:asciiTheme="majorHAnsi" w:hAnsiTheme="majorHAnsi" w:cstheme="majorHAnsi"/>
                <w:b/>
                <w:bCs/>
                <w:sz w:val="16"/>
                <w:szCs w:val="16"/>
              </w:rPr>
            </w:pPr>
            <w:r w:rsidRPr="00591E10">
              <w:rPr>
                <w:rFonts w:asciiTheme="majorHAnsi" w:hAnsiTheme="majorHAnsi" w:cstheme="majorHAnsi"/>
                <w:b/>
                <w:bCs/>
                <w:sz w:val="16"/>
                <w:szCs w:val="16"/>
              </w:rPr>
              <w:t xml:space="preserve">            (42.019.922)</w:t>
            </w:r>
          </w:p>
        </w:tc>
        <w:tc>
          <w:tcPr>
            <w:tcW w:w="738" w:type="pct"/>
            <w:tcBorders>
              <w:top w:val="nil"/>
              <w:left w:val="nil"/>
              <w:bottom w:val="nil"/>
              <w:right w:val="nil"/>
            </w:tcBorders>
            <w:shd w:val="clear" w:color="auto" w:fill="auto"/>
            <w:noWrap/>
            <w:vAlign w:val="bottom"/>
            <w:hideMark/>
          </w:tcPr>
          <w:p w14:paraId="2074FE5F" w14:textId="77777777" w:rsidR="00591E10" w:rsidRPr="00591E10" w:rsidRDefault="00591E10" w:rsidP="00591E10">
            <w:pPr>
              <w:jc w:val="right"/>
              <w:rPr>
                <w:rFonts w:asciiTheme="majorHAnsi" w:hAnsiTheme="majorHAnsi" w:cstheme="majorHAnsi"/>
                <w:b/>
                <w:bCs/>
                <w:sz w:val="16"/>
                <w:szCs w:val="16"/>
              </w:rPr>
            </w:pPr>
            <w:r w:rsidRPr="00591E10">
              <w:rPr>
                <w:rFonts w:asciiTheme="majorHAnsi" w:hAnsiTheme="majorHAnsi" w:cstheme="majorHAnsi"/>
                <w:b/>
                <w:bCs/>
                <w:sz w:val="16"/>
                <w:szCs w:val="16"/>
              </w:rPr>
              <w:t xml:space="preserve">               (80.709.895)</w:t>
            </w:r>
          </w:p>
        </w:tc>
        <w:tc>
          <w:tcPr>
            <w:tcW w:w="368" w:type="pct"/>
            <w:gridSpan w:val="2"/>
            <w:tcBorders>
              <w:top w:val="nil"/>
              <w:left w:val="nil"/>
              <w:bottom w:val="nil"/>
              <w:right w:val="nil"/>
            </w:tcBorders>
            <w:shd w:val="clear" w:color="auto" w:fill="auto"/>
            <w:noWrap/>
            <w:vAlign w:val="bottom"/>
            <w:hideMark/>
          </w:tcPr>
          <w:p w14:paraId="434F4AD1" w14:textId="77777777" w:rsidR="00591E10" w:rsidRPr="00591E10" w:rsidRDefault="00591E10" w:rsidP="00C20033">
            <w:pPr>
              <w:jc w:val="center"/>
              <w:rPr>
                <w:rFonts w:asciiTheme="majorHAnsi" w:hAnsiTheme="majorHAnsi" w:cstheme="majorHAnsi"/>
                <w:b/>
                <w:bCs/>
                <w:sz w:val="16"/>
                <w:szCs w:val="16"/>
              </w:rPr>
            </w:pPr>
          </w:p>
        </w:tc>
      </w:tr>
      <w:tr w:rsidR="00591E10" w:rsidRPr="00591E10" w14:paraId="788C0C9C" w14:textId="77777777" w:rsidTr="00591E10">
        <w:trPr>
          <w:trHeight w:hRule="exact" w:val="227"/>
        </w:trPr>
        <w:tc>
          <w:tcPr>
            <w:tcW w:w="1679" w:type="pct"/>
            <w:tcBorders>
              <w:top w:val="nil"/>
              <w:left w:val="nil"/>
              <w:bottom w:val="nil"/>
              <w:right w:val="nil"/>
            </w:tcBorders>
            <w:shd w:val="clear" w:color="auto" w:fill="auto"/>
            <w:noWrap/>
            <w:vAlign w:val="bottom"/>
            <w:hideMark/>
          </w:tcPr>
          <w:p w14:paraId="231BB720" w14:textId="77777777" w:rsidR="00591E10" w:rsidRPr="00591E10" w:rsidRDefault="00591E10">
            <w:pPr>
              <w:rPr>
                <w:rFonts w:asciiTheme="majorHAnsi" w:hAnsiTheme="majorHAnsi" w:cstheme="majorHAnsi"/>
                <w:sz w:val="16"/>
                <w:szCs w:val="16"/>
              </w:rPr>
            </w:pPr>
            <w:r w:rsidRPr="00591E10">
              <w:rPr>
                <w:rFonts w:asciiTheme="majorHAnsi" w:hAnsiTheme="majorHAnsi" w:cstheme="majorHAnsi"/>
                <w:sz w:val="16"/>
                <w:szCs w:val="16"/>
              </w:rPr>
              <w:t xml:space="preserve">        Pessoal</w:t>
            </w:r>
          </w:p>
        </w:tc>
        <w:tc>
          <w:tcPr>
            <w:tcW w:w="738" w:type="pct"/>
            <w:tcBorders>
              <w:top w:val="nil"/>
              <w:left w:val="nil"/>
              <w:bottom w:val="nil"/>
              <w:right w:val="nil"/>
            </w:tcBorders>
            <w:shd w:val="clear" w:color="auto" w:fill="auto"/>
            <w:noWrap/>
            <w:vAlign w:val="bottom"/>
            <w:hideMark/>
          </w:tcPr>
          <w:p w14:paraId="794D09E8" w14:textId="77777777" w:rsidR="00591E10" w:rsidRPr="00591E10" w:rsidRDefault="00591E10" w:rsidP="00591E10">
            <w:pPr>
              <w:jc w:val="right"/>
              <w:rPr>
                <w:rFonts w:asciiTheme="majorHAnsi" w:hAnsiTheme="majorHAnsi" w:cstheme="majorHAnsi"/>
                <w:sz w:val="16"/>
                <w:szCs w:val="16"/>
              </w:rPr>
            </w:pPr>
            <w:r w:rsidRPr="00591E10">
              <w:rPr>
                <w:rFonts w:asciiTheme="majorHAnsi" w:hAnsiTheme="majorHAnsi" w:cstheme="majorHAnsi"/>
                <w:sz w:val="16"/>
                <w:szCs w:val="16"/>
              </w:rPr>
              <w:t xml:space="preserve">            (34.392.563)</w:t>
            </w:r>
          </w:p>
        </w:tc>
        <w:tc>
          <w:tcPr>
            <w:tcW w:w="740" w:type="pct"/>
            <w:tcBorders>
              <w:top w:val="nil"/>
              <w:left w:val="nil"/>
              <w:bottom w:val="nil"/>
              <w:right w:val="nil"/>
            </w:tcBorders>
            <w:shd w:val="clear" w:color="auto" w:fill="auto"/>
            <w:noWrap/>
            <w:vAlign w:val="bottom"/>
            <w:hideMark/>
          </w:tcPr>
          <w:p w14:paraId="1B820DD5" w14:textId="77777777" w:rsidR="00591E10" w:rsidRPr="00591E10" w:rsidRDefault="00591E10" w:rsidP="00591E10">
            <w:pPr>
              <w:jc w:val="right"/>
              <w:rPr>
                <w:rFonts w:asciiTheme="majorHAnsi" w:hAnsiTheme="majorHAnsi" w:cstheme="majorHAnsi"/>
                <w:sz w:val="16"/>
                <w:szCs w:val="16"/>
              </w:rPr>
            </w:pPr>
            <w:r w:rsidRPr="00591E10">
              <w:rPr>
                <w:rFonts w:asciiTheme="majorHAnsi" w:hAnsiTheme="majorHAnsi" w:cstheme="majorHAnsi"/>
                <w:sz w:val="16"/>
                <w:szCs w:val="16"/>
              </w:rPr>
              <w:t xml:space="preserve">            (61.878.370)</w:t>
            </w:r>
          </w:p>
        </w:tc>
        <w:tc>
          <w:tcPr>
            <w:tcW w:w="738" w:type="pct"/>
            <w:tcBorders>
              <w:top w:val="nil"/>
              <w:left w:val="nil"/>
              <w:bottom w:val="nil"/>
              <w:right w:val="nil"/>
            </w:tcBorders>
            <w:shd w:val="clear" w:color="auto" w:fill="auto"/>
            <w:noWrap/>
            <w:vAlign w:val="bottom"/>
            <w:hideMark/>
          </w:tcPr>
          <w:p w14:paraId="6759644A" w14:textId="77777777" w:rsidR="00591E10" w:rsidRPr="00591E10" w:rsidRDefault="00591E10" w:rsidP="00591E10">
            <w:pPr>
              <w:jc w:val="right"/>
              <w:rPr>
                <w:rFonts w:asciiTheme="majorHAnsi" w:hAnsiTheme="majorHAnsi" w:cstheme="majorHAnsi"/>
                <w:sz w:val="16"/>
                <w:szCs w:val="16"/>
              </w:rPr>
            </w:pPr>
            <w:r w:rsidRPr="00591E10">
              <w:rPr>
                <w:rFonts w:asciiTheme="majorHAnsi" w:hAnsiTheme="majorHAnsi" w:cstheme="majorHAnsi"/>
                <w:sz w:val="16"/>
                <w:szCs w:val="16"/>
              </w:rPr>
              <w:t xml:space="preserve">            (29.243.950)</w:t>
            </w:r>
          </w:p>
        </w:tc>
        <w:tc>
          <w:tcPr>
            <w:tcW w:w="738" w:type="pct"/>
            <w:tcBorders>
              <w:top w:val="nil"/>
              <w:left w:val="nil"/>
              <w:bottom w:val="nil"/>
              <w:right w:val="nil"/>
            </w:tcBorders>
            <w:shd w:val="clear" w:color="auto" w:fill="auto"/>
            <w:noWrap/>
            <w:vAlign w:val="bottom"/>
            <w:hideMark/>
          </w:tcPr>
          <w:p w14:paraId="6B6968C3" w14:textId="77777777" w:rsidR="00591E10" w:rsidRPr="00591E10" w:rsidRDefault="00591E10" w:rsidP="00591E10">
            <w:pPr>
              <w:jc w:val="right"/>
              <w:rPr>
                <w:rFonts w:asciiTheme="majorHAnsi" w:hAnsiTheme="majorHAnsi" w:cstheme="majorHAnsi"/>
                <w:sz w:val="16"/>
                <w:szCs w:val="16"/>
              </w:rPr>
            </w:pPr>
            <w:r w:rsidRPr="00591E10">
              <w:rPr>
                <w:rFonts w:asciiTheme="majorHAnsi" w:hAnsiTheme="majorHAnsi" w:cstheme="majorHAnsi"/>
                <w:sz w:val="16"/>
                <w:szCs w:val="16"/>
              </w:rPr>
              <w:t xml:space="preserve">               (58.062.048)</w:t>
            </w:r>
          </w:p>
        </w:tc>
        <w:tc>
          <w:tcPr>
            <w:tcW w:w="368" w:type="pct"/>
            <w:gridSpan w:val="2"/>
            <w:tcBorders>
              <w:top w:val="nil"/>
              <w:left w:val="nil"/>
              <w:bottom w:val="nil"/>
              <w:right w:val="nil"/>
            </w:tcBorders>
            <w:shd w:val="clear" w:color="auto" w:fill="auto"/>
            <w:noWrap/>
            <w:vAlign w:val="bottom"/>
            <w:hideMark/>
          </w:tcPr>
          <w:p w14:paraId="45E4E0AC" w14:textId="77777777" w:rsidR="00591E10" w:rsidRPr="00591E10" w:rsidRDefault="00591E10" w:rsidP="00C20033">
            <w:pPr>
              <w:jc w:val="center"/>
              <w:rPr>
                <w:rFonts w:asciiTheme="majorHAnsi" w:hAnsiTheme="majorHAnsi" w:cstheme="majorHAnsi"/>
                <w:sz w:val="16"/>
                <w:szCs w:val="16"/>
              </w:rPr>
            </w:pPr>
            <w:r w:rsidRPr="00591E10">
              <w:rPr>
                <w:rFonts w:asciiTheme="majorHAnsi" w:hAnsiTheme="majorHAnsi" w:cstheme="majorHAnsi"/>
                <w:sz w:val="16"/>
                <w:szCs w:val="16"/>
              </w:rPr>
              <w:t>(18a)</w:t>
            </w:r>
          </w:p>
        </w:tc>
      </w:tr>
      <w:tr w:rsidR="00591E10" w:rsidRPr="00591E10" w14:paraId="0CDD1E7F" w14:textId="77777777" w:rsidTr="00591E10">
        <w:trPr>
          <w:trHeight w:hRule="exact" w:val="227"/>
        </w:trPr>
        <w:tc>
          <w:tcPr>
            <w:tcW w:w="1679" w:type="pct"/>
            <w:tcBorders>
              <w:top w:val="nil"/>
              <w:left w:val="nil"/>
              <w:bottom w:val="nil"/>
              <w:right w:val="nil"/>
            </w:tcBorders>
            <w:shd w:val="clear" w:color="auto" w:fill="auto"/>
            <w:noWrap/>
            <w:vAlign w:val="bottom"/>
            <w:hideMark/>
          </w:tcPr>
          <w:p w14:paraId="2FCCAC9E" w14:textId="77777777" w:rsidR="00591E10" w:rsidRPr="00591E10" w:rsidRDefault="00591E10">
            <w:pPr>
              <w:rPr>
                <w:rFonts w:asciiTheme="majorHAnsi" w:hAnsiTheme="majorHAnsi" w:cstheme="majorHAnsi"/>
                <w:sz w:val="16"/>
                <w:szCs w:val="16"/>
              </w:rPr>
            </w:pPr>
            <w:r w:rsidRPr="00591E10">
              <w:rPr>
                <w:rFonts w:asciiTheme="majorHAnsi" w:hAnsiTheme="majorHAnsi" w:cstheme="majorHAnsi"/>
                <w:sz w:val="16"/>
                <w:szCs w:val="16"/>
              </w:rPr>
              <w:t xml:space="preserve">        Remuneração dos Administradores</w:t>
            </w:r>
          </w:p>
        </w:tc>
        <w:tc>
          <w:tcPr>
            <w:tcW w:w="738" w:type="pct"/>
            <w:tcBorders>
              <w:top w:val="nil"/>
              <w:left w:val="nil"/>
              <w:bottom w:val="nil"/>
              <w:right w:val="nil"/>
            </w:tcBorders>
            <w:shd w:val="clear" w:color="auto" w:fill="auto"/>
            <w:noWrap/>
            <w:vAlign w:val="bottom"/>
            <w:hideMark/>
          </w:tcPr>
          <w:p w14:paraId="5A06EB42" w14:textId="77777777" w:rsidR="00591E10" w:rsidRPr="00591E10" w:rsidRDefault="00591E10" w:rsidP="00591E10">
            <w:pPr>
              <w:jc w:val="right"/>
              <w:rPr>
                <w:rFonts w:asciiTheme="majorHAnsi" w:hAnsiTheme="majorHAnsi" w:cstheme="majorHAnsi"/>
                <w:sz w:val="16"/>
                <w:szCs w:val="16"/>
              </w:rPr>
            </w:pPr>
            <w:r w:rsidRPr="00591E10">
              <w:rPr>
                <w:rFonts w:asciiTheme="majorHAnsi" w:hAnsiTheme="majorHAnsi" w:cstheme="majorHAnsi"/>
                <w:sz w:val="16"/>
                <w:szCs w:val="16"/>
              </w:rPr>
              <w:t xml:space="preserve">                  (383.185)</w:t>
            </w:r>
          </w:p>
        </w:tc>
        <w:tc>
          <w:tcPr>
            <w:tcW w:w="740" w:type="pct"/>
            <w:tcBorders>
              <w:top w:val="nil"/>
              <w:left w:val="nil"/>
              <w:bottom w:val="nil"/>
              <w:right w:val="nil"/>
            </w:tcBorders>
            <w:shd w:val="clear" w:color="auto" w:fill="auto"/>
            <w:noWrap/>
            <w:vAlign w:val="bottom"/>
            <w:hideMark/>
          </w:tcPr>
          <w:p w14:paraId="567C3637" w14:textId="77777777" w:rsidR="00591E10" w:rsidRPr="00591E10" w:rsidRDefault="00591E10" w:rsidP="00591E10">
            <w:pPr>
              <w:jc w:val="right"/>
              <w:rPr>
                <w:rFonts w:asciiTheme="majorHAnsi" w:hAnsiTheme="majorHAnsi" w:cstheme="majorHAnsi"/>
                <w:sz w:val="16"/>
                <w:szCs w:val="16"/>
              </w:rPr>
            </w:pPr>
            <w:r w:rsidRPr="00591E10">
              <w:rPr>
                <w:rFonts w:asciiTheme="majorHAnsi" w:hAnsiTheme="majorHAnsi" w:cstheme="majorHAnsi"/>
                <w:sz w:val="16"/>
                <w:szCs w:val="16"/>
              </w:rPr>
              <w:t xml:space="preserve">                  (774.190)</w:t>
            </w:r>
          </w:p>
        </w:tc>
        <w:tc>
          <w:tcPr>
            <w:tcW w:w="738" w:type="pct"/>
            <w:tcBorders>
              <w:top w:val="nil"/>
              <w:left w:val="nil"/>
              <w:bottom w:val="nil"/>
              <w:right w:val="nil"/>
            </w:tcBorders>
            <w:shd w:val="clear" w:color="auto" w:fill="auto"/>
            <w:noWrap/>
            <w:vAlign w:val="bottom"/>
            <w:hideMark/>
          </w:tcPr>
          <w:p w14:paraId="7638C3C1" w14:textId="77777777" w:rsidR="00591E10" w:rsidRPr="00591E10" w:rsidRDefault="00591E10" w:rsidP="00591E10">
            <w:pPr>
              <w:jc w:val="right"/>
              <w:rPr>
                <w:rFonts w:asciiTheme="majorHAnsi" w:hAnsiTheme="majorHAnsi" w:cstheme="majorHAnsi"/>
                <w:sz w:val="16"/>
                <w:szCs w:val="16"/>
              </w:rPr>
            </w:pPr>
            <w:r w:rsidRPr="00591E10">
              <w:rPr>
                <w:rFonts w:asciiTheme="majorHAnsi" w:hAnsiTheme="majorHAnsi" w:cstheme="majorHAnsi"/>
                <w:sz w:val="16"/>
                <w:szCs w:val="16"/>
              </w:rPr>
              <w:t xml:space="preserve">                  (404.038)</w:t>
            </w:r>
          </w:p>
        </w:tc>
        <w:tc>
          <w:tcPr>
            <w:tcW w:w="738" w:type="pct"/>
            <w:tcBorders>
              <w:top w:val="nil"/>
              <w:left w:val="nil"/>
              <w:bottom w:val="nil"/>
              <w:right w:val="nil"/>
            </w:tcBorders>
            <w:shd w:val="clear" w:color="auto" w:fill="auto"/>
            <w:noWrap/>
            <w:vAlign w:val="bottom"/>
            <w:hideMark/>
          </w:tcPr>
          <w:p w14:paraId="7ABAB2E7" w14:textId="77777777" w:rsidR="00591E10" w:rsidRPr="00591E10" w:rsidRDefault="00591E10" w:rsidP="00591E10">
            <w:pPr>
              <w:jc w:val="right"/>
              <w:rPr>
                <w:rFonts w:asciiTheme="majorHAnsi" w:hAnsiTheme="majorHAnsi" w:cstheme="majorHAnsi"/>
                <w:sz w:val="16"/>
                <w:szCs w:val="16"/>
              </w:rPr>
            </w:pPr>
            <w:r w:rsidRPr="00591E10">
              <w:rPr>
                <w:rFonts w:asciiTheme="majorHAnsi" w:hAnsiTheme="majorHAnsi" w:cstheme="majorHAnsi"/>
                <w:sz w:val="16"/>
                <w:szCs w:val="16"/>
              </w:rPr>
              <w:t xml:space="preserve">                    (811.318)</w:t>
            </w:r>
          </w:p>
        </w:tc>
        <w:tc>
          <w:tcPr>
            <w:tcW w:w="368" w:type="pct"/>
            <w:gridSpan w:val="2"/>
            <w:tcBorders>
              <w:top w:val="nil"/>
              <w:left w:val="nil"/>
              <w:bottom w:val="nil"/>
              <w:right w:val="nil"/>
            </w:tcBorders>
            <w:shd w:val="clear" w:color="auto" w:fill="auto"/>
            <w:noWrap/>
            <w:vAlign w:val="bottom"/>
            <w:hideMark/>
          </w:tcPr>
          <w:p w14:paraId="676E486B" w14:textId="77777777" w:rsidR="00591E10" w:rsidRPr="00591E10" w:rsidRDefault="00591E10" w:rsidP="00C20033">
            <w:pPr>
              <w:jc w:val="center"/>
              <w:rPr>
                <w:rFonts w:asciiTheme="majorHAnsi" w:hAnsiTheme="majorHAnsi" w:cstheme="majorHAnsi"/>
                <w:sz w:val="16"/>
                <w:szCs w:val="16"/>
              </w:rPr>
            </w:pPr>
          </w:p>
        </w:tc>
      </w:tr>
      <w:tr w:rsidR="00591E10" w:rsidRPr="00591E10" w14:paraId="078A8C0A" w14:textId="77777777" w:rsidTr="00591E10">
        <w:trPr>
          <w:trHeight w:hRule="exact" w:val="227"/>
        </w:trPr>
        <w:tc>
          <w:tcPr>
            <w:tcW w:w="1679" w:type="pct"/>
            <w:tcBorders>
              <w:top w:val="nil"/>
              <w:left w:val="nil"/>
              <w:bottom w:val="nil"/>
              <w:right w:val="nil"/>
            </w:tcBorders>
            <w:shd w:val="clear" w:color="auto" w:fill="auto"/>
            <w:noWrap/>
            <w:vAlign w:val="bottom"/>
            <w:hideMark/>
          </w:tcPr>
          <w:p w14:paraId="19E797A6" w14:textId="77777777" w:rsidR="00591E10" w:rsidRPr="00591E10" w:rsidRDefault="00591E10">
            <w:pPr>
              <w:rPr>
                <w:rFonts w:asciiTheme="majorHAnsi" w:hAnsiTheme="majorHAnsi" w:cstheme="majorHAnsi"/>
                <w:sz w:val="16"/>
                <w:szCs w:val="16"/>
              </w:rPr>
            </w:pPr>
            <w:r w:rsidRPr="00591E10">
              <w:rPr>
                <w:rFonts w:asciiTheme="majorHAnsi" w:hAnsiTheme="majorHAnsi" w:cstheme="majorHAnsi"/>
                <w:sz w:val="16"/>
                <w:szCs w:val="16"/>
              </w:rPr>
              <w:t xml:space="preserve">        Depreciação e Amortização</w:t>
            </w:r>
          </w:p>
        </w:tc>
        <w:tc>
          <w:tcPr>
            <w:tcW w:w="738" w:type="pct"/>
            <w:tcBorders>
              <w:top w:val="nil"/>
              <w:left w:val="nil"/>
              <w:bottom w:val="nil"/>
              <w:right w:val="nil"/>
            </w:tcBorders>
            <w:shd w:val="clear" w:color="auto" w:fill="auto"/>
            <w:noWrap/>
            <w:vAlign w:val="bottom"/>
            <w:hideMark/>
          </w:tcPr>
          <w:p w14:paraId="64B186E8" w14:textId="77777777" w:rsidR="00591E10" w:rsidRPr="00591E10" w:rsidRDefault="00591E10" w:rsidP="00591E10">
            <w:pPr>
              <w:jc w:val="right"/>
              <w:rPr>
                <w:rFonts w:asciiTheme="majorHAnsi" w:hAnsiTheme="majorHAnsi" w:cstheme="majorHAnsi"/>
                <w:sz w:val="16"/>
                <w:szCs w:val="16"/>
              </w:rPr>
            </w:pPr>
            <w:r w:rsidRPr="00591E10">
              <w:rPr>
                <w:rFonts w:asciiTheme="majorHAnsi" w:hAnsiTheme="majorHAnsi" w:cstheme="majorHAnsi"/>
                <w:sz w:val="16"/>
                <w:szCs w:val="16"/>
              </w:rPr>
              <w:t xml:space="preserve">               (1.855.813)</w:t>
            </w:r>
          </w:p>
        </w:tc>
        <w:tc>
          <w:tcPr>
            <w:tcW w:w="740" w:type="pct"/>
            <w:tcBorders>
              <w:top w:val="nil"/>
              <w:left w:val="nil"/>
              <w:bottom w:val="nil"/>
              <w:right w:val="nil"/>
            </w:tcBorders>
            <w:shd w:val="clear" w:color="auto" w:fill="auto"/>
            <w:noWrap/>
            <w:vAlign w:val="bottom"/>
            <w:hideMark/>
          </w:tcPr>
          <w:p w14:paraId="099156B0" w14:textId="77777777" w:rsidR="00591E10" w:rsidRPr="00591E10" w:rsidRDefault="00591E10" w:rsidP="00591E10">
            <w:pPr>
              <w:jc w:val="right"/>
              <w:rPr>
                <w:rFonts w:asciiTheme="majorHAnsi" w:hAnsiTheme="majorHAnsi" w:cstheme="majorHAnsi"/>
                <w:sz w:val="16"/>
                <w:szCs w:val="16"/>
              </w:rPr>
            </w:pPr>
            <w:r w:rsidRPr="00591E10">
              <w:rPr>
                <w:rFonts w:asciiTheme="majorHAnsi" w:hAnsiTheme="majorHAnsi" w:cstheme="majorHAnsi"/>
                <w:sz w:val="16"/>
                <w:szCs w:val="16"/>
              </w:rPr>
              <w:t xml:space="preserve">               (4.003.488)</w:t>
            </w:r>
          </w:p>
        </w:tc>
        <w:tc>
          <w:tcPr>
            <w:tcW w:w="738" w:type="pct"/>
            <w:tcBorders>
              <w:top w:val="nil"/>
              <w:left w:val="nil"/>
              <w:bottom w:val="nil"/>
              <w:right w:val="nil"/>
            </w:tcBorders>
            <w:shd w:val="clear" w:color="auto" w:fill="auto"/>
            <w:noWrap/>
            <w:vAlign w:val="bottom"/>
            <w:hideMark/>
          </w:tcPr>
          <w:p w14:paraId="27B760B3" w14:textId="77777777" w:rsidR="00591E10" w:rsidRPr="00591E10" w:rsidRDefault="00591E10" w:rsidP="00591E10">
            <w:pPr>
              <w:jc w:val="right"/>
              <w:rPr>
                <w:rFonts w:asciiTheme="majorHAnsi" w:hAnsiTheme="majorHAnsi" w:cstheme="majorHAnsi"/>
                <w:sz w:val="16"/>
                <w:szCs w:val="16"/>
              </w:rPr>
            </w:pPr>
            <w:r w:rsidRPr="00591E10">
              <w:rPr>
                <w:rFonts w:asciiTheme="majorHAnsi" w:hAnsiTheme="majorHAnsi" w:cstheme="majorHAnsi"/>
                <w:sz w:val="16"/>
                <w:szCs w:val="16"/>
              </w:rPr>
              <w:t xml:space="preserve">               (2.441.205)</w:t>
            </w:r>
          </w:p>
        </w:tc>
        <w:tc>
          <w:tcPr>
            <w:tcW w:w="738" w:type="pct"/>
            <w:tcBorders>
              <w:top w:val="nil"/>
              <w:left w:val="nil"/>
              <w:bottom w:val="nil"/>
              <w:right w:val="nil"/>
            </w:tcBorders>
            <w:shd w:val="clear" w:color="auto" w:fill="auto"/>
            <w:noWrap/>
            <w:vAlign w:val="bottom"/>
            <w:hideMark/>
          </w:tcPr>
          <w:p w14:paraId="410586CC" w14:textId="77777777" w:rsidR="00591E10" w:rsidRPr="00591E10" w:rsidRDefault="00591E10" w:rsidP="00591E10">
            <w:pPr>
              <w:jc w:val="right"/>
              <w:rPr>
                <w:rFonts w:asciiTheme="majorHAnsi" w:hAnsiTheme="majorHAnsi" w:cstheme="majorHAnsi"/>
                <w:sz w:val="16"/>
                <w:szCs w:val="16"/>
              </w:rPr>
            </w:pPr>
            <w:r w:rsidRPr="00591E10">
              <w:rPr>
                <w:rFonts w:asciiTheme="majorHAnsi" w:hAnsiTheme="majorHAnsi" w:cstheme="majorHAnsi"/>
                <w:sz w:val="16"/>
                <w:szCs w:val="16"/>
              </w:rPr>
              <w:t xml:space="preserve">                 (5.585.451)</w:t>
            </w:r>
          </w:p>
        </w:tc>
        <w:tc>
          <w:tcPr>
            <w:tcW w:w="368" w:type="pct"/>
            <w:gridSpan w:val="2"/>
            <w:tcBorders>
              <w:top w:val="nil"/>
              <w:left w:val="nil"/>
              <w:bottom w:val="nil"/>
              <w:right w:val="nil"/>
            </w:tcBorders>
            <w:shd w:val="clear" w:color="auto" w:fill="auto"/>
            <w:noWrap/>
            <w:vAlign w:val="bottom"/>
            <w:hideMark/>
          </w:tcPr>
          <w:p w14:paraId="0C111CCD" w14:textId="77777777" w:rsidR="00591E10" w:rsidRPr="00591E10" w:rsidRDefault="00591E10" w:rsidP="00C20033">
            <w:pPr>
              <w:jc w:val="center"/>
              <w:rPr>
                <w:rFonts w:asciiTheme="majorHAnsi" w:hAnsiTheme="majorHAnsi" w:cstheme="majorHAnsi"/>
                <w:sz w:val="16"/>
                <w:szCs w:val="16"/>
              </w:rPr>
            </w:pPr>
          </w:p>
        </w:tc>
      </w:tr>
      <w:tr w:rsidR="00591E10" w:rsidRPr="00591E10" w14:paraId="02F63A92" w14:textId="77777777" w:rsidTr="00591E10">
        <w:trPr>
          <w:trHeight w:hRule="exact" w:val="227"/>
        </w:trPr>
        <w:tc>
          <w:tcPr>
            <w:tcW w:w="1679" w:type="pct"/>
            <w:tcBorders>
              <w:top w:val="nil"/>
              <w:left w:val="nil"/>
              <w:bottom w:val="nil"/>
              <w:right w:val="nil"/>
            </w:tcBorders>
            <w:shd w:val="clear" w:color="auto" w:fill="auto"/>
            <w:noWrap/>
            <w:vAlign w:val="bottom"/>
            <w:hideMark/>
          </w:tcPr>
          <w:p w14:paraId="692B0B83" w14:textId="77777777" w:rsidR="00591E10" w:rsidRPr="00591E10" w:rsidRDefault="00591E10">
            <w:pPr>
              <w:rPr>
                <w:rFonts w:asciiTheme="majorHAnsi" w:hAnsiTheme="majorHAnsi" w:cstheme="majorHAnsi"/>
                <w:sz w:val="16"/>
                <w:szCs w:val="16"/>
              </w:rPr>
            </w:pPr>
            <w:r w:rsidRPr="00591E10">
              <w:rPr>
                <w:rFonts w:asciiTheme="majorHAnsi" w:hAnsiTheme="majorHAnsi" w:cstheme="majorHAnsi"/>
                <w:sz w:val="16"/>
                <w:szCs w:val="16"/>
              </w:rPr>
              <w:t xml:space="preserve">        Gerais e Administrativas</w:t>
            </w:r>
          </w:p>
        </w:tc>
        <w:tc>
          <w:tcPr>
            <w:tcW w:w="738" w:type="pct"/>
            <w:tcBorders>
              <w:top w:val="nil"/>
              <w:left w:val="nil"/>
              <w:bottom w:val="nil"/>
              <w:right w:val="nil"/>
            </w:tcBorders>
            <w:shd w:val="clear" w:color="auto" w:fill="auto"/>
            <w:noWrap/>
            <w:vAlign w:val="bottom"/>
            <w:hideMark/>
          </w:tcPr>
          <w:p w14:paraId="33657D0D" w14:textId="77777777" w:rsidR="00591E10" w:rsidRPr="00591E10" w:rsidRDefault="00591E10" w:rsidP="00591E10">
            <w:pPr>
              <w:jc w:val="right"/>
              <w:rPr>
                <w:rFonts w:asciiTheme="majorHAnsi" w:hAnsiTheme="majorHAnsi" w:cstheme="majorHAnsi"/>
                <w:sz w:val="16"/>
                <w:szCs w:val="16"/>
              </w:rPr>
            </w:pPr>
            <w:r w:rsidRPr="00591E10">
              <w:rPr>
                <w:rFonts w:asciiTheme="majorHAnsi" w:hAnsiTheme="majorHAnsi" w:cstheme="majorHAnsi"/>
                <w:sz w:val="16"/>
                <w:szCs w:val="16"/>
              </w:rPr>
              <w:t xml:space="preserve">               (5.260.534)</w:t>
            </w:r>
          </w:p>
        </w:tc>
        <w:tc>
          <w:tcPr>
            <w:tcW w:w="740" w:type="pct"/>
            <w:tcBorders>
              <w:top w:val="nil"/>
              <w:left w:val="nil"/>
              <w:bottom w:val="nil"/>
              <w:right w:val="nil"/>
            </w:tcBorders>
            <w:shd w:val="clear" w:color="auto" w:fill="auto"/>
            <w:noWrap/>
            <w:vAlign w:val="bottom"/>
            <w:hideMark/>
          </w:tcPr>
          <w:p w14:paraId="577B3B1B" w14:textId="77777777" w:rsidR="00591E10" w:rsidRPr="00591E10" w:rsidRDefault="00591E10" w:rsidP="00591E10">
            <w:pPr>
              <w:jc w:val="right"/>
              <w:rPr>
                <w:rFonts w:asciiTheme="majorHAnsi" w:hAnsiTheme="majorHAnsi" w:cstheme="majorHAnsi"/>
                <w:sz w:val="16"/>
                <w:szCs w:val="16"/>
              </w:rPr>
            </w:pPr>
            <w:r w:rsidRPr="00591E10">
              <w:rPr>
                <w:rFonts w:asciiTheme="majorHAnsi" w:hAnsiTheme="majorHAnsi" w:cstheme="majorHAnsi"/>
                <w:sz w:val="16"/>
                <w:szCs w:val="16"/>
              </w:rPr>
              <w:t xml:space="preserve">            (12.359.948)</w:t>
            </w:r>
          </w:p>
        </w:tc>
        <w:tc>
          <w:tcPr>
            <w:tcW w:w="738" w:type="pct"/>
            <w:tcBorders>
              <w:top w:val="nil"/>
              <w:left w:val="nil"/>
              <w:bottom w:val="nil"/>
              <w:right w:val="nil"/>
            </w:tcBorders>
            <w:shd w:val="clear" w:color="auto" w:fill="auto"/>
            <w:noWrap/>
            <w:vAlign w:val="bottom"/>
            <w:hideMark/>
          </w:tcPr>
          <w:p w14:paraId="2D975D6A" w14:textId="77777777" w:rsidR="00591E10" w:rsidRPr="00591E10" w:rsidRDefault="00591E10" w:rsidP="00591E10">
            <w:pPr>
              <w:jc w:val="right"/>
              <w:rPr>
                <w:rFonts w:asciiTheme="majorHAnsi" w:hAnsiTheme="majorHAnsi" w:cstheme="majorHAnsi"/>
                <w:sz w:val="16"/>
                <w:szCs w:val="16"/>
              </w:rPr>
            </w:pPr>
            <w:r w:rsidRPr="00591E10">
              <w:rPr>
                <w:rFonts w:asciiTheme="majorHAnsi" w:hAnsiTheme="majorHAnsi" w:cstheme="majorHAnsi"/>
                <w:sz w:val="16"/>
                <w:szCs w:val="16"/>
              </w:rPr>
              <w:t xml:space="preserve">               (9.498.708)</w:t>
            </w:r>
          </w:p>
        </w:tc>
        <w:tc>
          <w:tcPr>
            <w:tcW w:w="738" w:type="pct"/>
            <w:tcBorders>
              <w:top w:val="nil"/>
              <w:left w:val="nil"/>
              <w:bottom w:val="nil"/>
              <w:right w:val="nil"/>
            </w:tcBorders>
            <w:shd w:val="clear" w:color="auto" w:fill="auto"/>
            <w:noWrap/>
            <w:vAlign w:val="bottom"/>
            <w:hideMark/>
          </w:tcPr>
          <w:p w14:paraId="22E786D9" w14:textId="77777777" w:rsidR="00591E10" w:rsidRPr="00591E10" w:rsidRDefault="00591E10" w:rsidP="00591E10">
            <w:pPr>
              <w:jc w:val="right"/>
              <w:rPr>
                <w:rFonts w:asciiTheme="majorHAnsi" w:hAnsiTheme="majorHAnsi" w:cstheme="majorHAnsi"/>
                <w:sz w:val="16"/>
                <w:szCs w:val="16"/>
              </w:rPr>
            </w:pPr>
            <w:r w:rsidRPr="00591E10">
              <w:rPr>
                <w:rFonts w:asciiTheme="majorHAnsi" w:hAnsiTheme="majorHAnsi" w:cstheme="majorHAnsi"/>
                <w:sz w:val="16"/>
                <w:szCs w:val="16"/>
              </w:rPr>
              <w:t xml:space="preserve">               (15.710.406)</w:t>
            </w:r>
          </w:p>
        </w:tc>
        <w:tc>
          <w:tcPr>
            <w:tcW w:w="368" w:type="pct"/>
            <w:gridSpan w:val="2"/>
            <w:tcBorders>
              <w:top w:val="nil"/>
              <w:left w:val="nil"/>
              <w:bottom w:val="nil"/>
              <w:right w:val="nil"/>
            </w:tcBorders>
            <w:shd w:val="clear" w:color="auto" w:fill="auto"/>
            <w:noWrap/>
            <w:vAlign w:val="bottom"/>
            <w:hideMark/>
          </w:tcPr>
          <w:p w14:paraId="272CF66B" w14:textId="77777777" w:rsidR="00591E10" w:rsidRPr="00591E10" w:rsidRDefault="00591E10" w:rsidP="00C20033">
            <w:pPr>
              <w:jc w:val="center"/>
              <w:rPr>
                <w:rFonts w:asciiTheme="majorHAnsi" w:hAnsiTheme="majorHAnsi" w:cstheme="majorHAnsi"/>
                <w:sz w:val="16"/>
                <w:szCs w:val="16"/>
              </w:rPr>
            </w:pPr>
            <w:r w:rsidRPr="00591E10">
              <w:rPr>
                <w:rFonts w:asciiTheme="majorHAnsi" w:hAnsiTheme="majorHAnsi" w:cstheme="majorHAnsi"/>
                <w:sz w:val="16"/>
                <w:szCs w:val="16"/>
              </w:rPr>
              <w:t>(18b)</w:t>
            </w:r>
          </w:p>
        </w:tc>
      </w:tr>
      <w:tr w:rsidR="00591E10" w:rsidRPr="00591E10" w14:paraId="0244D921" w14:textId="77777777" w:rsidTr="00591E10">
        <w:trPr>
          <w:trHeight w:hRule="exact" w:val="227"/>
        </w:trPr>
        <w:tc>
          <w:tcPr>
            <w:tcW w:w="1679" w:type="pct"/>
            <w:tcBorders>
              <w:top w:val="nil"/>
              <w:left w:val="nil"/>
              <w:bottom w:val="nil"/>
              <w:right w:val="nil"/>
            </w:tcBorders>
            <w:shd w:val="clear" w:color="auto" w:fill="auto"/>
            <w:noWrap/>
            <w:vAlign w:val="bottom"/>
            <w:hideMark/>
          </w:tcPr>
          <w:p w14:paraId="3B31A265" w14:textId="77777777" w:rsidR="00591E10" w:rsidRPr="00591E10" w:rsidRDefault="00591E10">
            <w:pPr>
              <w:rPr>
                <w:rFonts w:asciiTheme="majorHAnsi" w:hAnsiTheme="majorHAnsi" w:cstheme="majorHAnsi"/>
                <w:sz w:val="16"/>
                <w:szCs w:val="16"/>
              </w:rPr>
            </w:pPr>
            <w:r w:rsidRPr="00591E10">
              <w:rPr>
                <w:rFonts w:asciiTheme="majorHAnsi" w:hAnsiTheme="majorHAnsi" w:cstheme="majorHAnsi"/>
                <w:sz w:val="16"/>
                <w:szCs w:val="16"/>
              </w:rPr>
              <w:t xml:space="preserve">        Diárias, Passagens e Despesas de Locomoção</w:t>
            </w:r>
          </w:p>
        </w:tc>
        <w:tc>
          <w:tcPr>
            <w:tcW w:w="738" w:type="pct"/>
            <w:tcBorders>
              <w:top w:val="nil"/>
              <w:left w:val="nil"/>
              <w:bottom w:val="nil"/>
              <w:right w:val="nil"/>
            </w:tcBorders>
            <w:shd w:val="clear" w:color="auto" w:fill="auto"/>
            <w:noWrap/>
            <w:vAlign w:val="bottom"/>
            <w:hideMark/>
          </w:tcPr>
          <w:p w14:paraId="7A2FCEBD" w14:textId="77777777" w:rsidR="00591E10" w:rsidRPr="00591E10" w:rsidRDefault="00591E10" w:rsidP="00591E10">
            <w:pPr>
              <w:jc w:val="right"/>
              <w:rPr>
                <w:rFonts w:asciiTheme="majorHAnsi" w:hAnsiTheme="majorHAnsi" w:cstheme="majorHAnsi"/>
                <w:sz w:val="16"/>
                <w:szCs w:val="16"/>
              </w:rPr>
            </w:pPr>
            <w:r w:rsidRPr="00591E10">
              <w:rPr>
                <w:rFonts w:asciiTheme="majorHAnsi" w:hAnsiTheme="majorHAnsi" w:cstheme="majorHAnsi"/>
                <w:sz w:val="16"/>
                <w:szCs w:val="16"/>
              </w:rPr>
              <w:t xml:space="preserve">                  (223.125)</w:t>
            </w:r>
          </w:p>
        </w:tc>
        <w:tc>
          <w:tcPr>
            <w:tcW w:w="740" w:type="pct"/>
            <w:tcBorders>
              <w:top w:val="nil"/>
              <w:left w:val="nil"/>
              <w:bottom w:val="nil"/>
              <w:right w:val="nil"/>
            </w:tcBorders>
            <w:shd w:val="clear" w:color="auto" w:fill="auto"/>
            <w:noWrap/>
            <w:vAlign w:val="bottom"/>
            <w:hideMark/>
          </w:tcPr>
          <w:p w14:paraId="171B1589" w14:textId="77777777" w:rsidR="00591E10" w:rsidRPr="00591E10" w:rsidRDefault="00591E10" w:rsidP="00591E10">
            <w:pPr>
              <w:jc w:val="right"/>
              <w:rPr>
                <w:rFonts w:asciiTheme="majorHAnsi" w:hAnsiTheme="majorHAnsi" w:cstheme="majorHAnsi"/>
                <w:sz w:val="16"/>
                <w:szCs w:val="16"/>
              </w:rPr>
            </w:pPr>
            <w:r w:rsidRPr="00591E10">
              <w:rPr>
                <w:rFonts w:asciiTheme="majorHAnsi" w:hAnsiTheme="majorHAnsi" w:cstheme="majorHAnsi"/>
                <w:sz w:val="16"/>
                <w:szCs w:val="16"/>
              </w:rPr>
              <w:t xml:space="preserve">                  (333.409)</w:t>
            </w:r>
          </w:p>
        </w:tc>
        <w:tc>
          <w:tcPr>
            <w:tcW w:w="738" w:type="pct"/>
            <w:tcBorders>
              <w:top w:val="nil"/>
              <w:left w:val="nil"/>
              <w:bottom w:val="nil"/>
              <w:right w:val="nil"/>
            </w:tcBorders>
            <w:shd w:val="clear" w:color="auto" w:fill="auto"/>
            <w:noWrap/>
            <w:vAlign w:val="bottom"/>
            <w:hideMark/>
          </w:tcPr>
          <w:p w14:paraId="0515D967" w14:textId="77777777" w:rsidR="00591E10" w:rsidRPr="00591E10" w:rsidRDefault="00591E10" w:rsidP="00591E10">
            <w:pPr>
              <w:jc w:val="right"/>
              <w:rPr>
                <w:rFonts w:asciiTheme="majorHAnsi" w:hAnsiTheme="majorHAnsi" w:cstheme="majorHAnsi"/>
                <w:sz w:val="16"/>
                <w:szCs w:val="16"/>
              </w:rPr>
            </w:pPr>
            <w:r w:rsidRPr="00591E10">
              <w:rPr>
                <w:rFonts w:asciiTheme="majorHAnsi" w:hAnsiTheme="majorHAnsi" w:cstheme="majorHAnsi"/>
                <w:sz w:val="16"/>
                <w:szCs w:val="16"/>
              </w:rPr>
              <w:t xml:space="preserve">                  (105.782)</w:t>
            </w:r>
          </w:p>
        </w:tc>
        <w:tc>
          <w:tcPr>
            <w:tcW w:w="738" w:type="pct"/>
            <w:tcBorders>
              <w:top w:val="nil"/>
              <w:left w:val="nil"/>
              <w:bottom w:val="nil"/>
              <w:right w:val="nil"/>
            </w:tcBorders>
            <w:shd w:val="clear" w:color="auto" w:fill="auto"/>
            <w:noWrap/>
            <w:vAlign w:val="bottom"/>
            <w:hideMark/>
          </w:tcPr>
          <w:p w14:paraId="3241F379" w14:textId="77777777" w:rsidR="00591E10" w:rsidRPr="00591E10" w:rsidRDefault="00591E10" w:rsidP="00591E10">
            <w:pPr>
              <w:jc w:val="right"/>
              <w:rPr>
                <w:rFonts w:asciiTheme="majorHAnsi" w:hAnsiTheme="majorHAnsi" w:cstheme="majorHAnsi"/>
                <w:sz w:val="16"/>
                <w:szCs w:val="16"/>
              </w:rPr>
            </w:pPr>
            <w:r w:rsidRPr="00591E10">
              <w:rPr>
                <w:rFonts w:asciiTheme="majorHAnsi" w:hAnsiTheme="majorHAnsi" w:cstheme="majorHAnsi"/>
                <w:sz w:val="16"/>
                <w:szCs w:val="16"/>
              </w:rPr>
              <w:t xml:space="preserve">                    (214.433)</w:t>
            </w:r>
          </w:p>
        </w:tc>
        <w:tc>
          <w:tcPr>
            <w:tcW w:w="368" w:type="pct"/>
            <w:gridSpan w:val="2"/>
            <w:tcBorders>
              <w:top w:val="nil"/>
              <w:left w:val="nil"/>
              <w:bottom w:val="nil"/>
              <w:right w:val="nil"/>
            </w:tcBorders>
            <w:shd w:val="clear" w:color="auto" w:fill="auto"/>
            <w:noWrap/>
            <w:vAlign w:val="bottom"/>
            <w:hideMark/>
          </w:tcPr>
          <w:p w14:paraId="2726457F" w14:textId="77777777" w:rsidR="00591E10" w:rsidRPr="00591E10" w:rsidRDefault="00591E10" w:rsidP="00C20033">
            <w:pPr>
              <w:jc w:val="center"/>
              <w:rPr>
                <w:rFonts w:asciiTheme="majorHAnsi" w:hAnsiTheme="majorHAnsi" w:cstheme="majorHAnsi"/>
                <w:sz w:val="16"/>
                <w:szCs w:val="16"/>
              </w:rPr>
            </w:pPr>
          </w:p>
        </w:tc>
      </w:tr>
      <w:tr w:rsidR="00591E10" w:rsidRPr="00591E10" w14:paraId="22557DBA" w14:textId="77777777" w:rsidTr="00591E10">
        <w:trPr>
          <w:trHeight w:hRule="exact" w:val="227"/>
        </w:trPr>
        <w:tc>
          <w:tcPr>
            <w:tcW w:w="1679" w:type="pct"/>
            <w:tcBorders>
              <w:top w:val="nil"/>
              <w:left w:val="nil"/>
              <w:bottom w:val="nil"/>
              <w:right w:val="nil"/>
            </w:tcBorders>
            <w:shd w:val="clear" w:color="auto" w:fill="auto"/>
            <w:noWrap/>
            <w:vAlign w:val="bottom"/>
            <w:hideMark/>
          </w:tcPr>
          <w:p w14:paraId="264A7F1D" w14:textId="77777777" w:rsidR="00591E10" w:rsidRPr="00591E10" w:rsidRDefault="00591E10">
            <w:pPr>
              <w:rPr>
                <w:rFonts w:asciiTheme="majorHAnsi" w:hAnsiTheme="majorHAnsi" w:cstheme="majorHAnsi"/>
                <w:sz w:val="16"/>
                <w:szCs w:val="16"/>
              </w:rPr>
            </w:pPr>
            <w:r w:rsidRPr="00591E10">
              <w:rPr>
                <w:rFonts w:asciiTheme="majorHAnsi" w:hAnsiTheme="majorHAnsi" w:cstheme="majorHAnsi"/>
                <w:sz w:val="16"/>
                <w:szCs w:val="16"/>
              </w:rPr>
              <w:t xml:space="preserve">        Transferência Voluntária </w:t>
            </w:r>
          </w:p>
        </w:tc>
        <w:tc>
          <w:tcPr>
            <w:tcW w:w="738" w:type="pct"/>
            <w:tcBorders>
              <w:top w:val="nil"/>
              <w:left w:val="nil"/>
              <w:bottom w:val="nil"/>
              <w:right w:val="nil"/>
            </w:tcBorders>
            <w:shd w:val="clear" w:color="auto" w:fill="auto"/>
            <w:noWrap/>
            <w:vAlign w:val="bottom"/>
            <w:hideMark/>
          </w:tcPr>
          <w:p w14:paraId="12FB30E4" w14:textId="77777777" w:rsidR="00591E10" w:rsidRPr="00591E10" w:rsidRDefault="00591E10" w:rsidP="00591E10">
            <w:pPr>
              <w:jc w:val="right"/>
              <w:rPr>
                <w:rFonts w:asciiTheme="majorHAnsi" w:hAnsiTheme="majorHAnsi" w:cstheme="majorHAnsi"/>
                <w:sz w:val="16"/>
                <w:szCs w:val="16"/>
              </w:rPr>
            </w:pPr>
            <w:r w:rsidRPr="00591E10">
              <w:rPr>
                <w:rFonts w:asciiTheme="majorHAnsi" w:hAnsiTheme="majorHAnsi" w:cstheme="majorHAnsi"/>
                <w:sz w:val="16"/>
                <w:szCs w:val="16"/>
              </w:rPr>
              <w:t xml:space="preserve">                  (896.946)</w:t>
            </w:r>
          </w:p>
        </w:tc>
        <w:tc>
          <w:tcPr>
            <w:tcW w:w="740" w:type="pct"/>
            <w:tcBorders>
              <w:top w:val="nil"/>
              <w:left w:val="nil"/>
              <w:bottom w:val="nil"/>
              <w:right w:val="nil"/>
            </w:tcBorders>
            <w:shd w:val="clear" w:color="auto" w:fill="auto"/>
            <w:noWrap/>
            <w:vAlign w:val="bottom"/>
            <w:hideMark/>
          </w:tcPr>
          <w:p w14:paraId="498F4B88" w14:textId="77777777" w:rsidR="00591E10" w:rsidRPr="00591E10" w:rsidRDefault="00591E10" w:rsidP="00591E10">
            <w:pPr>
              <w:jc w:val="right"/>
              <w:rPr>
                <w:rFonts w:asciiTheme="majorHAnsi" w:hAnsiTheme="majorHAnsi" w:cstheme="majorHAnsi"/>
                <w:sz w:val="16"/>
                <w:szCs w:val="16"/>
              </w:rPr>
            </w:pPr>
            <w:r w:rsidRPr="00591E10">
              <w:rPr>
                <w:rFonts w:asciiTheme="majorHAnsi" w:hAnsiTheme="majorHAnsi" w:cstheme="majorHAnsi"/>
                <w:sz w:val="16"/>
                <w:szCs w:val="16"/>
              </w:rPr>
              <w:t xml:space="preserve">                  (913.733)</w:t>
            </w:r>
          </w:p>
        </w:tc>
        <w:tc>
          <w:tcPr>
            <w:tcW w:w="738" w:type="pct"/>
            <w:tcBorders>
              <w:top w:val="nil"/>
              <w:left w:val="nil"/>
              <w:bottom w:val="nil"/>
              <w:right w:val="nil"/>
            </w:tcBorders>
            <w:shd w:val="clear" w:color="auto" w:fill="auto"/>
            <w:noWrap/>
            <w:vAlign w:val="bottom"/>
            <w:hideMark/>
          </w:tcPr>
          <w:p w14:paraId="19517CCC" w14:textId="77777777" w:rsidR="00591E10" w:rsidRPr="00591E10" w:rsidRDefault="00591E10" w:rsidP="00591E10">
            <w:pPr>
              <w:jc w:val="right"/>
              <w:rPr>
                <w:rFonts w:asciiTheme="majorHAnsi" w:hAnsiTheme="majorHAnsi" w:cstheme="majorHAnsi"/>
                <w:sz w:val="16"/>
                <w:szCs w:val="16"/>
              </w:rPr>
            </w:pPr>
            <w:r w:rsidRPr="00591E10">
              <w:rPr>
                <w:rFonts w:asciiTheme="majorHAnsi" w:hAnsiTheme="majorHAnsi" w:cstheme="majorHAnsi"/>
                <w:sz w:val="16"/>
                <w:szCs w:val="16"/>
              </w:rPr>
              <w:t xml:space="preserve">                  (326.239)</w:t>
            </w:r>
          </w:p>
        </w:tc>
        <w:tc>
          <w:tcPr>
            <w:tcW w:w="738" w:type="pct"/>
            <w:tcBorders>
              <w:top w:val="nil"/>
              <w:left w:val="nil"/>
              <w:bottom w:val="nil"/>
              <w:right w:val="nil"/>
            </w:tcBorders>
            <w:shd w:val="clear" w:color="auto" w:fill="auto"/>
            <w:noWrap/>
            <w:vAlign w:val="bottom"/>
            <w:hideMark/>
          </w:tcPr>
          <w:p w14:paraId="662D5029" w14:textId="77777777" w:rsidR="00591E10" w:rsidRPr="00591E10" w:rsidRDefault="00591E10" w:rsidP="00591E10">
            <w:pPr>
              <w:jc w:val="right"/>
              <w:rPr>
                <w:rFonts w:asciiTheme="majorHAnsi" w:hAnsiTheme="majorHAnsi" w:cstheme="majorHAnsi"/>
                <w:sz w:val="16"/>
                <w:szCs w:val="16"/>
              </w:rPr>
            </w:pPr>
            <w:r w:rsidRPr="00591E10">
              <w:rPr>
                <w:rFonts w:asciiTheme="majorHAnsi" w:hAnsiTheme="majorHAnsi" w:cstheme="majorHAnsi"/>
                <w:sz w:val="16"/>
                <w:szCs w:val="16"/>
              </w:rPr>
              <w:t xml:space="preserve">                    (326.239)</w:t>
            </w:r>
          </w:p>
        </w:tc>
        <w:tc>
          <w:tcPr>
            <w:tcW w:w="368" w:type="pct"/>
            <w:gridSpan w:val="2"/>
            <w:tcBorders>
              <w:top w:val="nil"/>
              <w:left w:val="nil"/>
              <w:bottom w:val="nil"/>
              <w:right w:val="nil"/>
            </w:tcBorders>
            <w:shd w:val="clear" w:color="auto" w:fill="auto"/>
            <w:noWrap/>
            <w:vAlign w:val="bottom"/>
            <w:hideMark/>
          </w:tcPr>
          <w:p w14:paraId="73691B9E" w14:textId="77777777" w:rsidR="00591E10" w:rsidRPr="00591E10" w:rsidRDefault="00591E10" w:rsidP="00C20033">
            <w:pPr>
              <w:jc w:val="center"/>
              <w:rPr>
                <w:rFonts w:asciiTheme="majorHAnsi" w:hAnsiTheme="majorHAnsi" w:cstheme="majorHAnsi"/>
                <w:sz w:val="16"/>
                <w:szCs w:val="16"/>
              </w:rPr>
            </w:pPr>
          </w:p>
        </w:tc>
      </w:tr>
      <w:tr w:rsidR="00591E10" w:rsidRPr="00591E10" w14:paraId="5F7B8E31" w14:textId="77777777" w:rsidTr="00591E10">
        <w:trPr>
          <w:trHeight w:hRule="exact" w:val="227"/>
        </w:trPr>
        <w:tc>
          <w:tcPr>
            <w:tcW w:w="1679" w:type="pct"/>
            <w:tcBorders>
              <w:top w:val="nil"/>
              <w:left w:val="nil"/>
              <w:bottom w:val="nil"/>
              <w:right w:val="nil"/>
            </w:tcBorders>
            <w:shd w:val="clear" w:color="auto" w:fill="auto"/>
            <w:noWrap/>
            <w:vAlign w:val="bottom"/>
            <w:hideMark/>
          </w:tcPr>
          <w:p w14:paraId="44C50FD4" w14:textId="77777777" w:rsidR="00591E10" w:rsidRPr="00591E10" w:rsidRDefault="00591E10">
            <w:pPr>
              <w:jc w:val="right"/>
              <w:rPr>
                <w:rFonts w:asciiTheme="majorHAnsi" w:hAnsiTheme="majorHAnsi" w:cstheme="majorHAnsi"/>
                <w:sz w:val="16"/>
                <w:szCs w:val="16"/>
              </w:rPr>
            </w:pPr>
          </w:p>
        </w:tc>
        <w:tc>
          <w:tcPr>
            <w:tcW w:w="738" w:type="pct"/>
            <w:tcBorders>
              <w:top w:val="nil"/>
              <w:left w:val="nil"/>
              <w:bottom w:val="nil"/>
              <w:right w:val="nil"/>
            </w:tcBorders>
            <w:shd w:val="clear" w:color="auto" w:fill="auto"/>
            <w:noWrap/>
            <w:vAlign w:val="bottom"/>
            <w:hideMark/>
          </w:tcPr>
          <w:p w14:paraId="56FD07E3" w14:textId="77777777" w:rsidR="00591E10" w:rsidRPr="00591E10" w:rsidRDefault="00591E10" w:rsidP="00591E10">
            <w:pPr>
              <w:jc w:val="right"/>
              <w:rPr>
                <w:rFonts w:asciiTheme="majorHAnsi" w:hAnsiTheme="majorHAnsi" w:cstheme="majorHAnsi"/>
                <w:sz w:val="16"/>
                <w:szCs w:val="16"/>
              </w:rPr>
            </w:pPr>
          </w:p>
        </w:tc>
        <w:tc>
          <w:tcPr>
            <w:tcW w:w="740" w:type="pct"/>
            <w:tcBorders>
              <w:top w:val="nil"/>
              <w:left w:val="nil"/>
              <w:bottom w:val="nil"/>
              <w:right w:val="nil"/>
            </w:tcBorders>
            <w:shd w:val="clear" w:color="auto" w:fill="auto"/>
            <w:noWrap/>
            <w:vAlign w:val="bottom"/>
            <w:hideMark/>
          </w:tcPr>
          <w:p w14:paraId="4424816E" w14:textId="77777777" w:rsidR="00591E10" w:rsidRPr="00591E10" w:rsidRDefault="00591E10" w:rsidP="00591E10">
            <w:pPr>
              <w:jc w:val="right"/>
              <w:rPr>
                <w:rFonts w:asciiTheme="majorHAnsi" w:hAnsiTheme="majorHAnsi" w:cstheme="majorHAnsi"/>
                <w:sz w:val="16"/>
                <w:szCs w:val="16"/>
              </w:rPr>
            </w:pPr>
          </w:p>
        </w:tc>
        <w:tc>
          <w:tcPr>
            <w:tcW w:w="738" w:type="pct"/>
            <w:tcBorders>
              <w:top w:val="nil"/>
              <w:left w:val="nil"/>
              <w:bottom w:val="nil"/>
              <w:right w:val="nil"/>
            </w:tcBorders>
            <w:shd w:val="clear" w:color="auto" w:fill="auto"/>
            <w:noWrap/>
            <w:vAlign w:val="bottom"/>
            <w:hideMark/>
          </w:tcPr>
          <w:p w14:paraId="47863D5D" w14:textId="77777777" w:rsidR="00591E10" w:rsidRPr="00591E10" w:rsidRDefault="00591E10" w:rsidP="00591E10">
            <w:pPr>
              <w:jc w:val="right"/>
              <w:rPr>
                <w:rFonts w:asciiTheme="majorHAnsi" w:hAnsiTheme="majorHAnsi" w:cstheme="majorHAnsi"/>
                <w:sz w:val="16"/>
                <w:szCs w:val="16"/>
              </w:rPr>
            </w:pPr>
          </w:p>
        </w:tc>
        <w:tc>
          <w:tcPr>
            <w:tcW w:w="738" w:type="pct"/>
            <w:tcBorders>
              <w:top w:val="nil"/>
              <w:left w:val="nil"/>
              <w:bottom w:val="nil"/>
              <w:right w:val="nil"/>
            </w:tcBorders>
            <w:shd w:val="clear" w:color="auto" w:fill="auto"/>
            <w:noWrap/>
            <w:vAlign w:val="center"/>
            <w:hideMark/>
          </w:tcPr>
          <w:p w14:paraId="03ED01EA" w14:textId="77777777" w:rsidR="00591E10" w:rsidRPr="00591E10" w:rsidRDefault="00591E10" w:rsidP="00591E10">
            <w:pPr>
              <w:jc w:val="right"/>
              <w:rPr>
                <w:rFonts w:asciiTheme="majorHAnsi" w:hAnsiTheme="majorHAnsi" w:cstheme="majorHAnsi"/>
                <w:sz w:val="16"/>
                <w:szCs w:val="16"/>
              </w:rPr>
            </w:pPr>
          </w:p>
        </w:tc>
        <w:tc>
          <w:tcPr>
            <w:tcW w:w="368" w:type="pct"/>
            <w:gridSpan w:val="2"/>
            <w:tcBorders>
              <w:top w:val="nil"/>
              <w:left w:val="nil"/>
              <w:bottom w:val="nil"/>
              <w:right w:val="nil"/>
            </w:tcBorders>
            <w:shd w:val="clear" w:color="auto" w:fill="auto"/>
            <w:noWrap/>
            <w:vAlign w:val="bottom"/>
            <w:hideMark/>
          </w:tcPr>
          <w:p w14:paraId="366F1B6A" w14:textId="77777777" w:rsidR="00591E10" w:rsidRPr="00591E10" w:rsidRDefault="00591E10" w:rsidP="00C20033">
            <w:pPr>
              <w:jc w:val="center"/>
              <w:rPr>
                <w:rFonts w:asciiTheme="majorHAnsi" w:hAnsiTheme="majorHAnsi" w:cstheme="majorHAnsi"/>
                <w:sz w:val="16"/>
                <w:szCs w:val="16"/>
              </w:rPr>
            </w:pPr>
          </w:p>
        </w:tc>
      </w:tr>
      <w:tr w:rsidR="00591E10" w:rsidRPr="00591E10" w14:paraId="60E6BDC8" w14:textId="77777777" w:rsidTr="00591E10">
        <w:trPr>
          <w:trHeight w:hRule="exact" w:val="227"/>
        </w:trPr>
        <w:tc>
          <w:tcPr>
            <w:tcW w:w="1679" w:type="pct"/>
            <w:tcBorders>
              <w:top w:val="nil"/>
              <w:left w:val="nil"/>
              <w:bottom w:val="nil"/>
              <w:right w:val="nil"/>
            </w:tcBorders>
            <w:shd w:val="clear" w:color="auto" w:fill="auto"/>
            <w:hideMark/>
          </w:tcPr>
          <w:p w14:paraId="220AE217" w14:textId="77777777" w:rsidR="00591E10" w:rsidRPr="00591E10" w:rsidRDefault="00591E10">
            <w:pPr>
              <w:rPr>
                <w:rFonts w:asciiTheme="majorHAnsi" w:hAnsiTheme="majorHAnsi" w:cstheme="majorHAnsi"/>
                <w:b/>
                <w:bCs/>
                <w:sz w:val="16"/>
                <w:szCs w:val="16"/>
              </w:rPr>
            </w:pPr>
            <w:r w:rsidRPr="00591E10">
              <w:rPr>
                <w:rFonts w:asciiTheme="majorHAnsi" w:hAnsiTheme="majorHAnsi" w:cstheme="majorHAnsi"/>
                <w:b/>
                <w:bCs/>
                <w:sz w:val="16"/>
                <w:szCs w:val="16"/>
              </w:rPr>
              <w:t>OUTRAS RECEITAS/DESPESAS OPERACIONAIS</w:t>
            </w:r>
          </w:p>
        </w:tc>
        <w:tc>
          <w:tcPr>
            <w:tcW w:w="738" w:type="pct"/>
            <w:tcBorders>
              <w:top w:val="nil"/>
              <w:left w:val="nil"/>
              <w:bottom w:val="nil"/>
              <w:right w:val="nil"/>
            </w:tcBorders>
            <w:shd w:val="clear" w:color="auto" w:fill="auto"/>
            <w:noWrap/>
            <w:vAlign w:val="bottom"/>
            <w:hideMark/>
          </w:tcPr>
          <w:p w14:paraId="1690629A" w14:textId="77777777" w:rsidR="00591E10" w:rsidRPr="00591E10" w:rsidRDefault="00591E10" w:rsidP="00591E10">
            <w:pPr>
              <w:jc w:val="right"/>
              <w:rPr>
                <w:rFonts w:asciiTheme="majorHAnsi" w:hAnsiTheme="majorHAnsi" w:cstheme="majorHAnsi"/>
                <w:b/>
                <w:bCs/>
                <w:sz w:val="16"/>
                <w:szCs w:val="16"/>
              </w:rPr>
            </w:pPr>
            <w:r w:rsidRPr="00591E10">
              <w:rPr>
                <w:rFonts w:asciiTheme="majorHAnsi" w:hAnsiTheme="majorHAnsi" w:cstheme="majorHAnsi"/>
                <w:b/>
                <w:bCs/>
                <w:sz w:val="16"/>
                <w:szCs w:val="16"/>
              </w:rPr>
              <w:t xml:space="preserve">              37.584.654 </w:t>
            </w:r>
          </w:p>
        </w:tc>
        <w:tc>
          <w:tcPr>
            <w:tcW w:w="740" w:type="pct"/>
            <w:tcBorders>
              <w:top w:val="nil"/>
              <w:left w:val="nil"/>
              <w:bottom w:val="nil"/>
              <w:right w:val="nil"/>
            </w:tcBorders>
            <w:shd w:val="clear" w:color="auto" w:fill="auto"/>
            <w:noWrap/>
            <w:vAlign w:val="bottom"/>
            <w:hideMark/>
          </w:tcPr>
          <w:p w14:paraId="3C23640B" w14:textId="77777777" w:rsidR="00591E10" w:rsidRPr="00591E10" w:rsidRDefault="00591E10" w:rsidP="00591E10">
            <w:pPr>
              <w:jc w:val="right"/>
              <w:rPr>
                <w:rFonts w:asciiTheme="majorHAnsi" w:hAnsiTheme="majorHAnsi" w:cstheme="majorHAnsi"/>
                <w:b/>
                <w:bCs/>
                <w:sz w:val="16"/>
                <w:szCs w:val="16"/>
              </w:rPr>
            </w:pPr>
            <w:r w:rsidRPr="00591E10">
              <w:rPr>
                <w:rFonts w:asciiTheme="majorHAnsi" w:hAnsiTheme="majorHAnsi" w:cstheme="majorHAnsi"/>
                <w:b/>
                <w:bCs/>
                <w:sz w:val="16"/>
                <w:szCs w:val="16"/>
              </w:rPr>
              <w:t xml:space="preserve">              31.961.201 </w:t>
            </w:r>
          </w:p>
        </w:tc>
        <w:tc>
          <w:tcPr>
            <w:tcW w:w="738" w:type="pct"/>
            <w:tcBorders>
              <w:top w:val="nil"/>
              <w:left w:val="nil"/>
              <w:bottom w:val="nil"/>
              <w:right w:val="nil"/>
            </w:tcBorders>
            <w:shd w:val="clear" w:color="auto" w:fill="auto"/>
            <w:noWrap/>
            <w:vAlign w:val="bottom"/>
            <w:hideMark/>
          </w:tcPr>
          <w:p w14:paraId="34C1D961" w14:textId="77777777" w:rsidR="00591E10" w:rsidRPr="00591E10" w:rsidRDefault="00591E10" w:rsidP="00591E10">
            <w:pPr>
              <w:jc w:val="right"/>
              <w:rPr>
                <w:rFonts w:asciiTheme="majorHAnsi" w:hAnsiTheme="majorHAnsi" w:cstheme="majorHAnsi"/>
                <w:b/>
                <w:bCs/>
                <w:sz w:val="16"/>
                <w:szCs w:val="16"/>
              </w:rPr>
            </w:pPr>
            <w:r w:rsidRPr="00591E10">
              <w:rPr>
                <w:rFonts w:asciiTheme="majorHAnsi" w:hAnsiTheme="majorHAnsi" w:cstheme="majorHAnsi"/>
                <w:b/>
                <w:bCs/>
                <w:sz w:val="16"/>
                <w:szCs w:val="16"/>
              </w:rPr>
              <w:t xml:space="preserve">            (31.302.307)</w:t>
            </w:r>
          </w:p>
        </w:tc>
        <w:tc>
          <w:tcPr>
            <w:tcW w:w="738" w:type="pct"/>
            <w:tcBorders>
              <w:top w:val="nil"/>
              <w:left w:val="nil"/>
              <w:bottom w:val="nil"/>
              <w:right w:val="nil"/>
            </w:tcBorders>
            <w:shd w:val="clear" w:color="auto" w:fill="auto"/>
            <w:noWrap/>
            <w:vAlign w:val="bottom"/>
            <w:hideMark/>
          </w:tcPr>
          <w:p w14:paraId="0BBD40D9" w14:textId="77777777" w:rsidR="00591E10" w:rsidRPr="00591E10" w:rsidRDefault="00591E10" w:rsidP="00591E10">
            <w:pPr>
              <w:jc w:val="right"/>
              <w:rPr>
                <w:rFonts w:asciiTheme="majorHAnsi" w:hAnsiTheme="majorHAnsi" w:cstheme="majorHAnsi"/>
                <w:b/>
                <w:bCs/>
                <w:sz w:val="16"/>
                <w:szCs w:val="16"/>
              </w:rPr>
            </w:pPr>
            <w:r w:rsidRPr="00591E10">
              <w:rPr>
                <w:rFonts w:asciiTheme="majorHAnsi" w:hAnsiTheme="majorHAnsi" w:cstheme="majorHAnsi"/>
                <w:b/>
                <w:bCs/>
                <w:sz w:val="16"/>
                <w:szCs w:val="16"/>
              </w:rPr>
              <w:t xml:space="preserve">               (58.833.493)</w:t>
            </w:r>
          </w:p>
        </w:tc>
        <w:tc>
          <w:tcPr>
            <w:tcW w:w="368" w:type="pct"/>
            <w:gridSpan w:val="2"/>
            <w:tcBorders>
              <w:top w:val="nil"/>
              <w:left w:val="nil"/>
              <w:bottom w:val="nil"/>
              <w:right w:val="nil"/>
            </w:tcBorders>
            <w:shd w:val="clear" w:color="auto" w:fill="auto"/>
            <w:noWrap/>
            <w:vAlign w:val="center"/>
            <w:hideMark/>
          </w:tcPr>
          <w:p w14:paraId="766D79CE" w14:textId="417B2439" w:rsidR="00591E10" w:rsidRPr="00591E10" w:rsidRDefault="00591E10" w:rsidP="00C20033">
            <w:pPr>
              <w:jc w:val="center"/>
              <w:rPr>
                <w:rFonts w:asciiTheme="majorHAnsi" w:hAnsiTheme="majorHAnsi" w:cstheme="majorHAnsi"/>
                <w:sz w:val="16"/>
                <w:szCs w:val="16"/>
              </w:rPr>
            </w:pPr>
            <w:r w:rsidRPr="00591E10">
              <w:rPr>
                <w:rFonts w:asciiTheme="majorHAnsi" w:hAnsiTheme="majorHAnsi" w:cstheme="majorHAnsi"/>
                <w:sz w:val="16"/>
                <w:szCs w:val="16"/>
              </w:rPr>
              <w:t>(19)</w:t>
            </w:r>
          </w:p>
        </w:tc>
      </w:tr>
      <w:tr w:rsidR="00591E10" w:rsidRPr="00591E10" w14:paraId="08488A61" w14:textId="77777777" w:rsidTr="00591E10">
        <w:trPr>
          <w:trHeight w:hRule="exact" w:val="227"/>
        </w:trPr>
        <w:tc>
          <w:tcPr>
            <w:tcW w:w="1679" w:type="pct"/>
            <w:tcBorders>
              <w:top w:val="nil"/>
              <w:left w:val="nil"/>
              <w:bottom w:val="nil"/>
              <w:right w:val="nil"/>
            </w:tcBorders>
            <w:shd w:val="clear" w:color="auto" w:fill="auto"/>
            <w:noWrap/>
            <w:vAlign w:val="bottom"/>
            <w:hideMark/>
          </w:tcPr>
          <w:p w14:paraId="0F0B9BDE" w14:textId="77777777" w:rsidR="00591E10" w:rsidRPr="00591E10" w:rsidRDefault="00591E10">
            <w:pPr>
              <w:rPr>
                <w:rFonts w:asciiTheme="majorHAnsi" w:hAnsiTheme="majorHAnsi" w:cstheme="majorHAnsi"/>
                <w:sz w:val="16"/>
                <w:szCs w:val="16"/>
              </w:rPr>
            </w:pPr>
            <w:r w:rsidRPr="00591E10">
              <w:rPr>
                <w:rFonts w:asciiTheme="majorHAnsi" w:hAnsiTheme="majorHAnsi" w:cstheme="majorHAnsi"/>
                <w:sz w:val="16"/>
                <w:szCs w:val="16"/>
              </w:rPr>
              <w:t xml:space="preserve">        Provisão/Reversão para Contingências</w:t>
            </w:r>
          </w:p>
        </w:tc>
        <w:tc>
          <w:tcPr>
            <w:tcW w:w="738" w:type="pct"/>
            <w:tcBorders>
              <w:top w:val="nil"/>
              <w:left w:val="nil"/>
              <w:bottom w:val="nil"/>
              <w:right w:val="nil"/>
            </w:tcBorders>
            <w:shd w:val="clear" w:color="auto" w:fill="auto"/>
            <w:noWrap/>
            <w:vAlign w:val="bottom"/>
            <w:hideMark/>
          </w:tcPr>
          <w:p w14:paraId="4B6750F0" w14:textId="77777777" w:rsidR="00591E10" w:rsidRPr="00591E10" w:rsidRDefault="00591E10" w:rsidP="00591E10">
            <w:pPr>
              <w:jc w:val="right"/>
              <w:rPr>
                <w:rFonts w:asciiTheme="majorHAnsi" w:hAnsiTheme="majorHAnsi" w:cstheme="majorHAnsi"/>
                <w:sz w:val="16"/>
                <w:szCs w:val="16"/>
              </w:rPr>
            </w:pPr>
            <w:r w:rsidRPr="00591E10">
              <w:rPr>
                <w:rFonts w:asciiTheme="majorHAnsi" w:hAnsiTheme="majorHAnsi" w:cstheme="majorHAnsi"/>
                <w:sz w:val="16"/>
                <w:szCs w:val="16"/>
              </w:rPr>
              <w:t xml:space="preserve">              44.304.375 </w:t>
            </w:r>
          </w:p>
        </w:tc>
        <w:tc>
          <w:tcPr>
            <w:tcW w:w="740" w:type="pct"/>
            <w:tcBorders>
              <w:top w:val="nil"/>
              <w:left w:val="nil"/>
              <w:bottom w:val="nil"/>
              <w:right w:val="nil"/>
            </w:tcBorders>
            <w:shd w:val="clear" w:color="auto" w:fill="auto"/>
            <w:noWrap/>
            <w:vAlign w:val="bottom"/>
            <w:hideMark/>
          </w:tcPr>
          <w:p w14:paraId="5598F75B" w14:textId="77777777" w:rsidR="00591E10" w:rsidRPr="00591E10" w:rsidRDefault="00591E10" w:rsidP="00591E10">
            <w:pPr>
              <w:jc w:val="right"/>
              <w:rPr>
                <w:rFonts w:asciiTheme="majorHAnsi" w:hAnsiTheme="majorHAnsi" w:cstheme="majorHAnsi"/>
                <w:sz w:val="16"/>
                <w:szCs w:val="16"/>
              </w:rPr>
            </w:pPr>
            <w:r w:rsidRPr="00591E10">
              <w:rPr>
                <w:rFonts w:asciiTheme="majorHAnsi" w:hAnsiTheme="majorHAnsi" w:cstheme="majorHAnsi"/>
                <w:sz w:val="16"/>
                <w:szCs w:val="16"/>
              </w:rPr>
              <w:t xml:space="preserve">              44.304.375 </w:t>
            </w:r>
          </w:p>
        </w:tc>
        <w:tc>
          <w:tcPr>
            <w:tcW w:w="738" w:type="pct"/>
            <w:tcBorders>
              <w:top w:val="nil"/>
              <w:left w:val="nil"/>
              <w:bottom w:val="nil"/>
              <w:right w:val="nil"/>
            </w:tcBorders>
            <w:shd w:val="clear" w:color="auto" w:fill="auto"/>
            <w:noWrap/>
            <w:vAlign w:val="bottom"/>
            <w:hideMark/>
          </w:tcPr>
          <w:p w14:paraId="685634AC" w14:textId="77777777" w:rsidR="00591E10" w:rsidRPr="00591E10" w:rsidRDefault="00591E10" w:rsidP="00591E10">
            <w:pPr>
              <w:jc w:val="right"/>
              <w:rPr>
                <w:rFonts w:asciiTheme="majorHAnsi" w:hAnsiTheme="majorHAnsi" w:cstheme="majorHAnsi"/>
                <w:sz w:val="16"/>
                <w:szCs w:val="16"/>
              </w:rPr>
            </w:pPr>
            <w:r w:rsidRPr="00591E10">
              <w:rPr>
                <w:rFonts w:asciiTheme="majorHAnsi" w:hAnsiTheme="majorHAnsi" w:cstheme="majorHAnsi"/>
                <w:sz w:val="16"/>
                <w:szCs w:val="16"/>
              </w:rPr>
              <w:t xml:space="preserve">            (21.165.378)</w:t>
            </w:r>
          </w:p>
        </w:tc>
        <w:tc>
          <w:tcPr>
            <w:tcW w:w="738" w:type="pct"/>
            <w:tcBorders>
              <w:top w:val="nil"/>
              <w:left w:val="nil"/>
              <w:bottom w:val="nil"/>
              <w:right w:val="nil"/>
            </w:tcBorders>
            <w:shd w:val="clear" w:color="auto" w:fill="auto"/>
            <w:noWrap/>
            <w:vAlign w:val="bottom"/>
            <w:hideMark/>
          </w:tcPr>
          <w:p w14:paraId="4E2FA9C9" w14:textId="77777777" w:rsidR="00591E10" w:rsidRPr="00591E10" w:rsidRDefault="00591E10" w:rsidP="00591E10">
            <w:pPr>
              <w:jc w:val="right"/>
              <w:rPr>
                <w:rFonts w:asciiTheme="majorHAnsi" w:hAnsiTheme="majorHAnsi" w:cstheme="majorHAnsi"/>
                <w:sz w:val="16"/>
                <w:szCs w:val="16"/>
              </w:rPr>
            </w:pPr>
            <w:r w:rsidRPr="00591E10">
              <w:rPr>
                <w:rFonts w:asciiTheme="majorHAnsi" w:hAnsiTheme="majorHAnsi" w:cstheme="majorHAnsi"/>
                <w:sz w:val="16"/>
                <w:szCs w:val="16"/>
              </w:rPr>
              <w:t xml:space="preserve">               (45.591.521)</w:t>
            </w:r>
          </w:p>
        </w:tc>
        <w:tc>
          <w:tcPr>
            <w:tcW w:w="368" w:type="pct"/>
            <w:gridSpan w:val="2"/>
            <w:tcBorders>
              <w:top w:val="nil"/>
              <w:left w:val="nil"/>
              <w:bottom w:val="nil"/>
              <w:right w:val="nil"/>
            </w:tcBorders>
            <w:shd w:val="clear" w:color="000000" w:fill="FFFFFF"/>
            <w:noWrap/>
            <w:vAlign w:val="bottom"/>
            <w:hideMark/>
          </w:tcPr>
          <w:p w14:paraId="1591752A" w14:textId="2C29849C" w:rsidR="00591E10" w:rsidRPr="00591E10" w:rsidRDefault="00591E10" w:rsidP="00C20033">
            <w:pPr>
              <w:jc w:val="center"/>
              <w:rPr>
                <w:rFonts w:asciiTheme="majorHAnsi" w:hAnsiTheme="majorHAnsi" w:cstheme="majorHAnsi"/>
                <w:sz w:val="16"/>
                <w:szCs w:val="16"/>
              </w:rPr>
            </w:pPr>
          </w:p>
        </w:tc>
      </w:tr>
      <w:tr w:rsidR="00591E10" w:rsidRPr="00591E10" w14:paraId="2338153D" w14:textId="77777777" w:rsidTr="00591E10">
        <w:trPr>
          <w:trHeight w:hRule="exact" w:val="227"/>
        </w:trPr>
        <w:tc>
          <w:tcPr>
            <w:tcW w:w="1679" w:type="pct"/>
            <w:tcBorders>
              <w:top w:val="nil"/>
              <w:left w:val="nil"/>
              <w:bottom w:val="nil"/>
              <w:right w:val="nil"/>
            </w:tcBorders>
            <w:shd w:val="clear" w:color="auto" w:fill="auto"/>
            <w:noWrap/>
            <w:vAlign w:val="bottom"/>
            <w:hideMark/>
          </w:tcPr>
          <w:p w14:paraId="61F14E9A" w14:textId="77777777" w:rsidR="00591E10" w:rsidRPr="00591E10" w:rsidRDefault="00591E10">
            <w:pPr>
              <w:rPr>
                <w:rFonts w:asciiTheme="majorHAnsi" w:hAnsiTheme="majorHAnsi" w:cstheme="majorHAnsi"/>
                <w:sz w:val="16"/>
                <w:szCs w:val="16"/>
              </w:rPr>
            </w:pPr>
            <w:r w:rsidRPr="00591E10">
              <w:rPr>
                <w:rFonts w:asciiTheme="majorHAnsi" w:hAnsiTheme="majorHAnsi" w:cstheme="majorHAnsi"/>
                <w:sz w:val="16"/>
                <w:szCs w:val="16"/>
              </w:rPr>
              <w:t xml:space="preserve">        Outras receitas</w:t>
            </w:r>
          </w:p>
        </w:tc>
        <w:tc>
          <w:tcPr>
            <w:tcW w:w="738" w:type="pct"/>
            <w:tcBorders>
              <w:top w:val="nil"/>
              <w:left w:val="nil"/>
              <w:bottom w:val="nil"/>
              <w:right w:val="nil"/>
            </w:tcBorders>
            <w:shd w:val="clear" w:color="auto" w:fill="auto"/>
            <w:noWrap/>
            <w:vAlign w:val="bottom"/>
            <w:hideMark/>
          </w:tcPr>
          <w:p w14:paraId="01615FF6" w14:textId="77777777" w:rsidR="00591E10" w:rsidRPr="00591E10" w:rsidRDefault="00591E10" w:rsidP="00591E10">
            <w:pPr>
              <w:jc w:val="right"/>
              <w:rPr>
                <w:rFonts w:asciiTheme="majorHAnsi" w:hAnsiTheme="majorHAnsi" w:cstheme="majorHAnsi"/>
                <w:sz w:val="16"/>
                <w:szCs w:val="16"/>
              </w:rPr>
            </w:pPr>
            <w:r w:rsidRPr="00591E10">
              <w:rPr>
                <w:rFonts w:asciiTheme="majorHAnsi" w:hAnsiTheme="majorHAnsi" w:cstheme="majorHAnsi"/>
                <w:sz w:val="16"/>
                <w:szCs w:val="16"/>
              </w:rPr>
              <w:t xml:space="preserve">                6.848.529 </w:t>
            </w:r>
          </w:p>
        </w:tc>
        <w:tc>
          <w:tcPr>
            <w:tcW w:w="740" w:type="pct"/>
            <w:tcBorders>
              <w:top w:val="nil"/>
              <w:left w:val="nil"/>
              <w:bottom w:val="nil"/>
              <w:right w:val="nil"/>
            </w:tcBorders>
            <w:shd w:val="clear" w:color="auto" w:fill="auto"/>
            <w:noWrap/>
            <w:vAlign w:val="bottom"/>
            <w:hideMark/>
          </w:tcPr>
          <w:p w14:paraId="0FAB1711" w14:textId="77777777" w:rsidR="00591E10" w:rsidRPr="00591E10" w:rsidRDefault="00591E10" w:rsidP="00591E10">
            <w:pPr>
              <w:jc w:val="right"/>
              <w:rPr>
                <w:rFonts w:asciiTheme="majorHAnsi" w:hAnsiTheme="majorHAnsi" w:cstheme="majorHAnsi"/>
                <w:sz w:val="16"/>
                <w:szCs w:val="16"/>
              </w:rPr>
            </w:pPr>
            <w:r w:rsidRPr="00591E10">
              <w:rPr>
                <w:rFonts w:asciiTheme="majorHAnsi" w:hAnsiTheme="majorHAnsi" w:cstheme="majorHAnsi"/>
                <w:sz w:val="16"/>
                <w:szCs w:val="16"/>
              </w:rPr>
              <w:t xml:space="preserve">                7.194.385 </w:t>
            </w:r>
          </w:p>
        </w:tc>
        <w:tc>
          <w:tcPr>
            <w:tcW w:w="738" w:type="pct"/>
            <w:tcBorders>
              <w:top w:val="nil"/>
              <w:left w:val="nil"/>
              <w:bottom w:val="nil"/>
              <w:right w:val="nil"/>
            </w:tcBorders>
            <w:shd w:val="clear" w:color="auto" w:fill="auto"/>
            <w:noWrap/>
            <w:vAlign w:val="bottom"/>
            <w:hideMark/>
          </w:tcPr>
          <w:p w14:paraId="31A0B195" w14:textId="77777777" w:rsidR="00591E10" w:rsidRPr="00591E10" w:rsidRDefault="00591E10" w:rsidP="00591E10">
            <w:pPr>
              <w:jc w:val="right"/>
              <w:rPr>
                <w:rFonts w:asciiTheme="majorHAnsi" w:hAnsiTheme="majorHAnsi" w:cstheme="majorHAnsi"/>
                <w:sz w:val="16"/>
                <w:szCs w:val="16"/>
              </w:rPr>
            </w:pPr>
            <w:r w:rsidRPr="00591E10">
              <w:rPr>
                <w:rFonts w:asciiTheme="majorHAnsi" w:hAnsiTheme="majorHAnsi" w:cstheme="majorHAnsi"/>
                <w:sz w:val="16"/>
                <w:szCs w:val="16"/>
              </w:rPr>
              <w:t xml:space="preserve">                2.366.469 </w:t>
            </w:r>
          </w:p>
        </w:tc>
        <w:tc>
          <w:tcPr>
            <w:tcW w:w="738" w:type="pct"/>
            <w:tcBorders>
              <w:top w:val="nil"/>
              <w:left w:val="nil"/>
              <w:bottom w:val="nil"/>
              <w:right w:val="nil"/>
            </w:tcBorders>
            <w:shd w:val="clear" w:color="auto" w:fill="auto"/>
            <w:noWrap/>
            <w:vAlign w:val="bottom"/>
            <w:hideMark/>
          </w:tcPr>
          <w:p w14:paraId="7CC96E44" w14:textId="77777777" w:rsidR="00591E10" w:rsidRPr="00591E10" w:rsidRDefault="00591E10" w:rsidP="00591E10">
            <w:pPr>
              <w:jc w:val="right"/>
              <w:rPr>
                <w:rFonts w:asciiTheme="majorHAnsi" w:hAnsiTheme="majorHAnsi" w:cstheme="majorHAnsi"/>
                <w:sz w:val="16"/>
                <w:szCs w:val="16"/>
              </w:rPr>
            </w:pPr>
            <w:r w:rsidRPr="00591E10">
              <w:rPr>
                <w:rFonts w:asciiTheme="majorHAnsi" w:hAnsiTheme="majorHAnsi" w:cstheme="majorHAnsi"/>
                <w:sz w:val="16"/>
                <w:szCs w:val="16"/>
              </w:rPr>
              <w:t xml:space="preserve">                   3.081.262 </w:t>
            </w:r>
          </w:p>
        </w:tc>
        <w:tc>
          <w:tcPr>
            <w:tcW w:w="368" w:type="pct"/>
            <w:gridSpan w:val="2"/>
            <w:tcBorders>
              <w:top w:val="nil"/>
              <w:left w:val="nil"/>
              <w:bottom w:val="nil"/>
              <w:right w:val="nil"/>
            </w:tcBorders>
            <w:shd w:val="clear" w:color="000000" w:fill="FFFFFF"/>
            <w:noWrap/>
            <w:vAlign w:val="bottom"/>
            <w:hideMark/>
          </w:tcPr>
          <w:p w14:paraId="569813AF" w14:textId="4FD12FB6" w:rsidR="00591E10" w:rsidRPr="00591E10" w:rsidRDefault="00591E10" w:rsidP="00C20033">
            <w:pPr>
              <w:jc w:val="center"/>
              <w:rPr>
                <w:rFonts w:asciiTheme="majorHAnsi" w:hAnsiTheme="majorHAnsi" w:cstheme="majorHAnsi"/>
                <w:sz w:val="16"/>
                <w:szCs w:val="16"/>
              </w:rPr>
            </w:pPr>
          </w:p>
        </w:tc>
      </w:tr>
      <w:tr w:rsidR="00591E10" w:rsidRPr="00591E10" w14:paraId="3152E10E" w14:textId="77777777" w:rsidTr="00591E10">
        <w:trPr>
          <w:trHeight w:hRule="exact" w:val="227"/>
        </w:trPr>
        <w:tc>
          <w:tcPr>
            <w:tcW w:w="1679" w:type="pct"/>
            <w:tcBorders>
              <w:top w:val="nil"/>
              <w:left w:val="nil"/>
              <w:bottom w:val="nil"/>
              <w:right w:val="nil"/>
            </w:tcBorders>
            <w:shd w:val="clear" w:color="auto" w:fill="auto"/>
            <w:noWrap/>
            <w:vAlign w:val="bottom"/>
            <w:hideMark/>
          </w:tcPr>
          <w:p w14:paraId="399397E2" w14:textId="77777777" w:rsidR="00591E10" w:rsidRPr="00591E10" w:rsidRDefault="00591E10">
            <w:pPr>
              <w:rPr>
                <w:rFonts w:asciiTheme="majorHAnsi" w:hAnsiTheme="majorHAnsi" w:cstheme="majorHAnsi"/>
                <w:sz w:val="16"/>
                <w:szCs w:val="16"/>
              </w:rPr>
            </w:pPr>
            <w:r w:rsidRPr="00591E10">
              <w:rPr>
                <w:rFonts w:asciiTheme="majorHAnsi" w:hAnsiTheme="majorHAnsi" w:cstheme="majorHAnsi"/>
                <w:sz w:val="16"/>
                <w:szCs w:val="16"/>
              </w:rPr>
              <w:t xml:space="preserve">        Resultado de Equivalência Patrimonial</w:t>
            </w:r>
          </w:p>
        </w:tc>
        <w:tc>
          <w:tcPr>
            <w:tcW w:w="738" w:type="pct"/>
            <w:tcBorders>
              <w:top w:val="nil"/>
              <w:left w:val="nil"/>
              <w:bottom w:val="nil"/>
              <w:right w:val="nil"/>
            </w:tcBorders>
            <w:shd w:val="clear" w:color="auto" w:fill="auto"/>
            <w:noWrap/>
            <w:vAlign w:val="bottom"/>
            <w:hideMark/>
          </w:tcPr>
          <w:p w14:paraId="6E3680F5" w14:textId="77777777" w:rsidR="00591E10" w:rsidRPr="00591E10" w:rsidRDefault="00591E10" w:rsidP="00591E10">
            <w:pPr>
              <w:jc w:val="right"/>
              <w:rPr>
                <w:rFonts w:asciiTheme="majorHAnsi" w:hAnsiTheme="majorHAnsi" w:cstheme="majorHAnsi"/>
                <w:sz w:val="16"/>
                <w:szCs w:val="16"/>
              </w:rPr>
            </w:pPr>
            <w:r w:rsidRPr="00591E10">
              <w:rPr>
                <w:rFonts w:asciiTheme="majorHAnsi" w:hAnsiTheme="majorHAnsi" w:cstheme="majorHAnsi"/>
                <w:sz w:val="16"/>
                <w:szCs w:val="16"/>
              </w:rPr>
              <w:t xml:space="preserve">               (7.367.222)</w:t>
            </w:r>
          </w:p>
        </w:tc>
        <w:tc>
          <w:tcPr>
            <w:tcW w:w="740" w:type="pct"/>
            <w:tcBorders>
              <w:top w:val="nil"/>
              <w:left w:val="nil"/>
              <w:bottom w:val="nil"/>
              <w:right w:val="nil"/>
            </w:tcBorders>
            <w:shd w:val="clear" w:color="auto" w:fill="auto"/>
            <w:noWrap/>
            <w:vAlign w:val="bottom"/>
            <w:hideMark/>
          </w:tcPr>
          <w:p w14:paraId="3BFE1843" w14:textId="77777777" w:rsidR="00591E10" w:rsidRPr="00591E10" w:rsidRDefault="00591E10" w:rsidP="00591E10">
            <w:pPr>
              <w:jc w:val="right"/>
              <w:rPr>
                <w:rFonts w:asciiTheme="majorHAnsi" w:hAnsiTheme="majorHAnsi" w:cstheme="majorHAnsi"/>
                <w:sz w:val="16"/>
                <w:szCs w:val="16"/>
              </w:rPr>
            </w:pPr>
            <w:r w:rsidRPr="00591E10">
              <w:rPr>
                <w:rFonts w:asciiTheme="majorHAnsi" w:hAnsiTheme="majorHAnsi" w:cstheme="majorHAnsi"/>
                <w:sz w:val="16"/>
                <w:szCs w:val="16"/>
              </w:rPr>
              <w:t xml:space="preserve">            (13.131.344)</w:t>
            </w:r>
          </w:p>
        </w:tc>
        <w:tc>
          <w:tcPr>
            <w:tcW w:w="738" w:type="pct"/>
            <w:tcBorders>
              <w:top w:val="nil"/>
              <w:left w:val="nil"/>
              <w:bottom w:val="nil"/>
              <w:right w:val="nil"/>
            </w:tcBorders>
            <w:shd w:val="clear" w:color="auto" w:fill="auto"/>
            <w:noWrap/>
            <w:vAlign w:val="bottom"/>
            <w:hideMark/>
          </w:tcPr>
          <w:p w14:paraId="1DF5937D" w14:textId="77777777" w:rsidR="00591E10" w:rsidRPr="00591E10" w:rsidRDefault="00591E10" w:rsidP="00591E10">
            <w:pPr>
              <w:jc w:val="right"/>
              <w:rPr>
                <w:rFonts w:asciiTheme="majorHAnsi" w:hAnsiTheme="majorHAnsi" w:cstheme="majorHAnsi"/>
                <w:sz w:val="16"/>
                <w:szCs w:val="16"/>
              </w:rPr>
            </w:pPr>
            <w:r w:rsidRPr="00591E10">
              <w:rPr>
                <w:rFonts w:asciiTheme="majorHAnsi" w:hAnsiTheme="majorHAnsi" w:cstheme="majorHAnsi"/>
                <w:sz w:val="16"/>
                <w:szCs w:val="16"/>
              </w:rPr>
              <w:t xml:space="preserve">            (12.503.398)</w:t>
            </w:r>
          </w:p>
        </w:tc>
        <w:tc>
          <w:tcPr>
            <w:tcW w:w="738" w:type="pct"/>
            <w:tcBorders>
              <w:top w:val="nil"/>
              <w:left w:val="nil"/>
              <w:bottom w:val="nil"/>
              <w:right w:val="nil"/>
            </w:tcBorders>
            <w:shd w:val="clear" w:color="auto" w:fill="auto"/>
            <w:noWrap/>
            <w:vAlign w:val="bottom"/>
            <w:hideMark/>
          </w:tcPr>
          <w:p w14:paraId="7127F162" w14:textId="77777777" w:rsidR="00591E10" w:rsidRPr="00591E10" w:rsidRDefault="00591E10" w:rsidP="00591E10">
            <w:pPr>
              <w:jc w:val="right"/>
              <w:rPr>
                <w:rFonts w:asciiTheme="majorHAnsi" w:hAnsiTheme="majorHAnsi" w:cstheme="majorHAnsi"/>
                <w:sz w:val="16"/>
                <w:szCs w:val="16"/>
              </w:rPr>
            </w:pPr>
            <w:r w:rsidRPr="00591E10">
              <w:rPr>
                <w:rFonts w:asciiTheme="majorHAnsi" w:hAnsiTheme="majorHAnsi" w:cstheme="majorHAnsi"/>
                <w:sz w:val="16"/>
                <w:szCs w:val="16"/>
              </w:rPr>
              <w:t xml:space="preserve">               (16.277.330)</w:t>
            </w:r>
          </w:p>
        </w:tc>
        <w:tc>
          <w:tcPr>
            <w:tcW w:w="368" w:type="pct"/>
            <w:gridSpan w:val="2"/>
            <w:tcBorders>
              <w:top w:val="nil"/>
              <w:left w:val="nil"/>
              <w:bottom w:val="nil"/>
              <w:right w:val="nil"/>
            </w:tcBorders>
            <w:shd w:val="clear" w:color="000000" w:fill="FFFFFF"/>
            <w:noWrap/>
            <w:vAlign w:val="bottom"/>
            <w:hideMark/>
          </w:tcPr>
          <w:p w14:paraId="246427AD" w14:textId="27202732" w:rsidR="00591E10" w:rsidRPr="00591E10" w:rsidRDefault="00591E10" w:rsidP="00C20033">
            <w:pPr>
              <w:jc w:val="center"/>
              <w:rPr>
                <w:rFonts w:asciiTheme="majorHAnsi" w:hAnsiTheme="majorHAnsi" w:cstheme="majorHAnsi"/>
                <w:sz w:val="16"/>
                <w:szCs w:val="16"/>
              </w:rPr>
            </w:pPr>
          </w:p>
        </w:tc>
      </w:tr>
      <w:tr w:rsidR="00591E10" w:rsidRPr="00591E10" w14:paraId="7553FC51" w14:textId="77777777" w:rsidTr="00591E10">
        <w:trPr>
          <w:trHeight w:hRule="exact" w:val="227"/>
        </w:trPr>
        <w:tc>
          <w:tcPr>
            <w:tcW w:w="1679" w:type="pct"/>
            <w:tcBorders>
              <w:top w:val="nil"/>
              <w:left w:val="nil"/>
              <w:bottom w:val="nil"/>
              <w:right w:val="nil"/>
            </w:tcBorders>
            <w:shd w:val="clear" w:color="auto" w:fill="auto"/>
            <w:noWrap/>
            <w:vAlign w:val="bottom"/>
            <w:hideMark/>
          </w:tcPr>
          <w:p w14:paraId="53909B52" w14:textId="77777777" w:rsidR="00591E10" w:rsidRPr="00591E10" w:rsidRDefault="00591E10">
            <w:pPr>
              <w:rPr>
                <w:rFonts w:asciiTheme="majorHAnsi" w:hAnsiTheme="majorHAnsi" w:cstheme="majorHAnsi"/>
                <w:sz w:val="16"/>
                <w:szCs w:val="16"/>
              </w:rPr>
            </w:pPr>
            <w:r w:rsidRPr="00591E10">
              <w:rPr>
                <w:rFonts w:asciiTheme="majorHAnsi" w:hAnsiTheme="majorHAnsi" w:cstheme="majorHAnsi"/>
                <w:sz w:val="16"/>
                <w:szCs w:val="16"/>
              </w:rPr>
              <w:t xml:space="preserve">        Baixa de Ativos - Imobilizado e Intangível</w:t>
            </w:r>
          </w:p>
        </w:tc>
        <w:tc>
          <w:tcPr>
            <w:tcW w:w="738" w:type="pct"/>
            <w:tcBorders>
              <w:top w:val="nil"/>
              <w:left w:val="nil"/>
              <w:bottom w:val="nil"/>
              <w:right w:val="nil"/>
            </w:tcBorders>
            <w:shd w:val="clear" w:color="auto" w:fill="auto"/>
            <w:noWrap/>
            <w:vAlign w:val="bottom"/>
            <w:hideMark/>
          </w:tcPr>
          <w:p w14:paraId="6DA36C55" w14:textId="77777777" w:rsidR="00591E10" w:rsidRPr="00591E10" w:rsidRDefault="00591E10" w:rsidP="00591E10">
            <w:pPr>
              <w:jc w:val="right"/>
              <w:rPr>
                <w:rFonts w:asciiTheme="majorHAnsi" w:hAnsiTheme="majorHAnsi" w:cstheme="majorHAnsi"/>
                <w:sz w:val="16"/>
                <w:szCs w:val="16"/>
              </w:rPr>
            </w:pPr>
            <w:r w:rsidRPr="00591E10">
              <w:rPr>
                <w:rFonts w:asciiTheme="majorHAnsi" w:hAnsiTheme="majorHAnsi" w:cstheme="majorHAnsi"/>
                <w:sz w:val="16"/>
                <w:szCs w:val="16"/>
              </w:rPr>
              <w:t xml:space="preserve">               (6.075.789)</w:t>
            </w:r>
          </w:p>
        </w:tc>
        <w:tc>
          <w:tcPr>
            <w:tcW w:w="740" w:type="pct"/>
            <w:tcBorders>
              <w:top w:val="nil"/>
              <w:left w:val="nil"/>
              <w:bottom w:val="nil"/>
              <w:right w:val="nil"/>
            </w:tcBorders>
            <w:shd w:val="clear" w:color="auto" w:fill="auto"/>
            <w:noWrap/>
            <w:vAlign w:val="bottom"/>
            <w:hideMark/>
          </w:tcPr>
          <w:p w14:paraId="317FE706" w14:textId="77777777" w:rsidR="00591E10" w:rsidRPr="00591E10" w:rsidRDefault="00591E10" w:rsidP="00591E10">
            <w:pPr>
              <w:jc w:val="right"/>
              <w:rPr>
                <w:rFonts w:asciiTheme="majorHAnsi" w:hAnsiTheme="majorHAnsi" w:cstheme="majorHAnsi"/>
                <w:sz w:val="16"/>
                <w:szCs w:val="16"/>
              </w:rPr>
            </w:pPr>
            <w:r w:rsidRPr="00591E10">
              <w:rPr>
                <w:rFonts w:asciiTheme="majorHAnsi" w:hAnsiTheme="majorHAnsi" w:cstheme="majorHAnsi"/>
                <w:sz w:val="16"/>
                <w:szCs w:val="16"/>
              </w:rPr>
              <w:t xml:space="preserve">               (6.075.789)</w:t>
            </w:r>
          </w:p>
        </w:tc>
        <w:tc>
          <w:tcPr>
            <w:tcW w:w="738" w:type="pct"/>
            <w:tcBorders>
              <w:top w:val="nil"/>
              <w:left w:val="nil"/>
              <w:bottom w:val="nil"/>
              <w:right w:val="nil"/>
            </w:tcBorders>
            <w:shd w:val="clear" w:color="auto" w:fill="auto"/>
            <w:noWrap/>
            <w:vAlign w:val="bottom"/>
            <w:hideMark/>
          </w:tcPr>
          <w:p w14:paraId="12CEAB9F" w14:textId="77777777" w:rsidR="00591E10" w:rsidRPr="00591E10" w:rsidRDefault="00591E10" w:rsidP="00591E10">
            <w:pPr>
              <w:jc w:val="right"/>
              <w:rPr>
                <w:rFonts w:asciiTheme="majorHAnsi" w:hAnsiTheme="majorHAnsi" w:cstheme="majorHAnsi"/>
                <w:sz w:val="16"/>
                <w:szCs w:val="16"/>
              </w:rPr>
            </w:pPr>
            <w:r w:rsidRPr="00591E10">
              <w:rPr>
                <w:rFonts w:asciiTheme="majorHAnsi" w:hAnsiTheme="majorHAnsi" w:cstheme="majorHAnsi"/>
                <w:sz w:val="16"/>
                <w:szCs w:val="16"/>
              </w:rPr>
              <w:t xml:space="preserve">                               -   </w:t>
            </w:r>
          </w:p>
        </w:tc>
        <w:tc>
          <w:tcPr>
            <w:tcW w:w="738" w:type="pct"/>
            <w:tcBorders>
              <w:top w:val="nil"/>
              <w:left w:val="nil"/>
              <w:bottom w:val="nil"/>
              <w:right w:val="nil"/>
            </w:tcBorders>
            <w:shd w:val="clear" w:color="auto" w:fill="auto"/>
            <w:noWrap/>
            <w:vAlign w:val="bottom"/>
            <w:hideMark/>
          </w:tcPr>
          <w:p w14:paraId="1D9AAF75" w14:textId="77777777" w:rsidR="00591E10" w:rsidRPr="00591E10" w:rsidRDefault="00591E10" w:rsidP="00591E10">
            <w:pPr>
              <w:jc w:val="right"/>
              <w:rPr>
                <w:rFonts w:asciiTheme="majorHAnsi" w:hAnsiTheme="majorHAnsi" w:cstheme="majorHAnsi"/>
                <w:sz w:val="16"/>
                <w:szCs w:val="16"/>
              </w:rPr>
            </w:pPr>
            <w:r w:rsidRPr="00591E10">
              <w:rPr>
                <w:rFonts w:asciiTheme="majorHAnsi" w:hAnsiTheme="majorHAnsi" w:cstheme="majorHAnsi"/>
                <w:sz w:val="16"/>
                <w:szCs w:val="16"/>
              </w:rPr>
              <w:t xml:space="preserve">                      (45.904)</w:t>
            </w:r>
          </w:p>
        </w:tc>
        <w:tc>
          <w:tcPr>
            <w:tcW w:w="368" w:type="pct"/>
            <w:gridSpan w:val="2"/>
            <w:tcBorders>
              <w:top w:val="nil"/>
              <w:left w:val="nil"/>
              <w:bottom w:val="nil"/>
              <w:right w:val="nil"/>
            </w:tcBorders>
            <w:shd w:val="clear" w:color="000000" w:fill="FFFFFF"/>
            <w:noWrap/>
            <w:vAlign w:val="center"/>
            <w:hideMark/>
          </w:tcPr>
          <w:p w14:paraId="5249D3ED" w14:textId="178C66FC" w:rsidR="00591E10" w:rsidRPr="00591E10" w:rsidRDefault="00591E10" w:rsidP="00C20033">
            <w:pPr>
              <w:jc w:val="center"/>
              <w:rPr>
                <w:rFonts w:asciiTheme="majorHAnsi" w:hAnsiTheme="majorHAnsi" w:cstheme="majorHAnsi"/>
                <w:sz w:val="16"/>
                <w:szCs w:val="16"/>
              </w:rPr>
            </w:pPr>
          </w:p>
        </w:tc>
      </w:tr>
      <w:tr w:rsidR="00591E10" w:rsidRPr="00591E10" w14:paraId="5FB639EB" w14:textId="77777777" w:rsidTr="00591E10">
        <w:trPr>
          <w:trHeight w:hRule="exact" w:val="227"/>
        </w:trPr>
        <w:tc>
          <w:tcPr>
            <w:tcW w:w="1679" w:type="pct"/>
            <w:tcBorders>
              <w:top w:val="nil"/>
              <w:left w:val="nil"/>
              <w:bottom w:val="nil"/>
              <w:right w:val="nil"/>
            </w:tcBorders>
            <w:shd w:val="clear" w:color="auto" w:fill="auto"/>
            <w:noWrap/>
            <w:vAlign w:val="bottom"/>
            <w:hideMark/>
          </w:tcPr>
          <w:p w14:paraId="3203ABBC" w14:textId="77777777" w:rsidR="00591E10" w:rsidRPr="00591E10" w:rsidRDefault="00591E10">
            <w:pPr>
              <w:rPr>
                <w:rFonts w:asciiTheme="majorHAnsi" w:hAnsiTheme="majorHAnsi" w:cstheme="majorHAnsi"/>
                <w:sz w:val="16"/>
                <w:szCs w:val="16"/>
              </w:rPr>
            </w:pPr>
            <w:r w:rsidRPr="00591E10">
              <w:rPr>
                <w:rFonts w:asciiTheme="majorHAnsi" w:hAnsiTheme="majorHAnsi" w:cstheme="majorHAnsi"/>
                <w:sz w:val="16"/>
                <w:szCs w:val="16"/>
              </w:rPr>
              <w:t xml:space="preserve">        Baixa de Ativos - Tributos a recuperar/compensar</w:t>
            </w:r>
          </w:p>
        </w:tc>
        <w:tc>
          <w:tcPr>
            <w:tcW w:w="738" w:type="pct"/>
            <w:tcBorders>
              <w:top w:val="nil"/>
              <w:left w:val="nil"/>
              <w:bottom w:val="nil"/>
              <w:right w:val="nil"/>
            </w:tcBorders>
            <w:shd w:val="clear" w:color="auto" w:fill="auto"/>
            <w:noWrap/>
            <w:vAlign w:val="bottom"/>
            <w:hideMark/>
          </w:tcPr>
          <w:p w14:paraId="51E00BF6" w14:textId="77777777" w:rsidR="00591E10" w:rsidRPr="00591E10" w:rsidRDefault="00591E10" w:rsidP="00591E10">
            <w:pPr>
              <w:jc w:val="right"/>
              <w:rPr>
                <w:rFonts w:asciiTheme="majorHAnsi" w:hAnsiTheme="majorHAnsi" w:cstheme="majorHAnsi"/>
                <w:sz w:val="16"/>
                <w:szCs w:val="16"/>
              </w:rPr>
            </w:pPr>
            <w:r w:rsidRPr="00591E10">
              <w:rPr>
                <w:rFonts w:asciiTheme="majorHAnsi" w:hAnsiTheme="majorHAnsi" w:cstheme="majorHAnsi"/>
                <w:sz w:val="16"/>
                <w:szCs w:val="16"/>
              </w:rPr>
              <w:t xml:space="preserve">                  (125.239)</w:t>
            </w:r>
          </w:p>
        </w:tc>
        <w:tc>
          <w:tcPr>
            <w:tcW w:w="740" w:type="pct"/>
            <w:tcBorders>
              <w:top w:val="nil"/>
              <w:left w:val="nil"/>
              <w:bottom w:val="nil"/>
              <w:right w:val="nil"/>
            </w:tcBorders>
            <w:shd w:val="clear" w:color="auto" w:fill="auto"/>
            <w:noWrap/>
            <w:vAlign w:val="bottom"/>
            <w:hideMark/>
          </w:tcPr>
          <w:p w14:paraId="1B37ACD8" w14:textId="77777777" w:rsidR="00591E10" w:rsidRPr="00591E10" w:rsidRDefault="00591E10" w:rsidP="00591E10">
            <w:pPr>
              <w:jc w:val="right"/>
              <w:rPr>
                <w:rFonts w:asciiTheme="majorHAnsi" w:hAnsiTheme="majorHAnsi" w:cstheme="majorHAnsi"/>
                <w:sz w:val="16"/>
                <w:szCs w:val="16"/>
              </w:rPr>
            </w:pPr>
            <w:r w:rsidRPr="00591E10">
              <w:rPr>
                <w:rFonts w:asciiTheme="majorHAnsi" w:hAnsiTheme="majorHAnsi" w:cstheme="majorHAnsi"/>
                <w:sz w:val="16"/>
                <w:szCs w:val="16"/>
              </w:rPr>
              <w:t xml:space="preserve">                  (330.425)</w:t>
            </w:r>
          </w:p>
        </w:tc>
        <w:tc>
          <w:tcPr>
            <w:tcW w:w="738" w:type="pct"/>
            <w:tcBorders>
              <w:top w:val="nil"/>
              <w:left w:val="nil"/>
              <w:bottom w:val="nil"/>
              <w:right w:val="nil"/>
            </w:tcBorders>
            <w:shd w:val="clear" w:color="auto" w:fill="auto"/>
            <w:noWrap/>
            <w:vAlign w:val="bottom"/>
            <w:hideMark/>
          </w:tcPr>
          <w:p w14:paraId="41EE9117" w14:textId="77777777" w:rsidR="00591E10" w:rsidRPr="00591E10" w:rsidRDefault="00591E10" w:rsidP="00591E10">
            <w:pPr>
              <w:jc w:val="right"/>
              <w:rPr>
                <w:rFonts w:asciiTheme="majorHAnsi" w:hAnsiTheme="majorHAnsi" w:cstheme="majorHAnsi"/>
                <w:sz w:val="16"/>
                <w:szCs w:val="16"/>
              </w:rPr>
            </w:pPr>
            <w:r w:rsidRPr="00591E10">
              <w:rPr>
                <w:rFonts w:asciiTheme="majorHAnsi" w:hAnsiTheme="majorHAnsi" w:cstheme="majorHAnsi"/>
                <w:sz w:val="16"/>
                <w:szCs w:val="16"/>
              </w:rPr>
              <w:t xml:space="preserve">                               -   </w:t>
            </w:r>
          </w:p>
        </w:tc>
        <w:tc>
          <w:tcPr>
            <w:tcW w:w="738" w:type="pct"/>
            <w:tcBorders>
              <w:top w:val="nil"/>
              <w:left w:val="nil"/>
              <w:bottom w:val="nil"/>
              <w:right w:val="nil"/>
            </w:tcBorders>
            <w:shd w:val="clear" w:color="auto" w:fill="auto"/>
            <w:noWrap/>
            <w:vAlign w:val="bottom"/>
            <w:hideMark/>
          </w:tcPr>
          <w:p w14:paraId="78410927" w14:textId="77777777" w:rsidR="00591E10" w:rsidRPr="00591E10" w:rsidRDefault="00591E10" w:rsidP="00591E10">
            <w:pPr>
              <w:jc w:val="right"/>
              <w:rPr>
                <w:rFonts w:asciiTheme="majorHAnsi" w:hAnsiTheme="majorHAnsi" w:cstheme="majorHAnsi"/>
                <w:sz w:val="16"/>
                <w:szCs w:val="16"/>
              </w:rPr>
            </w:pPr>
            <w:r w:rsidRPr="00591E10">
              <w:rPr>
                <w:rFonts w:asciiTheme="majorHAnsi" w:hAnsiTheme="majorHAnsi" w:cstheme="majorHAnsi"/>
                <w:sz w:val="16"/>
                <w:szCs w:val="16"/>
              </w:rPr>
              <w:t xml:space="preserve">                                 -   </w:t>
            </w:r>
          </w:p>
        </w:tc>
        <w:tc>
          <w:tcPr>
            <w:tcW w:w="368" w:type="pct"/>
            <w:gridSpan w:val="2"/>
            <w:tcBorders>
              <w:top w:val="nil"/>
              <w:left w:val="nil"/>
              <w:bottom w:val="nil"/>
              <w:right w:val="nil"/>
            </w:tcBorders>
            <w:shd w:val="clear" w:color="auto" w:fill="auto"/>
            <w:noWrap/>
            <w:vAlign w:val="bottom"/>
            <w:hideMark/>
          </w:tcPr>
          <w:p w14:paraId="72090949" w14:textId="77777777" w:rsidR="00591E10" w:rsidRPr="00591E10" w:rsidRDefault="00591E10" w:rsidP="00C20033">
            <w:pPr>
              <w:jc w:val="center"/>
              <w:rPr>
                <w:rFonts w:asciiTheme="majorHAnsi" w:hAnsiTheme="majorHAnsi" w:cstheme="majorHAnsi"/>
                <w:sz w:val="16"/>
                <w:szCs w:val="16"/>
              </w:rPr>
            </w:pPr>
          </w:p>
        </w:tc>
      </w:tr>
      <w:tr w:rsidR="00591E10" w:rsidRPr="00591E10" w14:paraId="5FBDCF1D" w14:textId="77777777" w:rsidTr="00591E10">
        <w:trPr>
          <w:trHeight w:hRule="exact" w:val="227"/>
        </w:trPr>
        <w:tc>
          <w:tcPr>
            <w:tcW w:w="1679" w:type="pct"/>
            <w:tcBorders>
              <w:top w:val="nil"/>
              <w:left w:val="nil"/>
              <w:bottom w:val="nil"/>
              <w:right w:val="nil"/>
            </w:tcBorders>
            <w:shd w:val="clear" w:color="auto" w:fill="auto"/>
            <w:noWrap/>
            <w:vAlign w:val="bottom"/>
            <w:hideMark/>
          </w:tcPr>
          <w:p w14:paraId="6CD8C4B6" w14:textId="77777777" w:rsidR="00591E10" w:rsidRPr="00591E10" w:rsidRDefault="00591E10">
            <w:pPr>
              <w:rPr>
                <w:rFonts w:asciiTheme="majorHAnsi" w:hAnsiTheme="majorHAnsi" w:cstheme="majorHAnsi"/>
                <w:sz w:val="16"/>
                <w:szCs w:val="16"/>
              </w:rPr>
            </w:pPr>
          </w:p>
        </w:tc>
        <w:tc>
          <w:tcPr>
            <w:tcW w:w="738" w:type="pct"/>
            <w:tcBorders>
              <w:top w:val="nil"/>
              <w:left w:val="nil"/>
              <w:bottom w:val="nil"/>
              <w:right w:val="nil"/>
            </w:tcBorders>
            <w:shd w:val="clear" w:color="auto" w:fill="auto"/>
            <w:noWrap/>
            <w:vAlign w:val="bottom"/>
            <w:hideMark/>
          </w:tcPr>
          <w:p w14:paraId="52FF59E0" w14:textId="77777777" w:rsidR="00591E10" w:rsidRPr="00591E10" w:rsidRDefault="00591E10" w:rsidP="00591E10">
            <w:pPr>
              <w:jc w:val="right"/>
              <w:rPr>
                <w:rFonts w:asciiTheme="majorHAnsi" w:hAnsiTheme="majorHAnsi" w:cstheme="majorHAnsi"/>
                <w:sz w:val="16"/>
                <w:szCs w:val="16"/>
              </w:rPr>
            </w:pPr>
          </w:p>
        </w:tc>
        <w:tc>
          <w:tcPr>
            <w:tcW w:w="740" w:type="pct"/>
            <w:tcBorders>
              <w:top w:val="nil"/>
              <w:left w:val="nil"/>
              <w:bottom w:val="nil"/>
              <w:right w:val="nil"/>
            </w:tcBorders>
            <w:shd w:val="clear" w:color="auto" w:fill="auto"/>
            <w:noWrap/>
            <w:vAlign w:val="bottom"/>
            <w:hideMark/>
          </w:tcPr>
          <w:p w14:paraId="2927C59C" w14:textId="77777777" w:rsidR="00591E10" w:rsidRPr="00591E10" w:rsidRDefault="00591E10" w:rsidP="00591E10">
            <w:pPr>
              <w:jc w:val="right"/>
              <w:rPr>
                <w:rFonts w:asciiTheme="majorHAnsi" w:hAnsiTheme="majorHAnsi" w:cstheme="majorHAnsi"/>
                <w:sz w:val="16"/>
                <w:szCs w:val="16"/>
              </w:rPr>
            </w:pPr>
          </w:p>
        </w:tc>
        <w:tc>
          <w:tcPr>
            <w:tcW w:w="738" w:type="pct"/>
            <w:tcBorders>
              <w:top w:val="nil"/>
              <w:left w:val="nil"/>
              <w:bottom w:val="nil"/>
              <w:right w:val="nil"/>
            </w:tcBorders>
            <w:shd w:val="clear" w:color="auto" w:fill="auto"/>
            <w:noWrap/>
            <w:vAlign w:val="bottom"/>
            <w:hideMark/>
          </w:tcPr>
          <w:p w14:paraId="75D4C656" w14:textId="77777777" w:rsidR="00591E10" w:rsidRPr="00591E10" w:rsidRDefault="00591E10" w:rsidP="00591E10">
            <w:pPr>
              <w:jc w:val="right"/>
              <w:rPr>
                <w:rFonts w:asciiTheme="majorHAnsi" w:hAnsiTheme="majorHAnsi" w:cstheme="majorHAnsi"/>
                <w:sz w:val="16"/>
                <w:szCs w:val="16"/>
              </w:rPr>
            </w:pPr>
          </w:p>
        </w:tc>
        <w:tc>
          <w:tcPr>
            <w:tcW w:w="738" w:type="pct"/>
            <w:tcBorders>
              <w:top w:val="nil"/>
              <w:left w:val="nil"/>
              <w:bottom w:val="nil"/>
              <w:right w:val="nil"/>
            </w:tcBorders>
            <w:shd w:val="clear" w:color="auto" w:fill="auto"/>
            <w:noWrap/>
            <w:vAlign w:val="center"/>
            <w:hideMark/>
          </w:tcPr>
          <w:p w14:paraId="7EC9DB2F" w14:textId="77777777" w:rsidR="00591E10" w:rsidRPr="00591E10" w:rsidRDefault="00591E10" w:rsidP="00591E10">
            <w:pPr>
              <w:jc w:val="right"/>
              <w:rPr>
                <w:rFonts w:asciiTheme="majorHAnsi" w:hAnsiTheme="majorHAnsi" w:cstheme="majorHAnsi"/>
                <w:sz w:val="16"/>
                <w:szCs w:val="16"/>
              </w:rPr>
            </w:pPr>
          </w:p>
        </w:tc>
        <w:tc>
          <w:tcPr>
            <w:tcW w:w="368" w:type="pct"/>
            <w:gridSpan w:val="2"/>
            <w:tcBorders>
              <w:top w:val="nil"/>
              <w:left w:val="nil"/>
              <w:bottom w:val="nil"/>
              <w:right w:val="nil"/>
            </w:tcBorders>
            <w:shd w:val="clear" w:color="auto" w:fill="auto"/>
            <w:noWrap/>
            <w:vAlign w:val="bottom"/>
            <w:hideMark/>
          </w:tcPr>
          <w:p w14:paraId="20EA835A" w14:textId="77777777" w:rsidR="00591E10" w:rsidRPr="00591E10" w:rsidRDefault="00591E10" w:rsidP="00C20033">
            <w:pPr>
              <w:jc w:val="center"/>
              <w:rPr>
                <w:rFonts w:asciiTheme="majorHAnsi" w:hAnsiTheme="majorHAnsi" w:cstheme="majorHAnsi"/>
                <w:sz w:val="16"/>
                <w:szCs w:val="16"/>
              </w:rPr>
            </w:pPr>
          </w:p>
        </w:tc>
      </w:tr>
      <w:tr w:rsidR="00591E10" w:rsidRPr="00591E10" w14:paraId="7B75B1DC" w14:textId="77777777" w:rsidTr="00591E10">
        <w:trPr>
          <w:trHeight w:hRule="exact" w:val="227"/>
        </w:trPr>
        <w:tc>
          <w:tcPr>
            <w:tcW w:w="1679" w:type="pct"/>
            <w:tcBorders>
              <w:top w:val="nil"/>
              <w:left w:val="nil"/>
              <w:bottom w:val="nil"/>
              <w:right w:val="nil"/>
            </w:tcBorders>
            <w:shd w:val="clear" w:color="auto" w:fill="auto"/>
            <w:hideMark/>
          </w:tcPr>
          <w:p w14:paraId="0FBF66F3" w14:textId="77777777" w:rsidR="00591E10" w:rsidRPr="00591E10" w:rsidRDefault="00591E10">
            <w:pPr>
              <w:rPr>
                <w:rFonts w:asciiTheme="majorHAnsi" w:hAnsiTheme="majorHAnsi" w:cstheme="majorHAnsi"/>
                <w:b/>
                <w:bCs/>
                <w:sz w:val="16"/>
                <w:szCs w:val="16"/>
              </w:rPr>
            </w:pPr>
            <w:r w:rsidRPr="00591E10">
              <w:rPr>
                <w:rFonts w:asciiTheme="majorHAnsi" w:hAnsiTheme="majorHAnsi" w:cstheme="majorHAnsi"/>
                <w:b/>
                <w:bCs/>
                <w:sz w:val="16"/>
                <w:szCs w:val="16"/>
              </w:rPr>
              <w:t>RESULTADO ANTES DO RESULTADO FINANCEIRO</w:t>
            </w:r>
          </w:p>
        </w:tc>
        <w:tc>
          <w:tcPr>
            <w:tcW w:w="738" w:type="pct"/>
            <w:tcBorders>
              <w:top w:val="nil"/>
              <w:left w:val="nil"/>
              <w:bottom w:val="nil"/>
              <w:right w:val="nil"/>
            </w:tcBorders>
            <w:shd w:val="clear" w:color="auto" w:fill="auto"/>
            <w:noWrap/>
            <w:vAlign w:val="bottom"/>
            <w:hideMark/>
          </w:tcPr>
          <w:p w14:paraId="3CDD42D5" w14:textId="77777777" w:rsidR="00591E10" w:rsidRPr="00591E10" w:rsidRDefault="00591E10" w:rsidP="00591E10">
            <w:pPr>
              <w:jc w:val="right"/>
              <w:rPr>
                <w:rFonts w:asciiTheme="majorHAnsi" w:hAnsiTheme="majorHAnsi" w:cstheme="majorHAnsi"/>
                <w:b/>
                <w:bCs/>
                <w:sz w:val="16"/>
                <w:szCs w:val="16"/>
              </w:rPr>
            </w:pPr>
            <w:r w:rsidRPr="00591E10">
              <w:rPr>
                <w:rFonts w:asciiTheme="majorHAnsi" w:hAnsiTheme="majorHAnsi" w:cstheme="majorHAnsi"/>
                <w:b/>
                <w:bCs/>
                <w:sz w:val="16"/>
                <w:szCs w:val="16"/>
              </w:rPr>
              <w:t xml:space="preserve">               (3.973.392)</w:t>
            </w:r>
          </w:p>
        </w:tc>
        <w:tc>
          <w:tcPr>
            <w:tcW w:w="740" w:type="pct"/>
            <w:tcBorders>
              <w:top w:val="nil"/>
              <w:left w:val="nil"/>
              <w:bottom w:val="nil"/>
              <w:right w:val="nil"/>
            </w:tcBorders>
            <w:shd w:val="clear" w:color="auto" w:fill="auto"/>
            <w:noWrap/>
            <w:vAlign w:val="bottom"/>
            <w:hideMark/>
          </w:tcPr>
          <w:p w14:paraId="0F59B4F5" w14:textId="77777777" w:rsidR="00591E10" w:rsidRPr="00591E10" w:rsidRDefault="00591E10" w:rsidP="00591E10">
            <w:pPr>
              <w:jc w:val="right"/>
              <w:rPr>
                <w:rFonts w:asciiTheme="majorHAnsi" w:hAnsiTheme="majorHAnsi" w:cstheme="majorHAnsi"/>
                <w:b/>
                <w:bCs/>
                <w:sz w:val="16"/>
                <w:szCs w:val="16"/>
              </w:rPr>
            </w:pPr>
            <w:r w:rsidRPr="00591E10">
              <w:rPr>
                <w:rFonts w:asciiTheme="majorHAnsi" w:hAnsiTheme="majorHAnsi" w:cstheme="majorHAnsi"/>
                <w:b/>
                <w:bCs/>
                <w:sz w:val="16"/>
                <w:szCs w:val="16"/>
              </w:rPr>
              <w:t xml:space="preserve">            (45.196.604)</w:t>
            </w:r>
          </w:p>
        </w:tc>
        <w:tc>
          <w:tcPr>
            <w:tcW w:w="738" w:type="pct"/>
            <w:tcBorders>
              <w:top w:val="nil"/>
              <w:left w:val="nil"/>
              <w:bottom w:val="nil"/>
              <w:right w:val="nil"/>
            </w:tcBorders>
            <w:shd w:val="clear" w:color="auto" w:fill="auto"/>
            <w:noWrap/>
            <w:vAlign w:val="bottom"/>
            <w:hideMark/>
          </w:tcPr>
          <w:p w14:paraId="7F7FCABB" w14:textId="77777777" w:rsidR="00591E10" w:rsidRPr="00591E10" w:rsidRDefault="00591E10" w:rsidP="00591E10">
            <w:pPr>
              <w:jc w:val="right"/>
              <w:rPr>
                <w:rFonts w:asciiTheme="majorHAnsi" w:hAnsiTheme="majorHAnsi" w:cstheme="majorHAnsi"/>
                <w:b/>
                <w:bCs/>
                <w:sz w:val="16"/>
                <w:szCs w:val="16"/>
              </w:rPr>
            </w:pPr>
            <w:r w:rsidRPr="00591E10">
              <w:rPr>
                <w:rFonts w:asciiTheme="majorHAnsi" w:hAnsiTheme="majorHAnsi" w:cstheme="majorHAnsi"/>
                <w:b/>
                <w:bCs/>
                <w:sz w:val="16"/>
                <w:szCs w:val="16"/>
              </w:rPr>
              <w:t xml:space="preserve">            (72.699.847)</w:t>
            </w:r>
          </w:p>
        </w:tc>
        <w:tc>
          <w:tcPr>
            <w:tcW w:w="738" w:type="pct"/>
            <w:tcBorders>
              <w:top w:val="nil"/>
              <w:left w:val="nil"/>
              <w:bottom w:val="nil"/>
              <w:right w:val="nil"/>
            </w:tcBorders>
            <w:shd w:val="clear" w:color="auto" w:fill="auto"/>
            <w:noWrap/>
            <w:vAlign w:val="bottom"/>
            <w:hideMark/>
          </w:tcPr>
          <w:p w14:paraId="64915CD2" w14:textId="77777777" w:rsidR="00591E10" w:rsidRPr="00591E10" w:rsidRDefault="00591E10" w:rsidP="00591E10">
            <w:pPr>
              <w:jc w:val="right"/>
              <w:rPr>
                <w:rFonts w:asciiTheme="majorHAnsi" w:hAnsiTheme="majorHAnsi" w:cstheme="majorHAnsi"/>
                <w:b/>
                <w:bCs/>
                <w:sz w:val="16"/>
                <w:szCs w:val="16"/>
              </w:rPr>
            </w:pPr>
            <w:r w:rsidRPr="00591E10">
              <w:rPr>
                <w:rFonts w:asciiTheme="majorHAnsi" w:hAnsiTheme="majorHAnsi" w:cstheme="majorHAnsi"/>
                <w:b/>
                <w:bCs/>
                <w:sz w:val="16"/>
                <w:szCs w:val="16"/>
              </w:rPr>
              <w:t xml:space="preserve">            (138.399.560)</w:t>
            </w:r>
          </w:p>
        </w:tc>
        <w:tc>
          <w:tcPr>
            <w:tcW w:w="368" w:type="pct"/>
            <w:gridSpan w:val="2"/>
            <w:tcBorders>
              <w:top w:val="nil"/>
              <w:left w:val="nil"/>
              <w:bottom w:val="nil"/>
              <w:right w:val="nil"/>
            </w:tcBorders>
            <w:shd w:val="clear" w:color="auto" w:fill="auto"/>
            <w:noWrap/>
            <w:vAlign w:val="bottom"/>
            <w:hideMark/>
          </w:tcPr>
          <w:p w14:paraId="37A2CBEA" w14:textId="77777777" w:rsidR="00591E10" w:rsidRPr="00591E10" w:rsidRDefault="00591E10" w:rsidP="00C20033">
            <w:pPr>
              <w:jc w:val="center"/>
              <w:rPr>
                <w:rFonts w:asciiTheme="majorHAnsi" w:hAnsiTheme="majorHAnsi" w:cstheme="majorHAnsi"/>
                <w:b/>
                <w:bCs/>
                <w:sz w:val="16"/>
                <w:szCs w:val="16"/>
              </w:rPr>
            </w:pPr>
          </w:p>
        </w:tc>
      </w:tr>
      <w:tr w:rsidR="00591E10" w:rsidRPr="00591E10" w14:paraId="26185420" w14:textId="77777777" w:rsidTr="00591E10">
        <w:trPr>
          <w:trHeight w:hRule="exact" w:val="227"/>
        </w:trPr>
        <w:tc>
          <w:tcPr>
            <w:tcW w:w="1679" w:type="pct"/>
            <w:tcBorders>
              <w:top w:val="nil"/>
              <w:left w:val="nil"/>
              <w:bottom w:val="nil"/>
              <w:right w:val="nil"/>
            </w:tcBorders>
            <w:shd w:val="clear" w:color="auto" w:fill="auto"/>
            <w:hideMark/>
          </w:tcPr>
          <w:p w14:paraId="6D354DAA" w14:textId="77777777" w:rsidR="00591E10" w:rsidRPr="00591E10" w:rsidRDefault="00591E10">
            <w:pPr>
              <w:jc w:val="right"/>
              <w:rPr>
                <w:rFonts w:asciiTheme="majorHAnsi" w:hAnsiTheme="majorHAnsi" w:cstheme="majorHAnsi"/>
                <w:sz w:val="16"/>
                <w:szCs w:val="16"/>
              </w:rPr>
            </w:pPr>
          </w:p>
        </w:tc>
        <w:tc>
          <w:tcPr>
            <w:tcW w:w="738" w:type="pct"/>
            <w:tcBorders>
              <w:top w:val="nil"/>
              <w:left w:val="nil"/>
              <w:bottom w:val="nil"/>
              <w:right w:val="nil"/>
            </w:tcBorders>
            <w:shd w:val="clear" w:color="auto" w:fill="auto"/>
            <w:noWrap/>
            <w:vAlign w:val="bottom"/>
            <w:hideMark/>
          </w:tcPr>
          <w:p w14:paraId="30F15FA1" w14:textId="77777777" w:rsidR="00591E10" w:rsidRPr="00591E10" w:rsidRDefault="00591E10" w:rsidP="00591E10">
            <w:pPr>
              <w:jc w:val="right"/>
              <w:rPr>
                <w:rFonts w:asciiTheme="majorHAnsi" w:hAnsiTheme="majorHAnsi" w:cstheme="majorHAnsi"/>
                <w:sz w:val="16"/>
                <w:szCs w:val="16"/>
              </w:rPr>
            </w:pPr>
            <w:r w:rsidRPr="00591E10">
              <w:rPr>
                <w:rFonts w:asciiTheme="majorHAnsi" w:hAnsiTheme="majorHAnsi" w:cstheme="majorHAnsi"/>
                <w:sz w:val="16"/>
                <w:szCs w:val="16"/>
              </w:rPr>
              <w:t xml:space="preserve">                               -   </w:t>
            </w:r>
          </w:p>
        </w:tc>
        <w:tc>
          <w:tcPr>
            <w:tcW w:w="740" w:type="pct"/>
            <w:tcBorders>
              <w:top w:val="nil"/>
              <w:left w:val="nil"/>
              <w:bottom w:val="nil"/>
              <w:right w:val="nil"/>
            </w:tcBorders>
            <w:shd w:val="clear" w:color="auto" w:fill="auto"/>
            <w:noWrap/>
            <w:vAlign w:val="bottom"/>
            <w:hideMark/>
          </w:tcPr>
          <w:p w14:paraId="36EE7A7B" w14:textId="77777777" w:rsidR="00591E10" w:rsidRPr="00591E10" w:rsidRDefault="00591E10" w:rsidP="00591E10">
            <w:pPr>
              <w:jc w:val="right"/>
              <w:rPr>
                <w:rFonts w:asciiTheme="majorHAnsi" w:hAnsiTheme="majorHAnsi" w:cstheme="majorHAnsi"/>
                <w:sz w:val="16"/>
                <w:szCs w:val="16"/>
              </w:rPr>
            </w:pPr>
          </w:p>
        </w:tc>
        <w:tc>
          <w:tcPr>
            <w:tcW w:w="738" w:type="pct"/>
            <w:tcBorders>
              <w:top w:val="nil"/>
              <w:left w:val="nil"/>
              <w:bottom w:val="nil"/>
              <w:right w:val="nil"/>
            </w:tcBorders>
            <w:shd w:val="clear" w:color="auto" w:fill="auto"/>
            <w:noWrap/>
            <w:vAlign w:val="bottom"/>
            <w:hideMark/>
          </w:tcPr>
          <w:p w14:paraId="75DD9619" w14:textId="77777777" w:rsidR="00591E10" w:rsidRPr="00591E10" w:rsidRDefault="00591E10" w:rsidP="00591E10">
            <w:pPr>
              <w:jc w:val="right"/>
              <w:rPr>
                <w:rFonts w:asciiTheme="majorHAnsi" w:hAnsiTheme="majorHAnsi" w:cstheme="majorHAnsi"/>
                <w:sz w:val="16"/>
                <w:szCs w:val="16"/>
              </w:rPr>
            </w:pPr>
          </w:p>
        </w:tc>
        <w:tc>
          <w:tcPr>
            <w:tcW w:w="738" w:type="pct"/>
            <w:tcBorders>
              <w:top w:val="nil"/>
              <w:left w:val="nil"/>
              <w:bottom w:val="nil"/>
              <w:right w:val="nil"/>
            </w:tcBorders>
            <w:shd w:val="clear" w:color="auto" w:fill="auto"/>
            <w:noWrap/>
            <w:vAlign w:val="bottom"/>
            <w:hideMark/>
          </w:tcPr>
          <w:p w14:paraId="50D43FFB" w14:textId="77777777" w:rsidR="00591E10" w:rsidRPr="00591E10" w:rsidRDefault="00591E10" w:rsidP="00591E10">
            <w:pPr>
              <w:jc w:val="right"/>
              <w:rPr>
                <w:rFonts w:asciiTheme="majorHAnsi" w:hAnsiTheme="majorHAnsi" w:cstheme="majorHAnsi"/>
                <w:sz w:val="16"/>
                <w:szCs w:val="16"/>
              </w:rPr>
            </w:pPr>
          </w:p>
        </w:tc>
        <w:tc>
          <w:tcPr>
            <w:tcW w:w="368" w:type="pct"/>
            <w:gridSpan w:val="2"/>
            <w:tcBorders>
              <w:top w:val="nil"/>
              <w:left w:val="nil"/>
              <w:bottom w:val="nil"/>
              <w:right w:val="nil"/>
            </w:tcBorders>
            <w:shd w:val="clear" w:color="auto" w:fill="auto"/>
            <w:noWrap/>
            <w:vAlign w:val="bottom"/>
            <w:hideMark/>
          </w:tcPr>
          <w:p w14:paraId="79A7669B" w14:textId="77777777" w:rsidR="00591E10" w:rsidRPr="00591E10" w:rsidRDefault="00591E10" w:rsidP="00C20033">
            <w:pPr>
              <w:jc w:val="center"/>
              <w:rPr>
                <w:rFonts w:asciiTheme="majorHAnsi" w:hAnsiTheme="majorHAnsi" w:cstheme="majorHAnsi"/>
                <w:sz w:val="16"/>
                <w:szCs w:val="16"/>
              </w:rPr>
            </w:pPr>
          </w:p>
        </w:tc>
      </w:tr>
      <w:tr w:rsidR="00591E10" w:rsidRPr="00591E10" w14:paraId="1D75C08B" w14:textId="77777777" w:rsidTr="00591E10">
        <w:trPr>
          <w:trHeight w:hRule="exact" w:val="227"/>
        </w:trPr>
        <w:tc>
          <w:tcPr>
            <w:tcW w:w="1679" w:type="pct"/>
            <w:tcBorders>
              <w:top w:val="nil"/>
              <w:left w:val="nil"/>
              <w:bottom w:val="nil"/>
              <w:right w:val="nil"/>
            </w:tcBorders>
            <w:shd w:val="clear" w:color="auto" w:fill="auto"/>
            <w:noWrap/>
            <w:vAlign w:val="bottom"/>
            <w:hideMark/>
          </w:tcPr>
          <w:p w14:paraId="0E60275F" w14:textId="77777777" w:rsidR="00591E10" w:rsidRPr="00591E10" w:rsidRDefault="00591E10">
            <w:pPr>
              <w:rPr>
                <w:rFonts w:asciiTheme="majorHAnsi" w:hAnsiTheme="majorHAnsi" w:cstheme="majorHAnsi"/>
                <w:b/>
                <w:bCs/>
                <w:sz w:val="16"/>
                <w:szCs w:val="16"/>
              </w:rPr>
            </w:pPr>
            <w:r w:rsidRPr="00591E10">
              <w:rPr>
                <w:rFonts w:asciiTheme="majorHAnsi" w:hAnsiTheme="majorHAnsi" w:cstheme="majorHAnsi"/>
                <w:b/>
                <w:bCs/>
                <w:sz w:val="16"/>
                <w:szCs w:val="16"/>
              </w:rPr>
              <w:t>RESUTADO FINANCEIRO LÍQUIDO</w:t>
            </w:r>
          </w:p>
        </w:tc>
        <w:tc>
          <w:tcPr>
            <w:tcW w:w="738" w:type="pct"/>
            <w:tcBorders>
              <w:top w:val="nil"/>
              <w:left w:val="nil"/>
              <w:bottom w:val="nil"/>
              <w:right w:val="nil"/>
            </w:tcBorders>
            <w:shd w:val="clear" w:color="auto" w:fill="auto"/>
            <w:noWrap/>
            <w:vAlign w:val="bottom"/>
            <w:hideMark/>
          </w:tcPr>
          <w:p w14:paraId="19D30F87" w14:textId="77777777" w:rsidR="00591E10" w:rsidRPr="00591E10" w:rsidRDefault="00591E10" w:rsidP="00591E10">
            <w:pPr>
              <w:jc w:val="right"/>
              <w:rPr>
                <w:rFonts w:asciiTheme="majorHAnsi" w:hAnsiTheme="majorHAnsi" w:cstheme="majorHAnsi"/>
                <w:b/>
                <w:bCs/>
                <w:sz w:val="16"/>
                <w:szCs w:val="16"/>
              </w:rPr>
            </w:pPr>
            <w:r w:rsidRPr="00591E10">
              <w:rPr>
                <w:rFonts w:asciiTheme="majorHAnsi" w:hAnsiTheme="majorHAnsi" w:cstheme="majorHAnsi"/>
                <w:b/>
                <w:bCs/>
                <w:sz w:val="16"/>
                <w:szCs w:val="16"/>
              </w:rPr>
              <w:t xml:space="preserve">                1.433.072 </w:t>
            </w:r>
          </w:p>
        </w:tc>
        <w:tc>
          <w:tcPr>
            <w:tcW w:w="740" w:type="pct"/>
            <w:tcBorders>
              <w:top w:val="nil"/>
              <w:left w:val="nil"/>
              <w:bottom w:val="nil"/>
              <w:right w:val="nil"/>
            </w:tcBorders>
            <w:shd w:val="clear" w:color="auto" w:fill="auto"/>
            <w:noWrap/>
            <w:vAlign w:val="bottom"/>
            <w:hideMark/>
          </w:tcPr>
          <w:p w14:paraId="5107615E" w14:textId="77777777" w:rsidR="00591E10" w:rsidRPr="00591E10" w:rsidRDefault="00591E10" w:rsidP="00591E10">
            <w:pPr>
              <w:jc w:val="right"/>
              <w:rPr>
                <w:rFonts w:asciiTheme="majorHAnsi" w:hAnsiTheme="majorHAnsi" w:cstheme="majorHAnsi"/>
                <w:b/>
                <w:bCs/>
                <w:sz w:val="16"/>
                <w:szCs w:val="16"/>
              </w:rPr>
            </w:pPr>
            <w:r w:rsidRPr="00591E10">
              <w:rPr>
                <w:rFonts w:asciiTheme="majorHAnsi" w:hAnsiTheme="majorHAnsi" w:cstheme="majorHAnsi"/>
                <w:b/>
                <w:bCs/>
                <w:sz w:val="16"/>
                <w:szCs w:val="16"/>
              </w:rPr>
              <w:t xml:space="preserve">                3.032.449 </w:t>
            </w:r>
          </w:p>
        </w:tc>
        <w:tc>
          <w:tcPr>
            <w:tcW w:w="738" w:type="pct"/>
            <w:tcBorders>
              <w:top w:val="nil"/>
              <w:left w:val="nil"/>
              <w:bottom w:val="nil"/>
              <w:right w:val="nil"/>
            </w:tcBorders>
            <w:shd w:val="clear" w:color="auto" w:fill="auto"/>
            <w:noWrap/>
            <w:vAlign w:val="bottom"/>
            <w:hideMark/>
          </w:tcPr>
          <w:p w14:paraId="232F3D40" w14:textId="77777777" w:rsidR="00591E10" w:rsidRPr="00591E10" w:rsidRDefault="00591E10" w:rsidP="00591E10">
            <w:pPr>
              <w:jc w:val="right"/>
              <w:rPr>
                <w:rFonts w:asciiTheme="majorHAnsi" w:hAnsiTheme="majorHAnsi" w:cstheme="majorHAnsi"/>
                <w:b/>
                <w:bCs/>
                <w:sz w:val="16"/>
                <w:szCs w:val="16"/>
              </w:rPr>
            </w:pPr>
            <w:r w:rsidRPr="00591E10">
              <w:rPr>
                <w:rFonts w:asciiTheme="majorHAnsi" w:hAnsiTheme="majorHAnsi" w:cstheme="majorHAnsi"/>
                <w:b/>
                <w:bCs/>
                <w:sz w:val="16"/>
                <w:szCs w:val="16"/>
              </w:rPr>
              <w:t xml:space="preserve">                2.359.195 </w:t>
            </w:r>
          </w:p>
        </w:tc>
        <w:tc>
          <w:tcPr>
            <w:tcW w:w="738" w:type="pct"/>
            <w:tcBorders>
              <w:top w:val="nil"/>
              <w:left w:val="nil"/>
              <w:bottom w:val="nil"/>
              <w:right w:val="nil"/>
            </w:tcBorders>
            <w:shd w:val="clear" w:color="auto" w:fill="auto"/>
            <w:noWrap/>
            <w:vAlign w:val="bottom"/>
            <w:hideMark/>
          </w:tcPr>
          <w:p w14:paraId="664D7B84" w14:textId="77777777" w:rsidR="00591E10" w:rsidRPr="00591E10" w:rsidRDefault="00591E10" w:rsidP="00591E10">
            <w:pPr>
              <w:jc w:val="right"/>
              <w:rPr>
                <w:rFonts w:asciiTheme="majorHAnsi" w:hAnsiTheme="majorHAnsi" w:cstheme="majorHAnsi"/>
                <w:b/>
                <w:bCs/>
                <w:sz w:val="16"/>
                <w:szCs w:val="16"/>
              </w:rPr>
            </w:pPr>
            <w:r w:rsidRPr="00591E10">
              <w:rPr>
                <w:rFonts w:asciiTheme="majorHAnsi" w:hAnsiTheme="majorHAnsi" w:cstheme="majorHAnsi"/>
                <w:b/>
                <w:bCs/>
                <w:sz w:val="16"/>
                <w:szCs w:val="16"/>
              </w:rPr>
              <w:t xml:space="preserve">                   3.461.839 </w:t>
            </w:r>
          </w:p>
        </w:tc>
        <w:tc>
          <w:tcPr>
            <w:tcW w:w="368" w:type="pct"/>
            <w:gridSpan w:val="2"/>
            <w:tcBorders>
              <w:top w:val="nil"/>
              <w:left w:val="nil"/>
              <w:bottom w:val="nil"/>
              <w:right w:val="nil"/>
            </w:tcBorders>
            <w:shd w:val="clear" w:color="auto" w:fill="auto"/>
            <w:noWrap/>
            <w:vAlign w:val="bottom"/>
            <w:hideMark/>
          </w:tcPr>
          <w:p w14:paraId="45886ACB" w14:textId="77777777" w:rsidR="00591E10" w:rsidRPr="00591E10" w:rsidRDefault="00591E10" w:rsidP="00C20033">
            <w:pPr>
              <w:jc w:val="center"/>
              <w:rPr>
                <w:rFonts w:asciiTheme="majorHAnsi" w:hAnsiTheme="majorHAnsi" w:cstheme="majorHAnsi"/>
                <w:b/>
                <w:bCs/>
                <w:sz w:val="16"/>
                <w:szCs w:val="16"/>
              </w:rPr>
            </w:pPr>
          </w:p>
        </w:tc>
      </w:tr>
      <w:tr w:rsidR="00591E10" w:rsidRPr="00591E10" w14:paraId="5E6F57F0" w14:textId="77777777" w:rsidTr="00591E10">
        <w:trPr>
          <w:trHeight w:hRule="exact" w:val="227"/>
        </w:trPr>
        <w:tc>
          <w:tcPr>
            <w:tcW w:w="1679" w:type="pct"/>
            <w:tcBorders>
              <w:top w:val="nil"/>
              <w:left w:val="nil"/>
              <w:bottom w:val="nil"/>
              <w:right w:val="nil"/>
            </w:tcBorders>
            <w:shd w:val="clear" w:color="auto" w:fill="auto"/>
            <w:noWrap/>
            <w:vAlign w:val="bottom"/>
            <w:hideMark/>
          </w:tcPr>
          <w:p w14:paraId="49686352" w14:textId="77777777" w:rsidR="00591E10" w:rsidRPr="00591E10" w:rsidRDefault="00591E10">
            <w:pPr>
              <w:rPr>
                <w:rFonts w:asciiTheme="majorHAnsi" w:hAnsiTheme="majorHAnsi" w:cstheme="majorHAnsi"/>
                <w:sz w:val="16"/>
                <w:szCs w:val="16"/>
              </w:rPr>
            </w:pPr>
            <w:r w:rsidRPr="00591E10">
              <w:rPr>
                <w:rFonts w:asciiTheme="majorHAnsi" w:hAnsiTheme="majorHAnsi" w:cstheme="majorHAnsi"/>
                <w:sz w:val="16"/>
                <w:szCs w:val="16"/>
              </w:rPr>
              <w:t xml:space="preserve">        Receita Financeira</w:t>
            </w:r>
          </w:p>
        </w:tc>
        <w:tc>
          <w:tcPr>
            <w:tcW w:w="738" w:type="pct"/>
            <w:tcBorders>
              <w:top w:val="nil"/>
              <w:left w:val="nil"/>
              <w:bottom w:val="nil"/>
              <w:right w:val="nil"/>
            </w:tcBorders>
            <w:shd w:val="clear" w:color="auto" w:fill="auto"/>
            <w:noWrap/>
            <w:vAlign w:val="bottom"/>
            <w:hideMark/>
          </w:tcPr>
          <w:p w14:paraId="44B71DED" w14:textId="77777777" w:rsidR="00591E10" w:rsidRPr="00591E10" w:rsidRDefault="00591E10" w:rsidP="00591E10">
            <w:pPr>
              <w:jc w:val="right"/>
              <w:rPr>
                <w:rFonts w:asciiTheme="majorHAnsi" w:hAnsiTheme="majorHAnsi" w:cstheme="majorHAnsi"/>
                <w:sz w:val="16"/>
                <w:szCs w:val="16"/>
              </w:rPr>
            </w:pPr>
            <w:r w:rsidRPr="00591E10">
              <w:rPr>
                <w:rFonts w:asciiTheme="majorHAnsi" w:hAnsiTheme="majorHAnsi" w:cstheme="majorHAnsi"/>
                <w:sz w:val="16"/>
                <w:szCs w:val="16"/>
              </w:rPr>
              <w:t xml:space="preserve">                1.869.636 </w:t>
            </w:r>
          </w:p>
        </w:tc>
        <w:tc>
          <w:tcPr>
            <w:tcW w:w="740" w:type="pct"/>
            <w:tcBorders>
              <w:top w:val="nil"/>
              <w:left w:val="nil"/>
              <w:bottom w:val="nil"/>
              <w:right w:val="nil"/>
            </w:tcBorders>
            <w:shd w:val="clear" w:color="auto" w:fill="auto"/>
            <w:noWrap/>
            <w:vAlign w:val="bottom"/>
            <w:hideMark/>
          </w:tcPr>
          <w:p w14:paraId="4003DE78" w14:textId="77777777" w:rsidR="00591E10" w:rsidRPr="00591E10" w:rsidRDefault="00591E10" w:rsidP="00591E10">
            <w:pPr>
              <w:jc w:val="right"/>
              <w:rPr>
                <w:rFonts w:asciiTheme="majorHAnsi" w:hAnsiTheme="majorHAnsi" w:cstheme="majorHAnsi"/>
                <w:sz w:val="16"/>
                <w:szCs w:val="16"/>
              </w:rPr>
            </w:pPr>
            <w:r w:rsidRPr="00591E10">
              <w:rPr>
                <w:rFonts w:asciiTheme="majorHAnsi" w:hAnsiTheme="majorHAnsi" w:cstheme="majorHAnsi"/>
                <w:sz w:val="16"/>
                <w:szCs w:val="16"/>
              </w:rPr>
              <w:t xml:space="preserve">                3.609.081 </w:t>
            </w:r>
          </w:p>
        </w:tc>
        <w:tc>
          <w:tcPr>
            <w:tcW w:w="738" w:type="pct"/>
            <w:tcBorders>
              <w:top w:val="nil"/>
              <w:left w:val="nil"/>
              <w:bottom w:val="nil"/>
              <w:right w:val="nil"/>
            </w:tcBorders>
            <w:shd w:val="clear" w:color="auto" w:fill="auto"/>
            <w:noWrap/>
            <w:vAlign w:val="bottom"/>
            <w:hideMark/>
          </w:tcPr>
          <w:p w14:paraId="6F7A8578" w14:textId="77777777" w:rsidR="00591E10" w:rsidRPr="00591E10" w:rsidRDefault="00591E10" w:rsidP="00591E10">
            <w:pPr>
              <w:jc w:val="right"/>
              <w:rPr>
                <w:rFonts w:asciiTheme="majorHAnsi" w:hAnsiTheme="majorHAnsi" w:cstheme="majorHAnsi"/>
                <w:sz w:val="16"/>
                <w:szCs w:val="16"/>
              </w:rPr>
            </w:pPr>
            <w:r w:rsidRPr="00591E10">
              <w:rPr>
                <w:rFonts w:asciiTheme="majorHAnsi" w:hAnsiTheme="majorHAnsi" w:cstheme="majorHAnsi"/>
                <w:sz w:val="16"/>
                <w:szCs w:val="16"/>
              </w:rPr>
              <w:t xml:space="preserve">                2.359.195 </w:t>
            </w:r>
          </w:p>
        </w:tc>
        <w:tc>
          <w:tcPr>
            <w:tcW w:w="738" w:type="pct"/>
            <w:tcBorders>
              <w:top w:val="nil"/>
              <w:left w:val="nil"/>
              <w:bottom w:val="nil"/>
              <w:right w:val="nil"/>
            </w:tcBorders>
            <w:shd w:val="clear" w:color="auto" w:fill="auto"/>
            <w:noWrap/>
            <w:vAlign w:val="bottom"/>
            <w:hideMark/>
          </w:tcPr>
          <w:p w14:paraId="4A5F51AB" w14:textId="77777777" w:rsidR="00591E10" w:rsidRPr="00591E10" w:rsidRDefault="00591E10" w:rsidP="00591E10">
            <w:pPr>
              <w:jc w:val="right"/>
              <w:rPr>
                <w:rFonts w:asciiTheme="majorHAnsi" w:hAnsiTheme="majorHAnsi" w:cstheme="majorHAnsi"/>
                <w:sz w:val="16"/>
                <w:szCs w:val="16"/>
              </w:rPr>
            </w:pPr>
            <w:r w:rsidRPr="00591E10">
              <w:rPr>
                <w:rFonts w:asciiTheme="majorHAnsi" w:hAnsiTheme="majorHAnsi" w:cstheme="majorHAnsi"/>
                <w:sz w:val="16"/>
                <w:szCs w:val="16"/>
              </w:rPr>
              <w:t xml:space="preserve">                   3.461.839 </w:t>
            </w:r>
          </w:p>
        </w:tc>
        <w:tc>
          <w:tcPr>
            <w:tcW w:w="368" w:type="pct"/>
            <w:gridSpan w:val="2"/>
            <w:tcBorders>
              <w:top w:val="nil"/>
              <w:left w:val="nil"/>
              <w:bottom w:val="nil"/>
              <w:right w:val="nil"/>
            </w:tcBorders>
            <w:shd w:val="clear" w:color="auto" w:fill="auto"/>
            <w:noWrap/>
            <w:vAlign w:val="center"/>
            <w:hideMark/>
          </w:tcPr>
          <w:p w14:paraId="45CCD760" w14:textId="00577F68" w:rsidR="00591E10" w:rsidRPr="00591E10" w:rsidRDefault="00591E10" w:rsidP="00C20033">
            <w:pPr>
              <w:jc w:val="center"/>
              <w:rPr>
                <w:rFonts w:asciiTheme="majorHAnsi" w:hAnsiTheme="majorHAnsi" w:cstheme="majorHAnsi"/>
                <w:sz w:val="16"/>
                <w:szCs w:val="16"/>
              </w:rPr>
            </w:pPr>
            <w:r w:rsidRPr="00591E10">
              <w:rPr>
                <w:rFonts w:asciiTheme="majorHAnsi" w:hAnsiTheme="majorHAnsi" w:cstheme="majorHAnsi"/>
                <w:sz w:val="16"/>
                <w:szCs w:val="16"/>
              </w:rPr>
              <w:t>(20)</w:t>
            </w:r>
          </w:p>
        </w:tc>
      </w:tr>
      <w:tr w:rsidR="00591E10" w:rsidRPr="00591E10" w14:paraId="041F2F78" w14:textId="77777777" w:rsidTr="00591E10">
        <w:trPr>
          <w:trHeight w:hRule="exact" w:val="227"/>
        </w:trPr>
        <w:tc>
          <w:tcPr>
            <w:tcW w:w="1679" w:type="pct"/>
            <w:tcBorders>
              <w:top w:val="nil"/>
              <w:left w:val="nil"/>
              <w:bottom w:val="nil"/>
              <w:right w:val="nil"/>
            </w:tcBorders>
            <w:shd w:val="clear" w:color="auto" w:fill="auto"/>
            <w:noWrap/>
            <w:vAlign w:val="bottom"/>
            <w:hideMark/>
          </w:tcPr>
          <w:p w14:paraId="708D78C3" w14:textId="77777777" w:rsidR="00591E10" w:rsidRPr="00591E10" w:rsidRDefault="00591E10">
            <w:pPr>
              <w:rPr>
                <w:rFonts w:asciiTheme="majorHAnsi" w:hAnsiTheme="majorHAnsi" w:cstheme="majorHAnsi"/>
                <w:sz w:val="16"/>
                <w:szCs w:val="16"/>
              </w:rPr>
            </w:pPr>
            <w:r w:rsidRPr="00591E10">
              <w:rPr>
                <w:rFonts w:asciiTheme="majorHAnsi" w:hAnsiTheme="majorHAnsi" w:cstheme="majorHAnsi"/>
                <w:sz w:val="16"/>
                <w:szCs w:val="16"/>
              </w:rPr>
              <w:t xml:space="preserve">        Despesa Financeira</w:t>
            </w:r>
          </w:p>
        </w:tc>
        <w:tc>
          <w:tcPr>
            <w:tcW w:w="738" w:type="pct"/>
            <w:tcBorders>
              <w:top w:val="nil"/>
              <w:left w:val="nil"/>
              <w:bottom w:val="nil"/>
              <w:right w:val="nil"/>
            </w:tcBorders>
            <w:shd w:val="clear" w:color="auto" w:fill="auto"/>
            <w:noWrap/>
            <w:vAlign w:val="bottom"/>
            <w:hideMark/>
          </w:tcPr>
          <w:p w14:paraId="7E5EC43A" w14:textId="77777777" w:rsidR="00591E10" w:rsidRPr="00591E10" w:rsidRDefault="00591E10" w:rsidP="00591E10">
            <w:pPr>
              <w:jc w:val="right"/>
              <w:rPr>
                <w:rFonts w:asciiTheme="majorHAnsi" w:hAnsiTheme="majorHAnsi" w:cstheme="majorHAnsi"/>
                <w:sz w:val="16"/>
                <w:szCs w:val="16"/>
              </w:rPr>
            </w:pPr>
            <w:r w:rsidRPr="00591E10">
              <w:rPr>
                <w:rFonts w:asciiTheme="majorHAnsi" w:hAnsiTheme="majorHAnsi" w:cstheme="majorHAnsi"/>
                <w:sz w:val="16"/>
                <w:szCs w:val="16"/>
              </w:rPr>
              <w:t xml:space="preserve">                  (436.564)</w:t>
            </w:r>
          </w:p>
        </w:tc>
        <w:tc>
          <w:tcPr>
            <w:tcW w:w="740" w:type="pct"/>
            <w:tcBorders>
              <w:top w:val="nil"/>
              <w:left w:val="nil"/>
              <w:bottom w:val="nil"/>
              <w:right w:val="nil"/>
            </w:tcBorders>
            <w:shd w:val="clear" w:color="auto" w:fill="auto"/>
            <w:noWrap/>
            <w:vAlign w:val="bottom"/>
            <w:hideMark/>
          </w:tcPr>
          <w:p w14:paraId="149ADAC9" w14:textId="77777777" w:rsidR="00591E10" w:rsidRPr="00591E10" w:rsidRDefault="00591E10" w:rsidP="00591E10">
            <w:pPr>
              <w:jc w:val="right"/>
              <w:rPr>
                <w:rFonts w:asciiTheme="majorHAnsi" w:hAnsiTheme="majorHAnsi" w:cstheme="majorHAnsi"/>
                <w:sz w:val="16"/>
                <w:szCs w:val="16"/>
              </w:rPr>
            </w:pPr>
            <w:r w:rsidRPr="00591E10">
              <w:rPr>
                <w:rFonts w:asciiTheme="majorHAnsi" w:hAnsiTheme="majorHAnsi" w:cstheme="majorHAnsi"/>
                <w:sz w:val="16"/>
                <w:szCs w:val="16"/>
              </w:rPr>
              <w:t xml:space="preserve">                  (576.632)</w:t>
            </w:r>
          </w:p>
        </w:tc>
        <w:tc>
          <w:tcPr>
            <w:tcW w:w="738" w:type="pct"/>
            <w:tcBorders>
              <w:top w:val="nil"/>
              <w:left w:val="nil"/>
              <w:bottom w:val="nil"/>
              <w:right w:val="nil"/>
            </w:tcBorders>
            <w:shd w:val="clear" w:color="auto" w:fill="auto"/>
            <w:noWrap/>
            <w:vAlign w:val="bottom"/>
            <w:hideMark/>
          </w:tcPr>
          <w:p w14:paraId="13C81249" w14:textId="77777777" w:rsidR="00591E10" w:rsidRPr="00591E10" w:rsidRDefault="00591E10" w:rsidP="00591E10">
            <w:pPr>
              <w:jc w:val="right"/>
              <w:rPr>
                <w:rFonts w:asciiTheme="majorHAnsi" w:hAnsiTheme="majorHAnsi" w:cstheme="majorHAnsi"/>
                <w:sz w:val="16"/>
                <w:szCs w:val="16"/>
              </w:rPr>
            </w:pPr>
            <w:r w:rsidRPr="00591E10">
              <w:rPr>
                <w:rFonts w:asciiTheme="majorHAnsi" w:hAnsiTheme="majorHAnsi" w:cstheme="majorHAnsi"/>
                <w:sz w:val="16"/>
                <w:szCs w:val="16"/>
              </w:rPr>
              <w:t xml:space="preserve">                               -   </w:t>
            </w:r>
          </w:p>
        </w:tc>
        <w:tc>
          <w:tcPr>
            <w:tcW w:w="738" w:type="pct"/>
            <w:tcBorders>
              <w:top w:val="nil"/>
              <w:left w:val="nil"/>
              <w:bottom w:val="nil"/>
              <w:right w:val="nil"/>
            </w:tcBorders>
            <w:shd w:val="clear" w:color="auto" w:fill="auto"/>
            <w:noWrap/>
            <w:vAlign w:val="bottom"/>
            <w:hideMark/>
          </w:tcPr>
          <w:p w14:paraId="7D723602" w14:textId="77777777" w:rsidR="00591E10" w:rsidRPr="00591E10" w:rsidRDefault="00591E10" w:rsidP="00591E10">
            <w:pPr>
              <w:jc w:val="right"/>
              <w:rPr>
                <w:rFonts w:asciiTheme="majorHAnsi" w:hAnsiTheme="majorHAnsi" w:cstheme="majorHAnsi"/>
                <w:sz w:val="16"/>
                <w:szCs w:val="16"/>
              </w:rPr>
            </w:pPr>
            <w:r w:rsidRPr="00591E10">
              <w:rPr>
                <w:rFonts w:asciiTheme="majorHAnsi" w:hAnsiTheme="majorHAnsi" w:cstheme="majorHAnsi"/>
                <w:sz w:val="16"/>
                <w:szCs w:val="16"/>
              </w:rPr>
              <w:t xml:space="preserve">                                 -   </w:t>
            </w:r>
          </w:p>
        </w:tc>
        <w:tc>
          <w:tcPr>
            <w:tcW w:w="368" w:type="pct"/>
            <w:gridSpan w:val="2"/>
            <w:tcBorders>
              <w:top w:val="nil"/>
              <w:left w:val="nil"/>
              <w:bottom w:val="nil"/>
              <w:right w:val="nil"/>
            </w:tcBorders>
            <w:shd w:val="clear" w:color="auto" w:fill="auto"/>
            <w:noWrap/>
            <w:vAlign w:val="center"/>
            <w:hideMark/>
          </w:tcPr>
          <w:p w14:paraId="218EF379" w14:textId="77777777" w:rsidR="00591E10" w:rsidRPr="00591E10" w:rsidRDefault="00591E10" w:rsidP="00C20033">
            <w:pPr>
              <w:jc w:val="center"/>
              <w:rPr>
                <w:rFonts w:asciiTheme="majorHAnsi" w:hAnsiTheme="majorHAnsi" w:cstheme="majorHAnsi"/>
                <w:sz w:val="16"/>
                <w:szCs w:val="16"/>
              </w:rPr>
            </w:pPr>
          </w:p>
        </w:tc>
      </w:tr>
      <w:tr w:rsidR="00591E10" w:rsidRPr="00591E10" w14:paraId="425155FB" w14:textId="77777777" w:rsidTr="00591E10">
        <w:trPr>
          <w:trHeight w:hRule="exact" w:val="227"/>
        </w:trPr>
        <w:tc>
          <w:tcPr>
            <w:tcW w:w="1679" w:type="pct"/>
            <w:tcBorders>
              <w:top w:val="nil"/>
              <w:left w:val="nil"/>
              <w:bottom w:val="nil"/>
              <w:right w:val="nil"/>
            </w:tcBorders>
            <w:shd w:val="clear" w:color="auto" w:fill="auto"/>
            <w:noWrap/>
            <w:vAlign w:val="bottom"/>
            <w:hideMark/>
          </w:tcPr>
          <w:p w14:paraId="3B6CBF26" w14:textId="77777777" w:rsidR="00591E10" w:rsidRPr="00591E10" w:rsidRDefault="00591E10">
            <w:pPr>
              <w:jc w:val="right"/>
              <w:rPr>
                <w:rFonts w:asciiTheme="majorHAnsi" w:hAnsiTheme="majorHAnsi" w:cstheme="majorHAnsi"/>
                <w:sz w:val="16"/>
                <w:szCs w:val="16"/>
              </w:rPr>
            </w:pPr>
          </w:p>
        </w:tc>
        <w:tc>
          <w:tcPr>
            <w:tcW w:w="738" w:type="pct"/>
            <w:tcBorders>
              <w:top w:val="nil"/>
              <w:left w:val="nil"/>
              <w:bottom w:val="nil"/>
              <w:right w:val="nil"/>
            </w:tcBorders>
            <w:shd w:val="clear" w:color="auto" w:fill="auto"/>
            <w:noWrap/>
            <w:vAlign w:val="bottom"/>
            <w:hideMark/>
          </w:tcPr>
          <w:p w14:paraId="55EDE341" w14:textId="77777777" w:rsidR="00591E10" w:rsidRPr="00591E10" w:rsidRDefault="00591E10" w:rsidP="00591E10">
            <w:pPr>
              <w:jc w:val="right"/>
              <w:rPr>
                <w:rFonts w:asciiTheme="majorHAnsi" w:hAnsiTheme="majorHAnsi" w:cstheme="majorHAnsi"/>
                <w:sz w:val="16"/>
                <w:szCs w:val="16"/>
              </w:rPr>
            </w:pPr>
          </w:p>
        </w:tc>
        <w:tc>
          <w:tcPr>
            <w:tcW w:w="740" w:type="pct"/>
            <w:tcBorders>
              <w:top w:val="nil"/>
              <w:left w:val="nil"/>
              <w:bottom w:val="nil"/>
              <w:right w:val="nil"/>
            </w:tcBorders>
            <w:shd w:val="clear" w:color="auto" w:fill="auto"/>
            <w:noWrap/>
            <w:vAlign w:val="bottom"/>
            <w:hideMark/>
          </w:tcPr>
          <w:p w14:paraId="22341546" w14:textId="77777777" w:rsidR="00591E10" w:rsidRPr="00591E10" w:rsidRDefault="00591E10" w:rsidP="00591E10">
            <w:pPr>
              <w:jc w:val="right"/>
              <w:rPr>
                <w:rFonts w:asciiTheme="majorHAnsi" w:hAnsiTheme="majorHAnsi" w:cstheme="majorHAnsi"/>
                <w:sz w:val="16"/>
                <w:szCs w:val="16"/>
              </w:rPr>
            </w:pPr>
          </w:p>
        </w:tc>
        <w:tc>
          <w:tcPr>
            <w:tcW w:w="738" w:type="pct"/>
            <w:tcBorders>
              <w:top w:val="nil"/>
              <w:left w:val="nil"/>
              <w:bottom w:val="nil"/>
              <w:right w:val="nil"/>
            </w:tcBorders>
            <w:shd w:val="clear" w:color="auto" w:fill="auto"/>
            <w:noWrap/>
            <w:vAlign w:val="bottom"/>
            <w:hideMark/>
          </w:tcPr>
          <w:p w14:paraId="4320DE0B" w14:textId="77777777" w:rsidR="00591E10" w:rsidRPr="00591E10" w:rsidRDefault="00591E10" w:rsidP="00591E10">
            <w:pPr>
              <w:jc w:val="right"/>
              <w:rPr>
                <w:rFonts w:asciiTheme="majorHAnsi" w:hAnsiTheme="majorHAnsi" w:cstheme="majorHAnsi"/>
                <w:sz w:val="16"/>
                <w:szCs w:val="16"/>
              </w:rPr>
            </w:pPr>
          </w:p>
        </w:tc>
        <w:tc>
          <w:tcPr>
            <w:tcW w:w="738" w:type="pct"/>
            <w:tcBorders>
              <w:top w:val="nil"/>
              <w:left w:val="nil"/>
              <w:bottom w:val="nil"/>
              <w:right w:val="nil"/>
            </w:tcBorders>
            <w:shd w:val="clear" w:color="auto" w:fill="auto"/>
            <w:noWrap/>
            <w:vAlign w:val="bottom"/>
            <w:hideMark/>
          </w:tcPr>
          <w:p w14:paraId="5EF32E00" w14:textId="77777777" w:rsidR="00591E10" w:rsidRPr="00591E10" w:rsidRDefault="00591E10" w:rsidP="00591E10">
            <w:pPr>
              <w:jc w:val="right"/>
              <w:rPr>
                <w:rFonts w:asciiTheme="majorHAnsi" w:hAnsiTheme="majorHAnsi" w:cstheme="majorHAnsi"/>
                <w:sz w:val="16"/>
                <w:szCs w:val="16"/>
              </w:rPr>
            </w:pPr>
          </w:p>
        </w:tc>
        <w:tc>
          <w:tcPr>
            <w:tcW w:w="368" w:type="pct"/>
            <w:gridSpan w:val="2"/>
            <w:tcBorders>
              <w:top w:val="nil"/>
              <w:left w:val="nil"/>
              <w:bottom w:val="nil"/>
              <w:right w:val="nil"/>
            </w:tcBorders>
            <w:shd w:val="clear" w:color="auto" w:fill="auto"/>
            <w:noWrap/>
            <w:vAlign w:val="center"/>
            <w:hideMark/>
          </w:tcPr>
          <w:p w14:paraId="3238A652" w14:textId="77777777" w:rsidR="00591E10" w:rsidRPr="00591E10" w:rsidRDefault="00591E10" w:rsidP="00C20033">
            <w:pPr>
              <w:jc w:val="center"/>
              <w:rPr>
                <w:rFonts w:asciiTheme="majorHAnsi" w:hAnsiTheme="majorHAnsi" w:cstheme="majorHAnsi"/>
                <w:sz w:val="16"/>
                <w:szCs w:val="16"/>
              </w:rPr>
            </w:pPr>
          </w:p>
        </w:tc>
      </w:tr>
      <w:tr w:rsidR="00591E10" w:rsidRPr="00591E10" w14:paraId="73CF6C2A" w14:textId="77777777" w:rsidTr="00591E10">
        <w:trPr>
          <w:trHeight w:hRule="exact" w:val="227"/>
        </w:trPr>
        <w:tc>
          <w:tcPr>
            <w:tcW w:w="1679" w:type="pct"/>
            <w:tcBorders>
              <w:top w:val="nil"/>
              <w:left w:val="nil"/>
              <w:bottom w:val="nil"/>
              <w:right w:val="nil"/>
            </w:tcBorders>
            <w:shd w:val="clear" w:color="auto" w:fill="auto"/>
            <w:noWrap/>
            <w:vAlign w:val="bottom"/>
            <w:hideMark/>
          </w:tcPr>
          <w:p w14:paraId="455C4EE2" w14:textId="77777777" w:rsidR="00591E10" w:rsidRPr="00591E10" w:rsidRDefault="00591E10">
            <w:pPr>
              <w:jc w:val="right"/>
              <w:rPr>
                <w:rFonts w:asciiTheme="majorHAnsi" w:hAnsiTheme="majorHAnsi" w:cstheme="majorHAnsi"/>
                <w:sz w:val="16"/>
                <w:szCs w:val="16"/>
              </w:rPr>
            </w:pPr>
          </w:p>
        </w:tc>
        <w:tc>
          <w:tcPr>
            <w:tcW w:w="738" w:type="pct"/>
            <w:tcBorders>
              <w:top w:val="nil"/>
              <w:left w:val="nil"/>
              <w:bottom w:val="nil"/>
              <w:right w:val="nil"/>
            </w:tcBorders>
            <w:shd w:val="clear" w:color="auto" w:fill="auto"/>
            <w:noWrap/>
            <w:vAlign w:val="bottom"/>
            <w:hideMark/>
          </w:tcPr>
          <w:p w14:paraId="014AFFA2" w14:textId="77777777" w:rsidR="00591E10" w:rsidRPr="00591E10" w:rsidRDefault="00591E10" w:rsidP="00591E10">
            <w:pPr>
              <w:jc w:val="right"/>
              <w:rPr>
                <w:rFonts w:asciiTheme="majorHAnsi" w:hAnsiTheme="majorHAnsi" w:cstheme="majorHAnsi"/>
                <w:sz w:val="16"/>
                <w:szCs w:val="16"/>
              </w:rPr>
            </w:pPr>
            <w:r w:rsidRPr="00591E10">
              <w:rPr>
                <w:rFonts w:asciiTheme="majorHAnsi" w:hAnsiTheme="majorHAnsi" w:cstheme="majorHAnsi"/>
                <w:sz w:val="16"/>
                <w:szCs w:val="16"/>
              </w:rPr>
              <w:t xml:space="preserve">                               -   </w:t>
            </w:r>
          </w:p>
        </w:tc>
        <w:tc>
          <w:tcPr>
            <w:tcW w:w="740" w:type="pct"/>
            <w:tcBorders>
              <w:top w:val="nil"/>
              <w:left w:val="nil"/>
              <w:bottom w:val="nil"/>
              <w:right w:val="nil"/>
            </w:tcBorders>
            <w:shd w:val="clear" w:color="auto" w:fill="auto"/>
            <w:noWrap/>
            <w:vAlign w:val="bottom"/>
            <w:hideMark/>
          </w:tcPr>
          <w:p w14:paraId="353DA0ED" w14:textId="77777777" w:rsidR="00591E10" w:rsidRPr="00591E10" w:rsidRDefault="00591E10" w:rsidP="00591E10">
            <w:pPr>
              <w:jc w:val="right"/>
              <w:rPr>
                <w:rFonts w:asciiTheme="majorHAnsi" w:hAnsiTheme="majorHAnsi" w:cstheme="majorHAnsi"/>
                <w:sz w:val="16"/>
                <w:szCs w:val="16"/>
              </w:rPr>
            </w:pPr>
          </w:p>
        </w:tc>
        <w:tc>
          <w:tcPr>
            <w:tcW w:w="738" w:type="pct"/>
            <w:tcBorders>
              <w:top w:val="nil"/>
              <w:left w:val="nil"/>
              <w:bottom w:val="nil"/>
              <w:right w:val="nil"/>
            </w:tcBorders>
            <w:shd w:val="clear" w:color="auto" w:fill="auto"/>
            <w:noWrap/>
            <w:vAlign w:val="bottom"/>
            <w:hideMark/>
          </w:tcPr>
          <w:p w14:paraId="18536AFC" w14:textId="77777777" w:rsidR="00591E10" w:rsidRPr="00591E10" w:rsidRDefault="00591E10" w:rsidP="00591E10">
            <w:pPr>
              <w:jc w:val="right"/>
              <w:rPr>
                <w:rFonts w:asciiTheme="majorHAnsi" w:hAnsiTheme="majorHAnsi" w:cstheme="majorHAnsi"/>
                <w:sz w:val="16"/>
                <w:szCs w:val="16"/>
              </w:rPr>
            </w:pPr>
          </w:p>
        </w:tc>
        <w:tc>
          <w:tcPr>
            <w:tcW w:w="738" w:type="pct"/>
            <w:tcBorders>
              <w:top w:val="nil"/>
              <w:left w:val="nil"/>
              <w:bottom w:val="nil"/>
              <w:right w:val="nil"/>
            </w:tcBorders>
            <w:shd w:val="clear" w:color="auto" w:fill="auto"/>
            <w:noWrap/>
            <w:vAlign w:val="bottom"/>
            <w:hideMark/>
          </w:tcPr>
          <w:p w14:paraId="533BFE14" w14:textId="77777777" w:rsidR="00591E10" w:rsidRPr="00591E10" w:rsidRDefault="00591E10" w:rsidP="00591E10">
            <w:pPr>
              <w:jc w:val="right"/>
              <w:rPr>
                <w:rFonts w:asciiTheme="majorHAnsi" w:hAnsiTheme="majorHAnsi" w:cstheme="majorHAnsi"/>
                <w:sz w:val="16"/>
                <w:szCs w:val="16"/>
              </w:rPr>
            </w:pPr>
          </w:p>
        </w:tc>
        <w:tc>
          <w:tcPr>
            <w:tcW w:w="368" w:type="pct"/>
            <w:gridSpan w:val="2"/>
            <w:tcBorders>
              <w:top w:val="nil"/>
              <w:left w:val="nil"/>
              <w:bottom w:val="nil"/>
              <w:right w:val="nil"/>
            </w:tcBorders>
            <w:shd w:val="clear" w:color="auto" w:fill="auto"/>
            <w:noWrap/>
            <w:vAlign w:val="bottom"/>
            <w:hideMark/>
          </w:tcPr>
          <w:p w14:paraId="3F8F341F" w14:textId="77777777" w:rsidR="00591E10" w:rsidRPr="00591E10" w:rsidRDefault="00591E10" w:rsidP="00C20033">
            <w:pPr>
              <w:jc w:val="center"/>
              <w:rPr>
                <w:rFonts w:asciiTheme="majorHAnsi" w:hAnsiTheme="majorHAnsi" w:cstheme="majorHAnsi"/>
                <w:sz w:val="16"/>
                <w:szCs w:val="16"/>
              </w:rPr>
            </w:pPr>
          </w:p>
        </w:tc>
      </w:tr>
      <w:tr w:rsidR="00591E10" w:rsidRPr="00591E10" w14:paraId="5D447AB6" w14:textId="77777777" w:rsidTr="00591E10">
        <w:trPr>
          <w:trHeight w:hRule="exact" w:val="227"/>
        </w:trPr>
        <w:tc>
          <w:tcPr>
            <w:tcW w:w="1679" w:type="pct"/>
            <w:tcBorders>
              <w:top w:val="nil"/>
              <w:left w:val="nil"/>
              <w:bottom w:val="nil"/>
              <w:right w:val="nil"/>
            </w:tcBorders>
            <w:shd w:val="clear" w:color="auto" w:fill="auto"/>
            <w:noWrap/>
            <w:vAlign w:val="bottom"/>
            <w:hideMark/>
          </w:tcPr>
          <w:p w14:paraId="77757E77" w14:textId="77777777" w:rsidR="00591E10" w:rsidRPr="00591E10" w:rsidRDefault="00591E10">
            <w:pPr>
              <w:rPr>
                <w:rFonts w:asciiTheme="majorHAnsi" w:hAnsiTheme="majorHAnsi" w:cstheme="majorHAnsi"/>
                <w:b/>
                <w:bCs/>
                <w:sz w:val="16"/>
                <w:szCs w:val="16"/>
              </w:rPr>
            </w:pPr>
            <w:r w:rsidRPr="00591E10">
              <w:rPr>
                <w:rFonts w:asciiTheme="majorHAnsi" w:hAnsiTheme="majorHAnsi" w:cstheme="majorHAnsi"/>
                <w:b/>
                <w:bCs/>
                <w:sz w:val="16"/>
                <w:szCs w:val="16"/>
              </w:rPr>
              <w:t>RESULTADO ANTES DAS SUBVENÇÕES DO TESOURO NACIONAL</w:t>
            </w:r>
          </w:p>
        </w:tc>
        <w:tc>
          <w:tcPr>
            <w:tcW w:w="738" w:type="pct"/>
            <w:tcBorders>
              <w:top w:val="nil"/>
              <w:left w:val="nil"/>
              <w:bottom w:val="nil"/>
              <w:right w:val="nil"/>
            </w:tcBorders>
            <w:shd w:val="clear" w:color="auto" w:fill="auto"/>
            <w:noWrap/>
            <w:vAlign w:val="bottom"/>
            <w:hideMark/>
          </w:tcPr>
          <w:p w14:paraId="71819B21" w14:textId="77777777" w:rsidR="00591E10" w:rsidRPr="00591E10" w:rsidRDefault="00591E10" w:rsidP="00591E10">
            <w:pPr>
              <w:jc w:val="right"/>
              <w:rPr>
                <w:rFonts w:asciiTheme="majorHAnsi" w:hAnsiTheme="majorHAnsi" w:cstheme="majorHAnsi"/>
                <w:b/>
                <w:bCs/>
                <w:sz w:val="16"/>
                <w:szCs w:val="16"/>
              </w:rPr>
            </w:pPr>
            <w:r w:rsidRPr="00591E10">
              <w:rPr>
                <w:rFonts w:asciiTheme="majorHAnsi" w:hAnsiTheme="majorHAnsi" w:cstheme="majorHAnsi"/>
                <w:b/>
                <w:bCs/>
                <w:sz w:val="16"/>
                <w:szCs w:val="16"/>
              </w:rPr>
              <w:t xml:space="preserve">               (2.540.320)</w:t>
            </w:r>
          </w:p>
        </w:tc>
        <w:tc>
          <w:tcPr>
            <w:tcW w:w="740" w:type="pct"/>
            <w:tcBorders>
              <w:top w:val="nil"/>
              <w:left w:val="nil"/>
              <w:bottom w:val="nil"/>
              <w:right w:val="nil"/>
            </w:tcBorders>
            <w:shd w:val="clear" w:color="auto" w:fill="auto"/>
            <w:noWrap/>
            <w:vAlign w:val="bottom"/>
            <w:hideMark/>
          </w:tcPr>
          <w:p w14:paraId="14294397" w14:textId="77777777" w:rsidR="00591E10" w:rsidRPr="00591E10" w:rsidRDefault="00591E10" w:rsidP="00591E10">
            <w:pPr>
              <w:jc w:val="right"/>
              <w:rPr>
                <w:rFonts w:asciiTheme="majorHAnsi" w:hAnsiTheme="majorHAnsi" w:cstheme="majorHAnsi"/>
                <w:b/>
                <w:bCs/>
                <w:sz w:val="16"/>
                <w:szCs w:val="16"/>
              </w:rPr>
            </w:pPr>
            <w:r w:rsidRPr="00591E10">
              <w:rPr>
                <w:rFonts w:asciiTheme="majorHAnsi" w:hAnsiTheme="majorHAnsi" w:cstheme="majorHAnsi"/>
                <w:b/>
                <w:bCs/>
                <w:sz w:val="16"/>
                <w:szCs w:val="16"/>
              </w:rPr>
              <w:t xml:space="preserve">            (42.164.155)</w:t>
            </w:r>
          </w:p>
        </w:tc>
        <w:tc>
          <w:tcPr>
            <w:tcW w:w="738" w:type="pct"/>
            <w:tcBorders>
              <w:top w:val="nil"/>
              <w:left w:val="nil"/>
              <w:bottom w:val="nil"/>
              <w:right w:val="nil"/>
            </w:tcBorders>
            <w:shd w:val="clear" w:color="auto" w:fill="auto"/>
            <w:noWrap/>
            <w:vAlign w:val="bottom"/>
            <w:hideMark/>
          </w:tcPr>
          <w:p w14:paraId="0E12C26A" w14:textId="77777777" w:rsidR="00591E10" w:rsidRPr="00591E10" w:rsidRDefault="00591E10" w:rsidP="00591E10">
            <w:pPr>
              <w:jc w:val="right"/>
              <w:rPr>
                <w:rFonts w:asciiTheme="majorHAnsi" w:hAnsiTheme="majorHAnsi" w:cstheme="majorHAnsi"/>
                <w:b/>
                <w:bCs/>
                <w:sz w:val="16"/>
                <w:szCs w:val="16"/>
              </w:rPr>
            </w:pPr>
            <w:r w:rsidRPr="00591E10">
              <w:rPr>
                <w:rFonts w:asciiTheme="majorHAnsi" w:hAnsiTheme="majorHAnsi" w:cstheme="majorHAnsi"/>
                <w:b/>
                <w:bCs/>
                <w:sz w:val="16"/>
                <w:szCs w:val="16"/>
              </w:rPr>
              <w:t xml:space="preserve">            (70.340.652)</w:t>
            </w:r>
          </w:p>
        </w:tc>
        <w:tc>
          <w:tcPr>
            <w:tcW w:w="738" w:type="pct"/>
            <w:tcBorders>
              <w:top w:val="nil"/>
              <w:left w:val="nil"/>
              <w:bottom w:val="nil"/>
              <w:right w:val="nil"/>
            </w:tcBorders>
            <w:shd w:val="clear" w:color="auto" w:fill="auto"/>
            <w:noWrap/>
            <w:vAlign w:val="bottom"/>
            <w:hideMark/>
          </w:tcPr>
          <w:p w14:paraId="00B905B9" w14:textId="77777777" w:rsidR="00591E10" w:rsidRPr="00591E10" w:rsidRDefault="00591E10" w:rsidP="00591E10">
            <w:pPr>
              <w:jc w:val="right"/>
              <w:rPr>
                <w:rFonts w:asciiTheme="majorHAnsi" w:hAnsiTheme="majorHAnsi" w:cstheme="majorHAnsi"/>
                <w:b/>
                <w:bCs/>
                <w:sz w:val="16"/>
                <w:szCs w:val="16"/>
              </w:rPr>
            </w:pPr>
            <w:r w:rsidRPr="00591E10">
              <w:rPr>
                <w:rFonts w:asciiTheme="majorHAnsi" w:hAnsiTheme="majorHAnsi" w:cstheme="majorHAnsi"/>
                <w:b/>
                <w:bCs/>
                <w:sz w:val="16"/>
                <w:szCs w:val="16"/>
              </w:rPr>
              <w:t xml:space="preserve">            (134.937.721)</w:t>
            </w:r>
          </w:p>
        </w:tc>
        <w:tc>
          <w:tcPr>
            <w:tcW w:w="368" w:type="pct"/>
            <w:gridSpan w:val="2"/>
            <w:tcBorders>
              <w:top w:val="nil"/>
              <w:left w:val="nil"/>
              <w:bottom w:val="nil"/>
              <w:right w:val="nil"/>
            </w:tcBorders>
            <w:shd w:val="clear" w:color="auto" w:fill="auto"/>
            <w:noWrap/>
            <w:vAlign w:val="bottom"/>
            <w:hideMark/>
          </w:tcPr>
          <w:p w14:paraId="551D39EF" w14:textId="77777777" w:rsidR="00591E10" w:rsidRPr="00591E10" w:rsidRDefault="00591E10" w:rsidP="00C20033">
            <w:pPr>
              <w:jc w:val="center"/>
              <w:rPr>
                <w:rFonts w:asciiTheme="majorHAnsi" w:hAnsiTheme="majorHAnsi" w:cstheme="majorHAnsi"/>
                <w:b/>
                <w:bCs/>
                <w:sz w:val="16"/>
                <w:szCs w:val="16"/>
              </w:rPr>
            </w:pPr>
          </w:p>
        </w:tc>
      </w:tr>
      <w:tr w:rsidR="00591E10" w:rsidRPr="00591E10" w14:paraId="7FD9971C" w14:textId="77777777" w:rsidTr="00591E10">
        <w:trPr>
          <w:trHeight w:hRule="exact" w:val="227"/>
        </w:trPr>
        <w:tc>
          <w:tcPr>
            <w:tcW w:w="1679" w:type="pct"/>
            <w:tcBorders>
              <w:top w:val="nil"/>
              <w:left w:val="nil"/>
              <w:bottom w:val="nil"/>
              <w:right w:val="nil"/>
            </w:tcBorders>
            <w:shd w:val="clear" w:color="auto" w:fill="auto"/>
            <w:noWrap/>
            <w:vAlign w:val="bottom"/>
            <w:hideMark/>
          </w:tcPr>
          <w:p w14:paraId="27248B35" w14:textId="77777777" w:rsidR="00591E10" w:rsidRPr="00591E10" w:rsidRDefault="00591E10">
            <w:pPr>
              <w:jc w:val="right"/>
              <w:rPr>
                <w:rFonts w:asciiTheme="majorHAnsi" w:hAnsiTheme="majorHAnsi" w:cstheme="majorHAnsi"/>
                <w:sz w:val="16"/>
                <w:szCs w:val="16"/>
              </w:rPr>
            </w:pPr>
          </w:p>
        </w:tc>
        <w:tc>
          <w:tcPr>
            <w:tcW w:w="738" w:type="pct"/>
            <w:tcBorders>
              <w:top w:val="nil"/>
              <w:left w:val="nil"/>
              <w:bottom w:val="nil"/>
              <w:right w:val="nil"/>
            </w:tcBorders>
            <w:shd w:val="clear" w:color="auto" w:fill="auto"/>
            <w:noWrap/>
            <w:vAlign w:val="bottom"/>
            <w:hideMark/>
          </w:tcPr>
          <w:p w14:paraId="3FFD4A18" w14:textId="77777777" w:rsidR="00591E10" w:rsidRPr="00591E10" w:rsidRDefault="00591E10" w:rsidP="00591E10">
            <w:pPr>
              <w:jc w:val="right"/>
              <w:rPr>
                <w:rFonts w:asciiTheme="majorHAnsi" w:hAnsiTheme="majorHAnsi" w:cstheme="majorHAnsi"/>
                <w:sz w:val="16"/>
                <w:szCs w:val="16"/>
              </w:rPr>
            </w:pPr>
          </w:p>
        </w:tc>
        <w:tc>
          <w:tcPr>
            <w:tcW w:w="740" w:type="pct"/>
            <w:tcBorders>
              <w:top w:val="nil"/>
              <w:left w:val="nil"/>
              <w:bottom w:val="nil"/>
              <w:right w:val="nil"/>
            </w:tcBorders>
            <w:shd w:val="clear" w:color="auto" w:fill="auto"/>
            <w:noWrap/>
            <w:vAlign w:val="bottom"/>
            <w:hideMark/>
          </w:tcPr>
          <w:p w14:paraId="73104C63" w14:textId="77777777" w:rsidR="00591E10" w:rsidRPr="00591E10" w:rsidRDefault="00591E10" w:rsidP="00591E10">
            <w:pPr>
              <w:jc w:val="right"/>
              <w:rPr>
                <w:rFonts w:asciiTheme="majorHAnsi" w:hAnsiTheme="majorHAnsi" w:cstheme="majorHAnsi"/>
                <w:sz w:val="16"/>
                <w:szCs w:val="16"/>
              </w:rPr>
            </w:pPr>
          </w:p>
        </w:tc>
        <w:tc>
          <w:tcPr>
            <w:tcW w:w="738" w:type="pct"/>
            <w:tcBorders>
              <w:top w:val="nil"/>
              <w:left w:val="nil"/>
              <w:bottom w:val="nil"/>
              <w:right w:val="nil"/>
            </w:tcBorders>
            <w:shd w:val="clear" w:color="auto" w:fill="auto"/>
            <w:noWrap/>
            <w:vAlign w:val="bottom"/>
            <w:hideMark/>
          </w:tcPr>
          <w:p w14:paraId="534F71B7" w14:textId="77777777" w:rsidR="00591E10" w:rsidRPr="00591E10" w:rsidRDefault="00591E10" w:rsidP="00591E10">
            <w:pPr>
              <w:jc w:val="right"/>
              <w:rPr>
                <w:rFonts w:asciiTheme="majorHAnsi" w:hAnsiTheme="majorHAnsi" w:cstheme="majorHAnsi"/>
                <w:sz w:val="16"/>
                <w:szCs w:val="16"/>
              </w:rPr>
            </w:pPr>
          </w:p>
        </w:tc>
        <w:tc>
          <w:tcPr>
            <w:tcW w:w="738" w:type="pct"/>
            <w:tcBorders>
              <w:top w:val="nil"/>
              <w:left w:val="nil"/>
              <w:bottom w:val="nil"/>
              <w:right w:val="nil"/>
            </w:tcBorders>
            <w:shd w:val="clear" w:color="auto" w:fill="auto"/>
            <w:noWrap/>
            <w:vAlign w:val="bottom"/>
            <w:hideMark/>
          </w:tcPr>
          <w:p w14:paraId="29CA6E25" w14:textId="77777777" w:rsidR="00591E10" w:rsidRPr="00591E10" w:rsidRDefault="00591E10" w:rsidP="00591E10">
            <w:pPr>
              <w:jc w:val="right"/>
              <w:rPr>
                <w:rFonts w:asciiTheme="majorHAnsi" w:hAnsiTheme="majorHAnsi" w:cstheme="majorHAnsi"/>
                <w:sz w:val="16"/>
                <w:szCs w:val="16"/>
              </w:rPr>
            </w:pPr>
          </w:p>
        </w:tc>
        <w:tc>
          <w:tcPr>
            <w:tcW w:w="368" w:type="pct"/>
            <w:gridSpan w:val="2"/>
            <w:tcBorders>
              <w:top w:val="nil"/>
              <w:left w:val="nil"/>
              <w:bottom w:val="nil"/>
              <w:right w:val="nil"/>
            </w:tcBorders>
            <w:shd w:val="clear" w:color="auto" w:fill="auto"/>
            <w:noWrap/>
            <w:vAlign w:val="bottom"/>
            <w:hideMark/>
          </w:tcPr>
          <w:p w14:paraId="55F05429" w14:textId="77777777" w:rsidR="00591E10" w:rsidRPr="00591E10" w:rsidRDefault="00591E10" w:rsidP="00C20033">
            <w:pPr>
              <w:jc w:val="center"/>
              <w:rPr>
                <w:rFonts w:asciiTheme="majorHAnsi" w:hAnsiTheme="majorHAnsi" w:cstheme="majorHAnsi"/>
                <w:sz w:val="16"/>
                <w:szCs w:val="16"/>
              </w:rPr>
            </w:pPr>
          </w:p>
        </w:tc>
      </w:tr>
      <w:tr w:rsidR="00591E10" w:rsidRPr="00591E10" w14:paraId="41942BBA" w14:textId="77777777" w:rsidTr="00591E10">
        <w:trPr>
          <w:trHeight w:hRule="exact" w:val="227"/>
        </w:trPr>
        <w:tc>
          <w:tcPr>
            <w:tcW w:w="1679" w:type="pct"/>
            <w:tcBorders>
              <w:top w:val="nil"/>
              <w:left w:val="nil"/>
              <w:bottom w:val="nil"/>
              <w:right w:val="nil"/>
            </w:tcBorders>
            <w:shd w:val="clear" w:color="auto" w:fill="auto"/>
            <w:noWrap/>
            <w:vAlign w:val="center"/>
            <w:hideMark/>
          </w:tcPr>
          <w:p w14:paraId="598714CA" w14:textId="77777777" w:rsidR="00591E10" w:rsidRPr="00591E10" w:rsidRDefault="00591E10">
            <w:pPr>
              <w:rPr>
                <w:rFonts w:asciiTheme="majorHAnsi" w:hAnsiTheme="majorHAnsi" w:cstheme="majorHAnsi"/>
                <w:b/>
                <w:bCs/>
                <w:sz w:val="16"/>
                <w:szCs w:val="16"/>
              </w:rPr>
            </w:pPr>
            <w:r w:rsidRPr="00591E10">
              <w:rPr>
                <w:rFonts w:asciiTheme="majorHAnsi" w:hAnsiTheme="majorHAnsi" w:cstheme="majorHAnsi"/>
                <w:b/>
                <w:bCs/>
                <w:sz w:val="16"/>
                <w:szCs w:val="16"/>
              </w:rPr>
              <w:t>SUBVENÇÕES DO TESOURO NACIONAL</w:t>
            </w:r>
          </w:p>
        </w:tc>
        <w:tc>
          <w:tcPr>
            <w:tcW w:w="738" w:type="pct"/>
            <w:tcBorders>
              <w:top w:val="nil"/>
              <w:left w:val="nil"/>
              <w:bottom w:val="nil"/>
              <w:right w:val="nil"/>
            </w:tcBorders>
            <w:shd w:val="clear" w:color="auto" w:fill="auto"/>
            <w:noWrap/>
            <w:vAlign w:val="bottom"/>
            <w:hideMark/>
          </w:tcPr>
          <w:p w14:paraId="2E3580E5" w14:textId="77777777" w:rsidR="00591E10" w:rsidRPr="00591E10" w:rsidRDefault="00591E10" w:rsidP="00591E10">
            <w:pPr>
              <w:jc w:val="right"/>
              <w:rPr>
                <w:rFonts w:asciiTheme="majorHAnsi" w:hAnsiTheme="majorHAnsi" w:cstheme="majorHAnsi"/>
                <w:b/>
                <w:bCs/>
                <w:sz w:val="16"/>
                <w:szCs w:val="16"/>
              </w:rPr>
            </w:pPr>
            <w:r w:rsidRPr="00591E10">
              <w:rPr>
                <w:rFonts w:asciiTheme="majorHAnsi" w:hAnsiTheme="majorHAnsi" w:cstheme="majorHAnsi"/>
                <w:b/>
                <w:bCs/>
                <w:sz w:val="16"/>
                <w:szCs w:val="16"/>
              </w:rPr>
              <w:t xml:space="preserve">              37.491.927 </w:t>
            </w:r>
          </w:p>
        </w:tc>
        <w:tc>
          <w:tcPr>
            <w:tcW w:w="740" w:type="pct"/>
            <w:tcBorders>
              <w:top w:val="nil"/>
              <w:left w:val="nil"/>
              <w:bottom w:val="nil"/>
              <w:right w:val="nil"/>
            </w:tcBorders>
            <w:shd w:val="clear" w:color="auto" w:fill="auto"/>
            <w:noWrap/>
            <w:vAlign w:val="bottom"/>
            <w:hideMark/>
          </w:tcPr>
          <w:p w14:paraId="559EA02A" w14:textId="77777777" w:rsidR="00591E10" w:rsidRPr="00591E10" w:rsidRDefault="00591E10" w:rsidP="00591E10">
            <w:pPr>
              <w:jc w:val="right"/>
              <w:rPr>
                <w:rFonts w:asciiTheme="majorHAnsi" w:hAnsiTheme="majorHAnsi" w:cstheme="majorHAnsi"/>
                <w:b/>
                <w:bCs/>
                <w:sz w:val="16"/>
                <w:szCs w:val="16"/>
              </w:rPr>
            </w:pPr>
            <w:r w:rsidRPr="00591E10">
              <w:rPr>
                <w:rFonts w:asciiTheme="majorHAnsi" w:hAnsiTheme="majorHAnsi" w:cstheme="majorHAnsi"/>
                <w:b/>
                <w:bCs/>
                <w:sz w:val="16"/>
                <w:szCs w:val="16"/>
              </w:rPr>
              <w:t xml:space="preserve">              74.995.207 </w:t>
            </w:r>
          </w:p>
        </w:tc>
        <w:tc>
          <w:tcPr>
            <w:tcW w:w="738" w:type="pct"/>
            <w:tcBorders>
              <w:top w:val="nil"/>
              <w:left w:val="nil"/>
              <w:bottom w:val="nil"/>
              <w:right w:val="nil"/>
            </w:tcBorders>
            <w:shd w:val="clear" w:color="auto" w:fill="auto"/>
            <w:noWrap/>
            <w:vAlign w:val="bottom"/>
            <w:hideMark/>
          </w:tcPr>
          <w:p w14:paraId="41735655" w14:textId="77777777" w:rsidR="00591E10" w:rsidRPr="00591E10" w:rsidRDefault="00591E10" w:rsidP="00591E10">
            <w:pPr>
              <w:jc w:val="right"/>
              <w:rPr>
                <w:rFonts w:asciiTheme="majorHAnsi" w:hAnsiTheme="majorHAnsi" w:cstheme="majorHAnsi"/>
                <w:b/>
                <w:bCs/>
                <w:sz w:val="16"/>
                <w:szCs w:val="16"/>
              </w:rPr>
            </w:pPr>
            <w:r w:rsidRPr="00591E10">
              <w:rPr>
                <w:rFonts w:asciiTheme="majorHAnsi" w:hAnsiTheme="majorHAnsi" w:cstheme="majorHAnsi"/>
                <w:b/>
                <w:bCs/>
                <w:sz w:val="16"/>
                <w:szCs w:val="16"/>
              </w:rPr>
              <w:t xml:space="preserve">              39.758.520 </w:t>
            </w:r>
          </w:p>
        </w:tc>
        <w:tc>
          <w:tcPr>
            <w:tcW w:w="738" w:type="pct"/>
            <w:tcBorders>
              <w:top w:val="nil"/>
              <w:left w:val="nil"/>
              <w:bottom w:val="nil"/>
              <w:right w:val="nil"/>
            </w:tcBorders>
            <w:shd w:val="clear" w:color="auto" w:fill="auto"/>
            <w:noWrap/>
            <w:vAlign w:val="bottom"/>
            <w:hideMark/>
          </w:tcPr>
          <w:p w14:paraId="00C3C403" w14:textId="77777777" w:rsidR="00591E10" w:rsidRPr="00591E10" w:rsidRDefault="00591E10" w:rsidP="00591E10">
            <w:pPr>
              <w:jc w:val="right"/>
              <w:rPr>
                <w:rFonts w:asciiTheme="majorHAnsi" w:hAnsiTheme="majorHAnsi" w:cstheme="majorHAnsi"/>
                <w:b/>
                <w:bCs/>
                <w:sz w:val="16"/>
                <w:szCs w:val="16"/>
              </w:rPr>
            </w:pPr>
            <w:r w:rsidRPr="00591E10">
              <w:rPr>
                <w:rFonts w:asciiTheme="majorHAnsi" w:hAnsiTheme="majorHAnsi" w:cstheme="majorHAnsi"/>
                <w:b/>
                <w:bCs/>
                <w:sz w:val="16"/>
                <w:szCs w:val="16"/>
              </w:rPr>
              <w:t xml:space="preserve">                75.841.189 </w:t>
            </w:r>
          </w:p>
        </w:tc>
        <w:tc>
          <w:tcPr>
            <w:tcW w:w="368" w:type="pct"/>
            <w:gridSpan w:val="2"/>
            <w:tcBorders>
              <w:top w:val="nil"/>
              <w:left w:val="nil"/>
              <w:bottom w:val="nil"/>
              <w:right w:val="nil"/>
            </w:tcBorders>
            <w:shd w:val="clear" w:color="auto" w:fill="auto"/>
            <w:noWrap/>
            <w:vAlign w:val="bottom"/>
            <w:hideMark/>
          </w:tcPr>
          <w:p w14:paraId="7143655A" w14:textId="77777777" w:rsidR="00591E10" w:rsidRPr="00591E10" w:rsidRDefault="00591E10" w:rsidP="00C20033">
            <w:pPr>
              <w:jc w:val="center"/>
              <w:rPr>
                <w:rFonts w:asciiTheme="majorHAnsi" w:hAnsiTheme="majorHAnsi" w:cstheme="majorHAnsi"/>
                <w:b/>
                <w:bCs/>
                <w:sz w:val="16"/>
                <w:szCs w:val="16"/>
              </w:rPr>
            </w:pPr>
          </w:p>
        </w:tc>
      </w:tr>
      <w:tr w:rsidR="00591E10" w:rsidRPr="00591E10" w14:paraId="46CB551F" w14:textId="77777777" w:rsidTr="00591E10">
        <w:trPr>
          <w:trHeight w:hRule="exact" w:val="227"/>
        </w:trPr>
        <w:tc>
          <w:tcPr>
            <w:tcW w:w="1679" w:type="pct"/>
            <w:tcBorders>
              <w:top w:val="nil"/>
              <w:left w:val="nil"/>
              <w:bottom w:val="nil"/>
              <w:right w:val="nil"/>
            </w:tcBorders>
            <w:shd w:val="clear" w:color="auto" w:fill="auto"/>
            <w:noWrap/>
            <w:vAlign w:val="bottom"/>
            <w:hideMark/>
          </w:tcPr>
          <w:p w14:paraId="6C5E5183" w14:textId="77777777" w:rsidR="00591E10" w:rsidRPr="00591E10" w:rsidRDefault="00591E10">
            <w:pPr>
              <w:rPr>
                <w:rFonts w:asciiTheme="majorHAnsi" w:hAnsiTheme="majorHAnsi" w:cstheme="majorHAnsi"/>
                <w:sz w:val="16"/>
                <w:szCs w:val="16"/>
              </w:rPr>
            </w:pPr>
            <w:r w:rsidRPr="00591E10">
              <w:rPr>
                <w:rFonts w:asciiTheme="majorHAnsi" w:hAnsiTheme="majorHAnsi" w:cstheme="majorHAnsi"/>
                <w:sz w:val="16"/>
                <w:szCs w:val="16"/>
              </w:rPr>
              <w:t xml:space="preserve">        Repasse de Custeio/Pessoal</w:t>
            </w:r>
          </w:p>
        </w:tc>
        <w:tc>
          <w:tcPr>
            <w:tcW w:w="738" w:type="pct"/>
            <w:tcBorders>
              <w:top w:val="nil"/>
              <w:left w:val="nil"/>
              <w:bottom w:val="nil"/>
              <w:right w:val="nil"/>
            </w:tcBorders>
            <w:shd w:val="clear" w:color="auto" w:fill="auto"/>
            <w:noWrap/>
            <w:vAlign w:val="bottom"/>
            <w:hideMark/>
          </w:tcPr>
          <w:p w14:paraId="796A11B6" w14:textId="77777777" w:rsidR="00591E10" w:rsidRPr="00591E10" w:rsidRDefault="00591E10" w:rsidP="00591E10">
            <w:pPr>
              <w:jc w:val="right"/>
              <w:rPr>
                <w:rFonts w:asciiTheme="majorHAnsi" w:hAnsiTheme="majorHAnsi" w:cstheme="majorHAnsi"/>
                <w:sz w:val="16"/>
                <w:szCs w:val="16"/>
              </w:rPr>
            </w:pPr>
            <w:r w:rsidRPr="00591E10">
              <w:rPr>
                <w:rFonts w:asciiTheme="majorHAnsi" w:hAnsiTheme="majorHAnsi" w:cstheme="majorHAnsi"/>
                <w:sz w:val="16"/>
                <w:szCs w:val="16"/>
              </w:rPr>
              <w:t xml:space="preserve">              37.491.927 </w:t>
            </w:r>
          </w:p>
        </w:tc>
        <w:tc>
          <w:tcPr>
            <w:tcW w:w="740" w:type="pct"/>
            <w:tcBorders>
              <w:top w:val="nil"/>
              <w:left w:val="nil"/>
              <w:bottom w:val="nil"/>
              <w:right w:val="nil"/>
            </w:tcBorders>
            <w:shd w:val="clear" w:color="auto" w:fill="auto"/>
            <w:vAlign w:val="bottom"/>
            <w:hideMark/>
          </w:tcPr>
          <w:p w14:paraId="75366E85" w14:textId="77777777" w:rsidR="00591E10" w:rsidRPr="00591E10" w:rsidRDefault="00591E10" w:rsidP="00591E10">
            <w:pPr>
              <w:jc w:val="right"/>
              <w:rPr>
                <w:rFonts w:asciiTheme="majorHAnsi" w:hAnsiTheme="majorHAnsi" w:cstheme="majorHAnsi"/>
                <w:sz w:val="16"/>
                <w:szCs w:val="16"/>
              </w:rPr>
            </w:pPr>
            <w:r w:rsidRPr="00591E10">
              <w:rPr>
                <w:rFonts w:asciiTheme="majorHAnsi" w:hAnsiTheme="majorHAnsi" w:cstheme="majorHAnsi"/>
                <w:sz w:val="16"/>
                <w:szCs w:val="16"/>
              </w:rPr>
              <w:t xml:space="preserve">              74.995.207 </w:t>
            </w:r>
          </w:p>
        </w:tc>
        <w:tc>
          <w:tcPr>
            <w:tcW w:w="738" w:type="pct"/>
            <w:tcBorders>
              <w:top w:val="nil"/>
              <w:left w:val="nil"/>
              <w:bottom w:val="nil"/>
              <w:right w:val="nil"/>
            </w:tcBorders>
            <w:shd w:val="clear" w:color="auto" w:fill="auto"/>
            <w:vAlign w:val="bottom"/>
            <w:hideMark/>
          </w:tcPr>
          <w:p w14:paraId="443AEAD0" w14:textId="77777777" w:rsidR="00591E10" w:rsidRPr="00591E10" w:rsidRDefault="00591E10" w:rsidP="00591E10">
            <w:pPr>
              <w:jc w:val="right"/>
              <w:rPr>
                <w:rFonts w:asciiTheme="majorHAnsi" w:hAnsiTheme="majorHAnsi" w:cstheme="majorHAnsi"/>
                <w:sz w:val="16"/>
                <w:szCs w:val="16"/>
              </w:rPr>
            </w:pPr>
            <w:r w:rsidRPr="00591E10">
              <w:rPr>
                <w:rFonts w:asciiTheme="majorHAnsi" w:hAnsiTheme="majorHAnsi" w:cstheme="majorHAnsi"/>
                <w:sz w:val="16"/>
                <w:szCs w:val="16"/>
              </w:rPr>
              <w:t xml:space="preserve">              39.758.520 </w:t>
            </w:r>
          </w:p>
        </w:tc>
        <w:tc>
          <w:tcPr>
            <w:tcW w:w="738" w:type="pct"/>
            <w:tcBorders>
              <w:top w:val="nil"/>
              <w:left w:val="nil"/>
              <w:bottom w:val="nil"/>
              <w:right w:val="nil"/>
            </w:tcBorders>
            <w:shd w:val="clear" w:color="auto" w:fill="auto"/>
            <w:vAlign w:val="bottom"/>
            <w:hideMark/>
          </w:tcPr>
          <w:p w14:paraId="234F0934" w14:textId="77777777" w:rsidR="00591E10" w:rsidRPr="00591E10" w:rsidRDefault="00591E10" w:rsidP="00591E10">
            <w:pPr>
              <w:jc w:val="right"/>
              <w:rPr>
                <w:rFonts w:asciiTheme="majorHAnsi" w:hAnsiTheme="majorHAnsi" w:cstheme="majorHAnsi"/>
                <w:sz w:val="16"/>
                <w:szCs w:val="16"/>
              </w:rPr>
            </w:pPr>
            <w:r w:rsidRPr="00591E10">
              <w:rPr>
                <w:rFonts w:asciiTheme="majorHAnsi" w:hAnsiTheme="majorHAnsi" w:cstheme="majorHAnsi"/>
                <w:sz w:val="16"/>
                <w:szCs w:val="16"/>
              </w:rPr>
              <w:t xml:space="preserve">                75.841.189 </w:t>
            </w:r>
          </w:p>
        </w:tc>
        <w:tc>
          <w:tcPr>
            <w:tcW w:w="368" w:type="pct"/>
            <w:gridSpan w:val="2"/>
            <w:tcBorders>
              <w:top w:val="nil"/>
              <w:left w:val="nil"/>
              <w:bottom w:val="nil"/>
              <w:right w:val="nil"/>
            </w:tcBorders>
            <w:shd w:val="clear" w:color="auto" w:fill="auto"/>
            <w:noWrap/>
            <w:vAlign w:val="center"/>
            <w:hideMark/>
          </w:tcPr>
          <w:p w14:paraId="2A20C8FD" w14:textId="37BF728D" w:rsidR="00591E10" w:rsidRPr="00591E10" w:rsidRDefault="00591E10" w:rsidP="00C20033">
            <w:pPr>
              <w:jc w:val="center"/>
              <w:rPr>
                <w:rFonts w:asciiTheme="majorHAnsi" w:hAnsiTheme="majorHAnsi" w:cstheme="majorHAnsi"/>
                <w:sz w:val="16"/>
                <w:szCs w:val="16"/>
              </w:rPr>
            </w:pPr>
            <w:r w:rsidRPr="00591E10">
              <w:rPr>
                <w:rFonts w:asciiTheme="majorHAnsi" w:hAnsiTheme="majorHAnsi" w:cstheme="majorHAnsi"/>
                <w:sz w:val="16"/>
                <w:szCs w:val="16"/>
              </w:rPr>
              <w:t>(21)</w:t>
            </w:r>
          </w:p>
        </w:tc>
      </w:tr>
      <w:tr w:rsidR="00591E10" w:rsidRPr="00591E10" w14:paraId="3CA2EC92" w14:textId="77777777" w:rsidTr="00591E10">
        <w:trPr>
          <w:trHeight w:hRule="exact" w:val="227"/>
        </w:trPr>
        <w:tc>
          <w:tcPr>
            <w:tcW w:w="1679" w:type="pct"/>
            <w:tcBorders>
              <w:top w:val="nil"/>
              <w:left w:val="nil"/>
              <w:bottom w:val="nil"/>
              <w:right w:val="nil"/>
            </w:tcBorders>
            <w:shd w:val="clear" w:color="auto" w:fill="auto"/>
            <w:noWrap/>
            <w:vAlign w:val="bottom"/>
            <w:hideMark/>
          </w:tcPr>
          <w:p w14:paraId="018D5D7B" w14:textId="77777777" w:rsidR="00591E10" w:rsidRPr="00591E10" w:rsidRDefault="00591E10">
            <w:pPr>
              <w:jc w:val="right"/>
              <w:rPr>
                <w:rFonts w:asciiTheme="majorHAnsi" w:hAnsiTheme="majorHAnsi" w:cstheme="majorHAnsi"/>
                <w:sz w:val="16"/>
                <w:szCs w:val="16"/>
              </w:rPr>
            </w:pPr>
          </w:p>
        </w:tc>
        <w:tc>
          <w:tcPr>
            <w:tcW w:w="738" w:type="pct"/>
            <w:tcBorders>
              <w:top w:val="nil"/>
              <w:left w:val="nil"/>
              <w:bottom w:val="nil"/>
              <w:right w:val="nil"/>
            </w:tcBorders>
            <w:shd w:val="clear" w:color="auto" w:fill="auto"/>
            <w:noWrap/>
            <w:vAlign w:val="bottom"/>
            <w:hideMark/>
          </w:tcPr>
          <w:p w14:paraId="2747FBA5" w14:textId="77777777" w:rsidR="00591E10" w:rsidRPr="00591E10" w:rsidRDefault="00591E10" w:rsidP="00591E10">
            <w:pPr>
              <w:jc w:val="right"/>
              <w:rPr>
                <w:rFonts w:asciiTheme="majorHAnsi" w:hAnsiTheme="majorHAnsi" w:cstheme="majorHAnsi"/>
                <w:sz w:val="16"/>
                <w:szCs w:val="16"/>
              </w:rPr>
            </w:pPr>
          </w:p>
        </w:tc>
        <w:tc>
          <w:tcPr>
            <w:tcW w:w="740" w:type="pct"/>
            <w:tcBorders>
              <w:top w:val="nil"/>
              <w:left w:val="nil"/>
              <w:bottom w:val="nil"/>
              <w:right w:val="nil"/>
            </w:tcBorders>
            <w:shd w:val="clear" w:color="auto" w:fill="auto"/>
            <w:noWrap/>
            <w:vAlign w:val="bottom"/>
            <w:hideMark/>
          </w:tcPr>
          <w:p w14:paraId="0F8DB91E" w14:textId="77777777" w:rsidR="00591E10" w:rsidRPr="00591E10" w:rsidRDefault="00591E10" w:rsidP="00591E10">
            <w:pPr>
              <w:jc w:val="right"/>
              <w:rPr>
                <w:rFonts w:asciiTheme="majorHAnsi" w:hAnsiTheme="majorHAnsi" w:cstheme="majorHAnsi"/>
                <w:sz w:val="16"/>
                <w:szCs w:val="16"/>
              </w:rPr>
            </w:pPr>
          </w:p>
        </w:tc>
        <w:tc>
          <w:tcPr>
            <w:tcW w:w="738" w:type="pct"/>
            <w:tcBorders>
              <w:top w:val="nil"/>
              <w:left w:val="nil"/>
              <w:bottom w:val="nil"/>
              <w:right w:val="nil"/>
            </w:tcBorders>
            <w:shd w:val="clear" w:color="auto" w:fill="auto"/>
            <w:noWrap/>
            <w:vAlign w:val="bottom"/>
            <w:hideMark/>
          </w:tcPr>
          <w:p w14:paraId="4B038083" w14:textId="77777777" w:rsidR="00591E10" w:rsidRPr="00591E10" w:rsidRDefault="00591E10" w:rsidP="00591E10">
            <w:pPr>
              <w:jc w:val="right"/>
              <w:rPr>
                <w:rFonts w:asciiTheme="majorHAnsi" w:hAnsiTheme="majorHAnsi" w:cstheme="majorHAnsi"/>
                <w:sz w:val="16"/>
                <w:szCs w:val="16"/>
              </w:rPr>
            </w:pPr>
          </w:p>
        </w:tc>
        <w:tc>
          <w:tcPr>
            <w:tcW w:w="738" w:type="pct"/>
            <w:tcBorders>
              <w:top w:val="nil"/>
              <w:left w:val="nil"/>
              <w:bottom w:val="nil"/>
              <w:right w:val="nil"/>
            </w:tcBorders>
            <w:shd w:val="clear" w:color="auto" w:fill="auto"/>
            <w:noWrap/>
            <w:vAlign w:val="bottom"/>
            <w:hideMark/>
          </w:tcPr>
          <w:p w14:paraId="60660428" w14:textId="77777777" w:rsidR="00591E10" w:rsidRPr="00591E10" w:rsidRDefault="00591E10" w:rsidP="00591E10">
            <w:pPr>
              <w:jc w:val="right"/>
              <w:rPr>
                <w:rFonts w:asciiTheme="majorHAnsi" w:hAnsiTheme="majorHAnsi" w:cstheme="majorHAnsi"/>
                <w:sz w:val="16"/>
                <w:szCs w:val="16"/>
              </w:rPr>
            </w:pPr>
          </w:p>
        </w:tc>
        <w:tc>
          <w:tcPr>
            <w:tcW w:w="368" w:type="pct"/>
            <w:gridSpan w:val="2"/>
            <w:tcBorders>
              <w:top w:val="nil"/>
              <w:left w:val="nil"/>
              <w:bottom w:val="nil"/>
              <w:right w:val="nil"/>
            </w:tcBorders>
            <w:shd w:val="clear" w:color="auto" w:fill="auto"/>
            <w:noWrap/>
            <w:vAlign w:val="bottom"/>
            <w:hideMark/>
          </w:tcPr>
          <w:p w14:paraId="44BA5D87" w14:textId="77777777" w:rsidR="00591E10" w:rsidRPr="00591E10" w:rsidRDefault="00591E10" w:rsidP="00C20033">
            <w:pPr>
              <w:jc w:val="center"/>
              <w:rPr>
                <w:rFonts w:asciiTheme="majorHAnsi" w:hAnsiTheme="majorHAnsi" w:cstheme="majorHAnsi"/>
                <w:sz w:val="16"/>
                <w:szCs w:val="16"/>
              </w:rPr>
            </w:pPr>
          </w:p>
        </w:tc>
      </w:tr>
      <w:tr w:rsidR="00591E10" w:rsidRPr="00591E10" w14:paraId="30C583E0" w14:textId="77777777" w:rsidTr="00591E10">
        <w:trPr>
          <w:trHeight w:hRule="exact" w:val="227"/>
        </w:trPr>
        <w:tc>
          <w:tcPr>
            <w:tcW w:w="1679" w:type="pct"/>
            <w:tcBorders>
              <w:top w:val="nil"/>
              <w:left w:val="nil"/>
              <w:bottom w:val="nil"/>
              <w:right w:val="nil"/>
            </w:tcBorders>
            <w:shd w:val="clear" w:color="auto" w:fill="auto"/>
            <w:noWrap/>
            <w:vAlign w:val="bottom"/>
            <w:hideMark/>
          </w:tcPr>
          <w:p w14:paraId="515A5F6D" w14:textId="77777777" w:rsidR="00591E10" w:rsidRPr="00591E10" w:rsidRDefault="00591E10">
            <w:pPr>
              <w:rPr>
                <w:rFonts w:asciiTheme="majorHAnsi" w:hAnsiTheme="majorHAnsi" w:cstheme="majorHAnsi"/>
                <w:b/>
                <w:bCs/>
                <w:sz w:val="16"/>
                <w:szCs w:val="16"/>
              </w:rPr>
            </w:pPr>
            <w:r w:rsidRPr="00591E10">
              <w:rPr>
                <w:rFonts w:asciiTheme="majorHAnsi" w:hAnsiTheme="majorHAnsi" w:cstheme="majorHAnsi"/>
                <w:b/>
                <w:bCs/>
                <w:sz w:val="16"/>
                <w:szCs w:val="16"/>
              </w:rPr>
              <w:t>RESULTADO ANTES DOS TRIBUTOS S/LUCRO (IR/CSLL)</w:t>
            </w:r>
          </w:p>
        </w:tc>
        <w:tc>
          <w:tcPr>
            <w:tcW w:w="738" w:type="pct"/>
            <w:tcBorders>
              <w:top w:val="nil"/>
              <w:left w:val="nil"/>
              <w:bottom w:val="nil"/>
              <w:right w:val="nil"/>
            </w:tcBorders>
            <w:shd w:val="clear" w:color="auto" w:fill="auto"/>
            <w:noWrap/>
            <w:vAlign w:val="bottom"/>
            <w:hideMark/>
          </w:tcPr>
          <w:p w14:paraId="130BAFE4" w14:textId="77777777" w:rsidR="00591E10" w:rsidRPr="00591E10" w:rsidRDefault="00591E10" w:rsidP="00591E10">
            <w:pPr>
              <w:jc w:val="right"/>
              <w:rPr>
                <w:rFonts w:asciiTheme="majorHAnsi" w:hAnsiTheme="majorHAnsi" w:cstheme="majorHAnsi"/>
                <w:b/>
                <w:bCs/>
                <w:sz w:val="16"/>
                <w:szCs w:val="16"/>
              </w:rPr>
            </w:pPr>
            <w:r w:rsidRPr="00591E10">
              <w:rPr>
                <w:rFonts w:asciiTheme="majorHAnsi" w:hAnsiTheme="majorHAnsi" w:cstheme="majorHAnsi"/>
                <w:b/>
                <w:bCs/>
                <w:sz w:val="16"/>
                <w:szCs w:val="16"/>
              </w:rPr>
              <w:t xml:space="preserve">              34.951.607 </w:t>
            </w:r>
          </w:p>
        </w:tc>
        <w:tc>
          <w:tcPr>
            <w:tcW w:w="740" w:type="pct"/>
            <w:tcBorders>
              <w:top w:val="nil"/>
              <w:left w:val="nil"/>
              <w:bottom w:val="nil"/>
              <w:right w:val="nil"/>
            </w:tcBorders>
            <w:shd w:val="clear" w:color="auto" w:fill="auto"/>
            <w:noWrap/>
            <w:vAlign w:val="bottom"/>
            <w:hideMark/>
          </w:tcPr>
          <w:p w14:paraId="426788C2" w14:textId="77777777" w:rsidR="00591E10" w:rsidRPr="00591E10" w:rsidRDefault="00591E10" w:rsidP="00591E10">
            <w:pPr>
              <w:jc w:val="right"/>
              <w:rPr>
                <w:rFonts w:asciiTheme="majorHAnsi" w:hAnsiTheme="majorHAnsi" w:cstheme="majorHAnsi"/>
                <w:b/>
                <w:bCs/>
                <w:sz w:val="16"/>
                <w:szCs w:val="16"/>
              </w:rPr>
            </w:pPr>
            <w:r w:rsidRPr="00591E10">
              <w:rPr>
                <w:rFonts w:asciiTheme="majorHAnsi" w:hAnsiTheme="majorHAnsi" w:cstheme="majorHAnsi"/>
                <w:b/>
                <w:bCs/>
                <w:sz w:val="16"/>
                <w:szCs w:val="16"/>
              </w:rPr>
              <w:t xml:space="preserve">              32.831.052 </w:t>
            </w:r>
          </w:p>
        </w:tc>
        <w:tc>
          <w:tcPr>
            <w:tcW w:w="738" w:type="pct"/>
            <w:tcBorders>
              <w:top w:val="nil"/>
              <w:left w:val="nil"/>
              <w:bottom w:val="nil"/>
              <w:right w:val="nil"/>
            </w:tcBorders>
            <w:shd w:val="clear" w:color="auto" w:fill="auto"/>
            <w:noWrap/>
            <w:vAlign w:val="bottom"/>
            <w:hideMark/>
          </w:tcPr>
          <w:p w14:paraId="18F64688" w14:textId="77777777" w:rsidR="00591E10" w:rsidRPr="00591E10" w:rsidRDefault="00591E10" w:rsidP="00591E10">
            <w:pPr>
              <w:jc w:val="right"/>
              <w:rPr>
                <w:rFonts w:asciiTheme="majorHAnsi" w:hAnsiTheme="majorHAnsi" w:cstheme="majorHAnsi"/>
                <w:b/>
                <w:bCs/>
                <w:sz w:val="16"/>
                <w:szCs w:val="16"/>
              </w:rPr>
            </w:pPr>
            <w:r w:rsidRPr="00591E10">
              <w:rPr>
                <w:rFonts w:asciiTheme="majorHAnsi" w:hAnsiTheme="majorHAnsi" w:cstheme="majorHAnsi"/>
                <w:b/>
                <w:bCs/>
                <w:sz w:val="16"/>
                <w:szCs w:val="16"/>
              </w:rPr>
              <w:t xml:space="preserve">            (30.582.133)</w:t>
            </w:r>
          </w:p>
        </w:tc>
        <w:tc>
          <w:tcPr>
            <w:tcW w:w="738" w:type="pct"/>
            <w:tcBorders>
              <w:top w:val="nil"/>
              <w:left w:val="nil"/>
              <w:bottom w:val="nil"/>
              <w:right w:val="nil"/>
            </w:tcBorders>
            <w:shd w:val="clear" w:color="auto" w:fill="auto"/>
            <w:noWrap/>
            <w:vAlign w:val="bottom"/>
            <w:hideMark/>
          </w:tcPr>
          <w:p w14:paraId="3AFC90E5" w14:textId="77777777" w:rsidR="00591E10" w:rsidRPr="00591E10" w:rsidRDefault="00591E10" w:rsidP="00591E10">
            <w:pPr>
              <w:jc w:val="right"/>
              <w:rPr>
                <w:rFonts w:asciiTheme="majorHAnsi" w:hAnsiTheme="majorHAnsi" w:cstheme="majorHAnsi"/>
                <w:b/>
                <w:bCs/>
                <w:sz w:val="16"/>
                <w:szCs w:val="16"/>
              </w:rPr>
            </w:pPr>
            <w:r w:rsidRPr="00591E10">
              <w:rPr>
                <w:rFonts w:asciiTheme="majorHAnsi" w:hAnsiTheme="majorHAnsi" w:cstheme="majorHAnsi"/>
                <w:b/>
                <w:bCs/>
                <w:sz w:val="16"/>
                <w:szCs w:val="16"/>
              </w:rPr>
              <w:t xml:space="preserve">               (59.096.533)</w:t>
            </w:r>
          </w:p>
        </w:tc>
        <w:tc>
          <w:tcPr>
            <w:tcW w:w="368" w:type="pct"/>
            <w:gridSpan w:val="2"/>
            <w:tcBorders>
              <w:top w:val="nil"/>
              <w:left w:val="nil"/>
              <w:bottom w:val="nil"/>
              <w:right w:val="nil"/>
            </w:tcBorders>
            <w:shd w:val="clear" w:color="auto" w:fill="auto"/>
            <w:noWrap/>
            <w:vAlign w:val="bottom"/>
            <w:hideMark/>
          </w:tcPr>
          <w:p w14:paraId="064F7198" w14:textId="77777777" w:rsidR="00591E10" w:rsidRPr="00591E10" w:rsidRDefault="00591E10" w:rsidP="00591E10">
            <w:pPr>
              <w:jc w:val="center"/>
              <w:rPr>
                <w:rFonts w:asciiTheme="majorHAnsi" w:hAnsiTheme="majorHAnsi" w:cstheme="majorHAnsi"/>
                <w:b/>
                <w:bCs/>
                <w:sz w:val="16"/>
                <w:szCs w:val="16"/>
              </w:rPr>
            </w:pPr>
          </w:p>
        </w:tc>
      </w:tr>
      <w:tr w:rsidR="00591E10" w:rsidRPr="00591E10" w14:paraId="35E4C9EE" w14:textId="77777777" w:rsidTr="00591E10">
        <w:trPr>
          <w:trHeight w:hRule="exact" w:val="227"/>
        </w:trPr>
        <w:tc>
          <w:tcPr>
            <w:tcW w:w="1679" w:type="pct"/>
            <w:tcBorders>
              <w:top w:val="nil"/>
              <w:left w:val="nil"/>
              <w:bottom w:val="nil"/>
              <w:right w:val="nil"/>
            </w:tcBorders>
            <w:shd w:val="clear" w:color="auto" w:fill="auto"/>
            <w:noWrap/>
            <w:vAlign w:val="bottom"/>
            <w:hideMark/>
          </w:tcPr>
          <w:p w14:paraId="2460EFEF" w14:textId="77777777" w:rsidR="00591E10" w:rsidRPr="00591E10" w:rsidRDefault="00591E10">
            <w:pPr>
              <w:jc w:val="right"/>
              <w:rPr>
                <w:rFonts w:asciiTheme="majorHAnsi" w:hAnsiTheme="majorHAnsi" w:cstheme="majorHAnsi"/>
                <w:sz w:val="16"/>
                <w:szCs w:val="16"/>
              </w:rPr>
            </w:pPr>
          </w:p>
        </w:tc>
        <w:tc>
          <w:tcPr>
            <w:tcW w:w="738" w:type="pct"/>
            <w:tcBorders>
              <w:top w:val="nil"/>
              <w:left w:val="nil"/>
              <w:bottom w:val="nil"/>
              <w:right w:val="nil"/>
            </w:tcBorders>
            <w:shd w:val="clear" w:color="auto" w:fill="auto"/>
            <w:noWrap/>
            <w:vAlign w:val="bottom"/>
            <w:hideMark/>
          </w:tcPr>
          <w:p w14:paraId="35E16935" w14:textId="77777777" w:rsidR="00591E10" w:rsidRPr="00591E10" w:rsidRDefault="00591E10" w:rsidP="00591E10">
            <w:pPr>
              <w:jc w:val="right"/>
              <w:rPr>
                <w:rFonts w:asciiTheme="majorHAnsi" w:hAnsiTheme="majorHAnsi" w:cstheme="majorHAnsi"/>
                <w:sz w:val="16"/>
                <w:szCs w:val="16"/>
              </w:rPr>
            </w:pPr>
          </w:p>
        </w:tc>
        <w:tc>
          <w:tcPr>
            <w:tcW w:w="740" w:type="pct"/>
            <w:tcBorders>
              <w:top w:val="nil"/>
              <w:left w:val="nil"/>
              <w:bottom w:val="nil"/>
              <w:right w:val="nil"/>
            </w:tcBorders>
            <w:shd w:val="clear" w:color="auto" w:fill="auto"/>
            <w:noWrap/>
            <w:vAlign w:val="bottom"/>
            <w:hideMark/>
          </w:tcPr>
          <w:p w14:paraId="238DF7BD" w14:textId="77777777" w:rsidR="00591E10" w:rsidRPr="00591E10" w:rsidRDefault="00591E10" w:rsidP="00591E10">
            <w:pPr>
              <w:jc w:val="right"/>
              <w:rPr>
                <w:rFonts w:asciiTheme="majorHAnsi" w:hAnsiTheme="majorHAnsi" w:cstheme="majorHAnsi"/>
                <w:sz w:val="16"/>
                <w:szCs w:val="16"/>
              </w:rPr>
            </w:pPr>
          </w:p>
        </w:tc>
        <w:tc>
          <w:tcPr>
            <w:tcW w:w="738" w:type="pct"/>
            <w:tcBorders>
              <w:top w:val="nil"/>
              <w:left w:val="nil"/>
              <w:bottom w:val="nil"/>
              <w:right w:val="nil"/>
            </w:tcBorders>
            <w:shd w:val="clear" w:color="auto" w:fill="auto"/>
            <w:noWrap/>
            <w:vAlign w:val="bottom"/>
            <w:hideMark/>
          </w:tcPr>
          <w:p w14:paraId="1865CD34" w14:textId="77777777" w:rsidR="00591E10" w:rsidRPr="00591E10" w:rsidRDefault="00591E10" w:rsidP="00591E10">
            <w:pPr>
              <w:jc w:val="right"/>
              <w:rPr>
                <w:rFonts w:asciiTheme="majorHAnsi" w:hAnsiTheme="majorHAnsi" w:cstheme="majorHAnsi"/>
                <w:sz w:val="16"/>
                <w:szCs w:val="16"/>
              </w:rPr>
            </w:pPr>
          </w:p>
        </w:tc>
        <w:tc>
          <w:tcPr>
            <w:tcW w:w="738" w:type="pct"/>
            <w:tcBorders>
              <w:top w:val="nil"/>
              <w:left w:val="nil"/>
              <w:bottom w:val="nil"/>
              <w:right w:val="nil"/>
            </w:tcBorders>
            <w:shd w:val="clear" w:color="auto" w:fill="auto"/>
            <w:noWrap/>
            <w:vAlign w:val="bottom"/>
            <w:hideMark/>
          </w:tcPr>
          <w:p w14:paraId="147DF891" w14:textId="77777777" w:rsidR="00591E10" w:rsidRPr="00591E10" w:rsidRDefault="00591E10" w:rsidP="00591E10">
            <w:pPr>
              <w:jc w:val="right"/>
              <w:rPr>
                <w:rFonts w:asciiTheme="majorHAnsi" w:hAnsiTheme="majorHAnsi" w:cstheme="majorHAnsi"/>
                <w:sz w:val="16"/>
                <w:szCs w:val="16"/>
              </w:rPr>
            </w:pPr>
          </w:p>
        </w:tc>
        <w:tc>
          <w:tcPr>
            <w:tcW w:w="368" w:type="pct"/>
            <w:gridSpan w:val="2"/>
            <w:tcBorders>
              <w:top w:val="nil"/>
              <w:left w:val="nil"/>
              <w:bottom w:val="nil"/>
              <w:right w:val="nil"/>
            </w:tcBorders>
            <w:shd w:val="clear" w:color="auto" w:fill="auto"/>
            <w:noWrap/>
            <w:vAlign w:val="bottom"/>
            <w:hideMark/>
          </w:tcPr>
          <w:p w14:paraId="3FB5A0C0" w14:textId="77777777" w:rsidR="00591E10" w:rsidRPr="00591E10" w:rsidRDefault="00591E10" w:rsidP="00591E10">
            <w:pPr>
              <w:jc w:val="center"/>
              <w:rPr>
                <w:rFonts w:asciiTheme="majorHAnsi" w:hAnsiTheme="majorHAnsi" w:cstheme="majorHAnsi"/>
                <w:sz w:val="16"/>
                <w:szCs w:val="16"/>
              </w:rPr>
            </w:pPr>
          </w:p>
        </w:tc>
      </w:tr>
      <w:tr w:rsidR="00591E10" w:rsidRPr="00591E10" w14:paraId="4DC6B52E" w14:textId="77777777" w:rsidTr="00591E10">
        <w:trPr>
          <w:trHeight w:hRule="exact" w:val="227"/>
        </w:trPr>
        <w:tc>
          <w:tcPr>
            <w:tcW w:w="1679" w:type="pct"/>
            <w:tcBorders>
              <w:top w:val="nil"/>
              <w:left w:val="nil"/>
              <w:bottom w:val="nil"/>
              <w:right w:val="nil"/>
            </w:tcBorders>
            <w:shd w:val="clear" w:color="auto" w:fill="auto"/>
            <w:noWrap/>
            <w:vAlign w:val="bottom"/>
            <w:hideMark/>
          </w:tcPr>
          <w:p w14:paraId="252383AF" w14:textId="77777777" w:rsidR="00591E10" w:rsidRPr="00591E10" w:rsidRDefault="00591E10">
            <w:pPr>
              <w:rPr>
                <w:rFonts w:asciiTheme="majorHAnsi" w:hAnsiTheme="majorHAnsi" w:cstheme="majorHAnsi"/>
                <w:b/>
                <w:bCs/>
                <w:sz w:val="16"/>
                <w:szCs w:val="16"/>
              </w:rPr>
            </w:pPr>
            <w:r w:rsidRPr="00591E10">
              <w:rPr>
                <w:rFonts w:asciiTheme="majorHAnsi" w:hAnsiTheme="majorHAnsi" w:cstheme="majorHAnsi"/>
                <w:b/>
                <w:bCs/>
                <w:sz w:val="16"/>
                <w:szCs w:val="16"/>
              </w:rPr>
              <w:lastRenderedPageBreak/>
              <w:t>RESULTADO LÍQUIDO DO EXERCÍCIO</w:t>
            </w:r>
          </w:p>
        </w:tc>
        <w:tc>
          <w:tcPr>
            <w:tcW w:w="738" w:type="pct"/>
            <w:tcBorders>
              <w:top w:val="nil"/>
              <w:left w:val="nil"/>
              <w:bottom w:val="nil"/>
              <w:right w:val="nil"/>
            </w:tcBorders>
            <w:shd w:val="clear" w:color="auto" w:fill="auto"/>
            <w:noWrap/>
            <w:vAlign w:val="bottom"/>
            <w:hideMark/>
          </w:tcPr>
          <w:p w14:paraId="5E7F8A58" w14:textId="77777777" w:rsidR="00591E10" w:rsidRPr="00591E10" w:rsidRDefault="00591E10" w:rsidP="00591E10">
            <w:pPr>
              <w:jc w:val="right"/>
              <w:rPr>
                <w:rFonts w:asciiTheme="majorHAnsi" w:hAnsiTheme="majorHAnsi" w:cstheme="majorHAnsi"/>
                <w:b/>
                <w:bCs/>
                <w:sz w:val="16"/>
                <w:szCs w:val="16"/>
              </w:rPr>
            </w:pPr>
            <w:r w:rsidRPr="00591E10">
              <w:rPr>
                <w:rFonts w:asciiTheme="majorHAnsi" w:hAnsiTheme="majorHAnsi" w:cstheme="majorHAnsi"/>
                <w:b/>
                <w:bCs/>
                <w:sz w:val="16"/>
                <w:szCs w:val="16"/>
              </w:rPr>
              <w:t xml:space="preserve">              34.951.607 </w:t>
            </w:r>
          </w:p>
        </w:tc>
        <w:tc>
          <w:tcPr>
            <w:tcW w:w="740" w:type="pct"/>
            <w:tcBorders>
              <w:top w:val="nil"/>
              <w:left w:val="nil"/>
              <w:bottom w:val="nil"/>
              <w:right w:val="nil"/>
            </w:tcBorders>
            <w:shd w:val="clear" w:color="auto" w:fill="auto"/>
            <w:noWrap/>
            <w:vAlign w:val="bottom"/>
            <w:hideMark/>
          </w:tcPr>
          <w:p w14:paraId="5DEB2D88" w14:textId="77777777" w:rsidR="00591E10" w:rsidRPr="00591E10" w:rsidRDefault="00591E10" w:rsidP="00591E10">
            <w:pPr>
              <w:jc w:val="right"/>
              <w:rPr>
                <w:rFonts w:asciiTheme="majorHAnsi" w:hAnsiTheme="majorHAnsi" w:cstheme="majorHAnsi"/>
                <w:b/>
                <w:bCs/>
                <w:sz w:val="16"/>
                <w:szCs w:val="16"/>
              </w:rPr>
            </w:pPr>
            <w:r w:rsidRPr="00591E10">
              <w:rPr>
                <w:rFonts w:asciiTheme="majorHAnsi" w:hAnsiTheme="majorHAnsi" w:cstheme="majorHAnsi"/>
                <w:b/>
                <w:bCs/>
                <w:sz w:val="16"/>
                <w:szCs w:val="16"/>
              </w:rPr>
              <w:t xml:space="preserve">              32.831.052 </w:t>
            </w:r>
          </w:p>
        </w:tc>
        <w:tc>
          <w:tcPr>
            <w:tcW w:w="738" w:type="pct"/>
            <w:tcBorders>
              <w:top w:val="nil"/>
              <w:left w:val="nil"/>
              <w:bottom w:val="nil"/>
              <w:right w:val="nil"/>
            </w:tcBorders>
            <w:shd w:val="clear" w:color="auto" w:fill="auto"/>
            <w:noWrap/>
            <w:vAlign w:val="bottom"/>
            <w:hideMark/>
          </w:tcPr>
          <w:p w14:paraId="223E92E6" w14:textId="77777777" w:rsidR="00591E10" w:rsidRPr="00591E10" w:rsidRDefault="00591E10" w:rsidP="00591E10">
            <w:pPr>
              <w:jc w:val="right"/>
              <w:rPr>
                <w:rFonts w:asciiTheme="majorHAnsi" w:hAnsiTheme="majorHAnsi" w:cstheme="majorHAnsi"/>
                <w:b/>
                <w:bCs/>
                <w:sz w:val="16"/>
                <w:szCs w:val="16"/>
              </w:rPr>
            </w:pPr>
            <w:r w:rsidRPr="00591E10">
              <w:rPr>
                <w:rFonts w:asciiTheme="majorHAnsi" w:hAnsiTheme="majorHAnsi" w:cstheme="majorHAnsi"/>
                <w:b/>
                <w:bCs/>
                <w:sz w:val="16"/>
                <w:szCs w:val="16"/>
              </w:rPr>
              <w:t xml:space="preserve">            (30.582.133)</w:t>
            </w:r>
          </w:p>
        </w:tc>
        <w:tc>
          <w:tcPr>
            <w:tcW w:w="738" w:type="pct"/>
            <w:tcBorders>
              <w:top w:val="nil"/>
              <w:left w:val="nil"/>
              <w:bottom w:val="nil"/>
              <w:right w:val="nil"/>
            </w:tcBorders>
            <w:shd w:val="clear" w:color="auto" w:fill="auto"/>
            <w:noWrap/>
            <w:vAlign w:val="bottom"/>
            <w:hideMark/>
          </w:tcPr>
          <w:p w14:paraId="559648E3" w14:textId="77777777" w:rsidR="00591E10" w:rsidRPr="00591E10" w:rsidRDefault="00591E10" w:rsidP="00591E10">
            <w:pPr>
              <w:jc w:val="right"/>
              <w:rPr>
                <w:rFonts w:asciiTheme="majorHAnsi" w:hAnsiTheme="majorHAnsi" w:cstheme="majorHAnsi"/>
                <w:b/>
                <w:bCs/>
                <w:sz w:val="16"/>
                <w:szCs w:val="16"/>
              </w:rPr>
            </w:pPr>
            <w:r w:rsidRPr="00591E10">
              <w:rPr>
                <w:rFonts w:asciiTheme="majorHAnsi" w:hAnsiTheme="majorHAnsi" w:cstheme="majorHAnsi"/>
                <w:b/>
                <w:bCs/>
                <w:sz w:val="16"/>
                <w:szCs w:val="16"/>
              </w:rPr>
              <w:t xml:space="preserve">               (59.096.533)</w:t>
            </w:r>
          </w:p>
        </w:tc>
        <w:tc>
          <w:tcPr>
            <w:tcW w:w="368" w:type="pct"/>
            <w:gridSpan w:val="2"/>
            <w:tcBorders>
              <w:top w:val="nil"/>
              <w:left w:val="nil"/>
              <w:bottom w:val="nil"/>
              <w:right w:val="nil"/>
            </w:tcBorders>
            <w:shd w:val="clear" w:color="auto" w:fill="auto"/>
            <w:noWrap/>
            <w:vAlign w:val="bottom"/>
            <w:hideMark/>
          </w:tcPr>
          <w:p w14:paraId="01770350" w14:textId="77777777" w:rsidR="00591E10" w:rsidRPr="00591E10" w:rsidRDefault="00591E10" w:rsidP="00591E10">
            <w:pPr>
              <w:jc w:val="center"/>
              <w:rPr>
                <w:rFonts w:asciiTheme="majorHAnsi" w:hAnsiTheme="majorHAnsi" w:cstheme="majorHAnsi"/>
                <w:b/>
                <w:bCs/>
                <w:sz w:val="16"/>
                <w:szCs w:val="16"/>
              </w:rPr>
            </w:pPr>
          </w:p>
        </w:tc>
      </w:tr>
      <w:tr w:rsidR="00591E10" w:rsidRPr="00591E10" w14:paraId="4F360A24" w14:textId="77777777" w:rsidTr="00591E10">
        <w:trPr>
          <w:trHeight w:hRule="exact" w:val="227"/>
        </w:trPr>
        <w:tc>
          <w:tcPr>
            <w:tcW w:w="1679" w:type="pct"/>
            <w:tcBorders>
              <w:top w:val="nil"/>
              <w:left w:val="nil"/>
              <w:bottom w:val="nil"/>
              <w:right w:val="nil"/>
            </w:tcBorders>
            <w:shd w:val="clear" w:color="auto" w:fill="auto"/>
            <w:noWrap/>
            <w:vAlign w:val="bottom"/>
            <w:hideMark/>
          </w:tcPr>
          <w:p w14:paraId="5B218A7D" w14:textId="77777777" w:rsidR="00591E10" w:rsidRPr="00591E10" w:rsidRDefault="00591E10">
            <w:pPr>
              <w:rPr>
                <w:rFonts w:asciiTheme="majorHAnsi" w:hAnsiTheme="majorHAnsi" w:cstheme="majorHAnsi"/>
                <w:sz w:val="16"/>
                <w:szCs w:val="16"/>
              </w:rPr>
            </w:pPr>
            <w:r w:rsidRPr="00591E10">
              <w:rPr>
                <w:rFonts w:asciiTheme="majorHAnsi" w:hAnsiTheme="majorHAnsi" w:cstheme="majorHAnsi"/>
                <w:sz w:val="16"/>
                <w:szCs w:val="16"/>
              </w:rPr>
              <w:t xml:space="preserve">         Lucro/Prejuízo por ação (em reais)</w:t>
            </w:r>
          </w:p>
        </w:tc>
        <w:tc>
          <w:tcPr>
            <w:tcW w:w="738" w:type="pct"/>
            <w:tcBorders>
              <w:top w:val="nil"/>
              <w:left w:val="nil"/>
              <w:bottom w:val="nil"/>
              <w:right w:val="nil"/>
            </w:tcBorders>
            <w:shd w:val="clear" w:color="auto" w:fill="auto"/>
            <w:noWrap/>
            <w:vAlign w:val="bottom"/>
            <w:hideMark/>
          </w:tcPr>
          <w:p w14:paraId="30CACE7A" w14:textId="77777777" w:rsidR="00591E10" w:rsidRPr="00591E10" w:rsidRDefault="00591E10" w:rsidP="00591E10">
            <w:pPr>
              <w:jc w:val="right"/>
              <w:rPr>
                <w:rFonts w:asciiTheme="majorHAnsi" w:hAnsiTheme="majorHAnsi" w:cstheme="majorHAnsi"/>
                <w:b/>
                <w:bCs/>
                <w:sz w:val="16"/>
                <w:szCs w:val="16"/>
              </w:rPr>
            </w:pPr>
            <w:r w:rsidRPr="00591E10">
              <w:rPr>
                <w:rFonts w:asciiTheme="majorHAnsi" w:hAnsiTheme="majorHAnsi" w:cstheme="majorHAnsi"/>
                <w:b/>
                <w:bCs/>
                <w:sz w:val="16"/>
                <w:szCs w:val="16"/>
              </w:rPr>
              <w:t xml:space="preserve">                          4,32 </w:t>
            </w:r>
          </w:p>
        </w:tc>
        <w:tc>
          <w:tcPr>
            <w:tcW w:w="740" w:type="pct"/>
            <w:tcBorders>
              <w:top w:val="nil"/>
              <w:left w:val="nil"/>
              <w:bottom w:val="nil"/>
              <w:right w:val="nil"/>
            </w:tcBorders>
            <w:shd w:val="clear" w:color="auto" w:fill="auto"/>
            <w:noWrap/>
            <w:vAlign w:val="bottom"/>
            <w:hideMark/>
          </w:tcPr>
          <w:p w14:paraId="6F5FFBD4" w14:textId="77777777" w:rsidR="00591E10" w:rsidRPr="00591E10" w:rsidRDefault="00591E10" w:rsidP="00591E10">
            <w:pPr>
              <w:jc w:val="right"/>
              <w:rPr>
                <w:rFonts w:asciiTheme="majorHAnsi" w:hAnsiTheme="majorHAnsi" w:cstheme="majorHAnsi"/>
                <w:b/>
                <w:bCs/>
                <w:sz w:val="16"/>
                <w:szCs w:val="16"/>
              </w:rPr>
            </w:pPr>
            <w:r w:rsidRPr="00591E10">
              <w:rPr>
                <w:rFonts w:asciiTheme="majorHAnsi" w:hAnsiTheme="majorHAnsi" w:cstheme="majorHAnsi"/>
                <w:b/>
                <w:bCs/>
                <w:sz w:val="16"/>
                <w:szCs w:val="16"/>
              </w:rPr>
              <w:t xml:space="preserve">                          4,06 </w:t>
            </w:r>
          </w:p>
        </w:tc>
        <w:tc>
          <w:tcPr>
            <w:tcW w:w="738" w:type="pct"/>
            <w:tcBorders>
              <w:top w:val="nil"/>
              <w:left w:val="nil"/>
              <w:bottom w:val="nil"/>
              <w:right w:val="nil"/>
            </w:tcBorders>
            <w:shd w:val="clear" w:color="auto" w:fill="auto"/>
            <w:noWrap/>
            <w:vAlign w:val="bottom"/>
            <w:hideMark/>
          </w:tcPr>
          <w:p w14:paraId="504CE83B" w14:textId="77777777" w:rsidR="00591E10" w:rsidRPr="00591E10" w:rsidRDefault="00591E10" w:rsidP="00591E10">
            <w:pPr>
              <w:jc w:val="right"/>
              <w:rPr>
                <w:rFonts w:asciiTheme="majorHAnsi" w:hAnsiTheme="majorHAnsi" w:cstheme="majorHAnsi"/>
                <w:b/>
                <w:bCs/>
                <w:sz w:val="16"/>
                <w:szCs w:val="16"/>
              </w:rPr>
            </w:pPr>
            <w:r w:rsidRPr="00591E10">
              <w:rPr>
                <w:rFonts w:asciiTheme="majorHAnsi" w:hAnsiTheme="majorHAnsi" w:cstheme="majorHAnsi"/>
                <w:b/>
                <w:bCs/>
                <w:sz w:val="16"/>
                <w:szCs w:val="16"/>
              </w:rPr>
              <w:t xml:space="preserve">                         (3,78)</w:t>
            </w:r>
          </w:p>
        </w:tc>
        <w:tc>
          <w:tcPr>
            <w:tcW w:w="738" w:type="pct"/>
            <w:tcBorders>
              <w:top w:val="nil"/>
              <w:left w:val="nil"/>
              <w:bottom w:val="nil"/>
              <w:right w:val="nil"/>
            </w:tcBorders>
            <w:shd w:val="clear" w:color="auto" w:fill="auto"/>
            <w:noWrap/>
            <w:vAlign w:val="bottom"/>
            <w:hideMark/>
          </w:tcPr>
          <w:p w14:paraId="3175EEC9" w14:textId="77777777" w:rsidR="00591E10" w:rsidRPr="00591E10" w:rsidRDefault="00591E10" w:rsidP="00591E10">
            <w:pPr>
              <w:jc w:val="right"/>
              <w:rPr>
                <w:rFonts w:asciiTheme="majorHAnsi" w:hAnsiTheme="majorHAnsi" w:cstheme="majorHAnsi"/>
                <w:b/>
                <w:bCs/>
                <w:sz w:val="16"/>
                <w:szCs w:val="16"/>
              </w:rPr>
            </w:pPr>
            <w:r w:rsidRPr="00591E10">
              <w:rPr>
                <w:rFonts w:asciiTheme="majorHAnsi" w:hAnsiTheme="majorHAnsi" w:cstheme="majorHAnsi"/>
                <w:b/>
                <w:bCs/>
                <w:sz w:val="16"/>
                <w:szCs w:val="16"/>
              </w:rPr>
              <w:t xml:space="preserve">                           (7,30)</w:t>
            </w:r>
          </w:p>
        </w:tc>
        <w:tc>
          <w:tcPr>
            <w:tcW w:w="368" w:type="pct"/>
            <w:gridSpan w:val="2"/>
            <w:tcBorders>
              <w:top w:val="nil"/>
              <w:left w:val="nil"/>
              <w:bottom w:val="nil"/>
              <w:right w:val="nil"/>
            </w:tcBorders>
            <w:shd w:val="clear" w:color="auto" w:fill="auto"/>
            <w:noWrap/>
            <w:vAlign w:val="bottom"/>
            <w:hideMark/>
          </w:tcPr>
          <w:p w14:paraId="14565636" w14:textId="77777777" w:rsidR="00591E10" w:rsidRPr="00591E10" w:rsidRDefault="00591E10" w:rsidP="00591E10">
            <w:pPr>
              <w:jc w:val="center"/>
              <w:rPr>
                <w:rFonts w:asciiTheme="majorHAnsi" w:hAnsiTheme="majorHAnsi" w:cstheme="majorHAnsi"/>
                <w:b/>
                <w:bCs/>
                <w:sz w:val="16"/>
                <w:szCs w:val="16"/>
              </w:rPr>
            </w:pPr>
          </w:p>
        </w:tc>
      </w:tr>
      <w:tr w:rsidR="00591E10" w:rsidRPr="00591E10" w14:paraId="0508C94D" w14:textId="77777777" w:rsidTr="00591E10">
        <w:trPr>
          <w:gridAfter w:val="1"/>
          <w:wAfter w:w="11" w:type="pct"/>
          <w:trHeight w:hRule="exact" w:val="227"/>
        </w:trPr>
        <w:tc>
          <w:tcPr>
            <w:tcW w:w="1679" w:type="pct"/>
            <w:tcBorders>
              <w:top w:val="nil"/>
              <w:left w:val="nil"/>
              <w:bottom w:val="nil"/>
              <w:right w:val="nil"/>
            </w:tcBorders>
            <w:shd w:val="clear" w:color="auto" w:fill="auto"/>
            <w:noWrap/>
            <w:vAlign w:val="bottom"/>
            <w:hideMark/>
          </w:tcPr>
          <w:p w14:paraId="672FED94" w14:textId="77777777" w:rsidR="00591E10" w:rsidRPr="00591E10" w:rsidRDefault="00591E10">
            <w:pPr>
              <w:jc w:val="right"/>
              <w:rPr>
                <w:rFonts w:asciiTheme="majorHAnsi" w:hAnsiTheme="majorHAnsi" w:cstheme="majorHAnsi"/>
                <w:sz w:val="16"/>
                <w:szCs w:val="16"/>
              </w:rPr>
            </w:pPr>
          </w:p>
        </w:tc>
        <w:tc>
          <w:tcPr>
            <w:tcW w:w="738" w:type="pct"/>
            <w:tcBorders>
              <w:top w:val="nil"/>
              <w:left w:val="nil"/>
              <w:bottom w:val="nil"/>
              <w:right w:val="nil"/>
            </w:tcBorders>
            <w:shd w:val="clear" w:color="auto" w:fill="auto"/>
            <w:noWrap/>
            <w:vAlign w:val="bottom"/>
            <w:hideMark/>
          </w:tcPr>
          <w:p w14:paraId="34BA3330" w14:textId="77777777" w:rsidR="00591E10" w:rsidRPr="00591E10" w:rsidRDefault="00591E10">
            <w:pPr>
              <w:rPr>
                <w:rFonts w:asciiTheme="majorHAnsi" w:hAnsiTheme="majorHAnsi" w:cstheme="majorHAnsi"/>
                <w:sz w:val="16"/>
                <w:szCs w:val="16"/>
              </w:rPr>
            </w:pPr>
          </w:p>
        </w:tc>
        <w:tc>
          <w:tcPr>
            <w:tcW w:w="740" w:type="pct"/>
            <w:tcBorders>
              <w:top w:val="nil"/>
              <w:left w:val="nil"/>
              <w:bottom w:val="nil"/>
              <w:right w:val="nil"/>
            </w:tcBorders>
            <w:shd w:val="clear" w:color="auto" w:fill="auto"/>
            <w:noWrap/>
            <w:vAlign w:val="bottom"/>
            <w:hideMark/>
          </w:tcPr>
          <w:p w14:paraId="664A8BE8" w14:textId="77777777" w:rsidR="00591E10" w:rsidRPr="00591E10" w:rsidRDefault="00591E10">
            <w:pPr>
              <w:rPr>
                <w:rFonts w:asciiTheme="majorHAnsi" w:hAnsiTheme="majorHAnsi" w:cstheme="majorHAnsi"/>
                <w:sz w:val="16"/>
                <w:szCs w:val="16"/>
              </w:rPr>
            </w:pPr>
          </w:p>
        </w:tc>
        <w:tc>
          <w:tcPr>
            <w:tcW w:w="738" w:type="pct"/>
            <w:tcBorders>
              <w:top w:val="nil"/>
              <w:left w:val="nil"/>
              <w:bottom w:val="nil"/>
              <w:right w:val="nil"/>
            </w:tcBorders>
            <w:shd w:val="clear" w:color="auto" w:fill="auto"/>
            <w:noWrap/>
            <w:vAlign w:val="bottom"/>
            <w:hideMark/>
          </w:tcPr>
          <w:p w14:paraId="54E62A75" w14:textId="77777777" w:rsidR="00591E10" w:rsidRPr="00591E10" w:rsidRDefault="00591E10">
            <w:pPr>
              <w:rPr>
                <w:rFonts w:asciiTheme="majorHAnsi" w:hAnsiTheme="majorHAnsi" w:cstheme="majorHAnsi"/>
                <w:sz w:val="16"/>
                <w:szCs w:val="16"/>
              </w:rPr>
            </w:pPr>
          </w:p>
        </w:tc>
        <w:tc>
          <w:tcPr>
            <w:tcW w:w="738" w:type="pct"/>
            <w:tcBorders>
              <w:top w:val="nil"/>
              <w:left w:val="nil"/>
              <w:bottom w:val="nil"/>
              <w:right w:val="nil"/>
            </w:tcBorders>
            <w:shd w:val="clear" w:color="000000" w:fill="FFFFFF"/>
            <w:noWrap/>
            <w:vAlign w:val="bottom"/>
            <w:hideMark/>
          </w:tcPr>
          <w:p w14:paraId="1CF7A8EB" w14:textId="77777777" w:rsidR="00591E10" w:rsidRPr="00591E10" w:rsidRDefault="00591E10">
            <w:pPr>
              <w:jc w:val="right"/>
              <w:rPr>
                <w:rFonts w:asciiTheme="majorHAnsi" w:hAnsiTheme="majorHAnsi" w:cstheme="majorHAnsi"/>
                <w:b/>
                <w:bCs/>
                <w:sz w:val="16"/>
                <w:szCs w:val="16"/>
              </w:rPr>
            </w:pPr>
            <w:r w:rsidRPr="00591E10">
              <w:rPr>
                <w:rFonts w:asciiTheme="majorHAnsi" w:hAnsiTheme="majorHAnsi" w:cstheme="majorHAnsi"/>
                <w:b/>
                <w:bCs/>
                <w:sz w:val="16"/>
                <w:szCs w:val="16"/>
              </w:rPr>
              <w:t> </w:t>
            </w:r>
          </w:p>
        </w:tc>
        <w:tc>
          <w:tcPr>
            <w:tcW w:w="357" w:type="pct"/>
            <w:tcBorders>
              <w:top w:val="nil"/>
              <w:left w:val="nil"/>
              <w:bottom w:val="nil"/>
              <w:right w:val="nil"/>
            </w:tcBorders>
            <w:shd w:val="clear" w:color="auto" w:fill="auto"/>
            <w:noWrap/>
            <w:vAlign w:val="bottom"/>
            <w:hideMark/>
          </w:tcPr>
          <w:p w14:paraId="6417EDC0" w14:textId="77777777" w:rsidR="00591E10" w:rsidRPr="00591E10" w:rsidRDefault="00591E10">
            <w:pPr>
              <w:jc w:val="right"/>
              <w:rPr>
                <w:rFonts w:asciiTheme="majorHAnsi" w:hAnsiTheme="majorHAnsi" w:cstheme="majorHAnsi"/>
                <w:b/>
                <w:bCs/>
                <w:sz w:val="16"/>
                <w:szCs w:val="16"/>
              </w:rPr>
            </w:pPr>
          </w:p>
        </w:tc>
      </w:tr>
      <w:tr w:rsidR="00591E10" w:rsidRPr="00591E10" w14:paraId="74F4340C" w14:textId="77777777" w:rsidTr="00591E10">
        <w:trPr>
          <w:gridAfter w:val="1"/>
          <w:wAfter w:w="11" w:type="pct"/>
          <w:trHeight w:hRule="exact" w:val="227"/>
        </w:trPr>
        <w:tc>
          <w:tcPr>
            <w:tcW w:w="4989" w:type="pct"/>
            <w:gridSpan w:val="6"/>
            <w:tcBorders>
              <w:top w:val="nil"/>
              <w:left w:val="nil"/>
              <w:bottom w:val="nil"/>
              <w:right w:val="nil"/>
            </w:tcBorders>
            <w:shd w:val="clear" w:color="auto" w:fill="auto"/>
            <w:noWrap/>
            <w:vAlign w:val="bottom"/>
            <w:hideMark/>
          </w:tcPr>
          <w:p w14:paraId="3D1F4DB0" w14:textId="77777777" w:rsidR="00591E10" w:rsidRPr="00591E10" w:rsidRDefault="00591E10">
            <w:pPr>
              <w:jc w:val="center"/>
              <w:rPr>
                <w:rFonts w:asciiTheme="majorHAnsi" w:hAnsiTheme="majorHAnsi" w:cstheme="majorHAnsi"/>
                <w:sz w:val="16"/>
                <w:szCs w:val="16"/>
              </w:rPr>
            </w:pPr>
            <w:r w:rsidRPr="00591E10">
              <w:rPr>
                <w:rFonts w:asciiTheme="majorHAnsi" w:hAnsiTheme="majorHAnsi" w:cstheme="majorHAnsi"/>
                <w:sz w:val="16"/>
                <w:szCs w:val="16"/>
              </w:rPr>
              <w:t>(As Notas Explicativas são parte integrante das demonstrações contábeis intermediárias)</w:t>
            </w:r>
          </w:p>
        </w:tc>
      </w:tr>
    </w:tbl>
    <w:p w14:paraId="129612FD" w14:textId="22633E04" w:rsidR="00591E10" w:rsidRDefault="00591E10" w:rsidP="00591E10"/>
    <w:p w14:paraId="544EEB94" w14:textId="6FDC6CA5" w:rsidR="00591E10" w:rsidRDefault="00591E10" w:rsidP="00591E10"/>
    <w:p w14:paraId="7640E25C" w14:textId="3238DD55" w:rsidR="00F47099" w:rsidRDefault="00F47099" w:rsidP="00591E10"/>
    <w:p w14:paraId="4A8FCDBC" w14:textId="09D4868F" w:rsidR="00F47099" w:rsidRDefault="00F47099" w:rsidP="00591E10"/>
    <w:p w14:paraId="393AC696" w14:textId="1EE12988" w:rsidR="00F47099" w:rsidRDefault="00F47099" w:rsidP="00591E10"/>
    <w:p w14:paraId="3F03135C" w14:textId="740A78CD" w:rsidR="00F47099" w:rsidRDefault="00F47099" w:rsidP="00591E10"/>
    <w:p w14:paraId="50C93C25" w14:textId="53153207" w:rsidR="00F47099" w:rsidRDefault="00F47099" w:rsidP="00591E10"/>
    <w:p w14:paraId="6F2D2788" w14:textId="32528950" w:rsidR="00F47099" w:rsidRDefault="00F47099" w:rsidP="00591E10"/>
    <w:p w14:paraId="236A941C" w14:textId="4AC0CC0A" w:rsidR="00F47099" w:rsidRDefault="00F47099" w:rsidP="00591E10"/>
    <w:tbl>
      <w:tblPr>
        <w:tblW w:w="5000" w:type="pct"/>
        <w:tblCellMar>
          <w:left w:w="70" w:type="dxa"/>
          <w:right w:w="70" w:type="dxa"/>
        </w:tblCellMar>
        <w:tblLook w:val="04A0" w:firstRow="1" w:lastRow="0" w:firstColumn="1" w:lastColumn="0" w:noHBand="0" w:noVBand="1"/>
      </w:tblPr>
      <w:tblGrid>
        <w:gridCol w:w="3640"/>
        <w:gridCol w:w="147"/>
        <w:gridCol w:w="1645"/>
        <w:gridCol w:w="1635"/>
        <w:gridCol w:w="1654"/>
        <w:gridCol w:w="1746"/>
      </w:tblGrid>
      <w:tr w:rsidR="00F47099" w:rsidRPr="00F47099" w14:paraId="41A5484B" w14:textId="77777777" w:rsidTr="00F47099">
        <w:trPr>
          <w:trHeight w:hRule="exact" w:val="227"/>
        </w:trPr>
        <w:tc>
          <w:tcPr>
            <w:tcW w:w="5000" w:type="pct"/>
            <w:gridSpan w:val="6"/>
            <w:tcBorders>
              <w:top w:val="nil"/>
              <w:left w:val="nil"/>
              <w:bottom w:val="nil"/>
              <w:right w:val="nil"/>
            </w:tcBorders>
            <w:shd w:val="clear" w:color="auto" w:fill="auto"/>
            <w:noWrap/>
            <w:vAlign w:val="bottom"/>
            <w:hideMark/>
          </w:tcPr>
          <w:p w14:paraId="0E53D87F" w14:textId="77777777" w:rsidR="00F47099" w:rsidRPr="00F47099" w:rsidRDefault="00F47099">
            <w:pPr>
              <w:jc w:val="center"/>
              <w:rPr>
                <w:rFonts w:asciiTheme="majorHAnsi" w:hAnsiTheme="majorHAnsi" w:cstheme="majorHAnsi"/>
                <w:b/>
                <w:bCs/>
                <w:sz w:val="16"/>
                <w:szCs w:val="16"/>
              </w:rPr>
            </w:pPr>
            <w:r w:rsidRPr="00F47099">
              <w:rPr>
                <w:rFonts w:asciiTheme="majorHAnsi" w:hAnsiTheme="majorHAnsi" w:cstheme="majorHAnsi"/>
                <w:b/>
                <w:bCs/>
                <w:sz w:val="16"/>
                <w:szCs w:val="16"/>
              </w:rPr>
              <w:t>VALEC ENGENHARIA, CONSTRUÇÕES E FERROVIAS S/A</w:t>
            </w:r>
          </w:p>
        </w:tc>
      </w:tr>
      <w:tr w:rsidR="00F47099" w:rsidRPr="00F47099" w14:paraId="4EB225F7" w14:textId="77777777" w:rsidTr="00F47099">
        <w:trPr>
          <w:trHeight w:hRule="exact" w:val="227"/>
        </w:trPr>
        <w:tc>
          <w:tcPr>
            <w:tcW w:w="5000" w:type="pct"/>
            <w:gridSpan w:val="6"/>
            <w:tcBorders>
              <w:top w:val="nil"/>
              <w:left w:val="nil"/>
              <w:bottom w:val="nil"/>
              <w:right w:val="nil"/>
            </w:tcBorders>
            <w:shd w:val="clear" w:color="auto" w:fill="auto"/>
            <w:noWrap/>
            <w:vAlign w:val="bottom"/>
            <w:hideMark/>
          </w:tcPr>
          <w:p w14:paraId="7CD33C02" w14:textId="77777777" w:rsidR="00F47099" w:rsidRPr="00F47099" w:rsidRDefault="00F47099">
            <w:pPr>
              <w:jc w:val="center"/>
              <w:rPr>
                <w:rFonts w:asciiTheme="majorHAnsi" w:hAnsiTheme="majorHAnsi" w:cstheme="majorHAnsi"/>
                <w:b/>
                <w:bCs/>
                <w:sz w:val="16"/>
                <w:szCs w:val="16"/>
              </w:rPr>
            </w:pPr>
            <w:r w:rsidRPr="00F47099">
              <w:rPr>
                <w:rFonts w:asciiTheme="majorHAnsi" w:hAnsiTheme="majorHAnsi" w:cstheme="majorHAnsi"/>
                <w:b/>
                <w:bCs/>
                <w:sz w:val="16"/>
                <w:szCs w:val="16"/>
              </w:rPr>
              <w:t xml:space="preserve">DEMONSTRAÇÃO DO RESULTADO ABRANGENTE  </w:t>
            </w:r>
          </w:p>
        </w:tc>
      </w:tr>
      <w:tr w:rsidR="00F47099" w:rsidRPr="00F47099" w14:paraId="4F82AE96" w14:textId="77777777" w:rsidTr="00F47099">
        <w:trPr>
          <w:trHeight w:hRule="exact" w:val="227"/>
        </w:trPr>
        <w:tc>
          <w:tcPr>
            <w:tcW w:w="5000" w:type="pct"/>
            <w:gridSpan w:val="6"/>
            <w:tcBorders>
              <w:top w:val="nil"/>
              <w:left w:val="nil"/>
              <w:bottom w:val="nil"/>
              <w:right w:val="nil"/>
            </w:tcBorders>
            <w:shd w:val="clear" w:color="auto" w:fill="auto"/>
            <w:noWrap/>
            <w:vAlign w:val="bottom"/>
            <w:hideMark/>
          </w:tcPr>
          <w:p w14:paraId="23675DB5" w14:textId="77777777" w:rsidR="00F47099" w:rsidRPr="00F47099" w:rsidRDefault="00F47099">
            <w:pPr>
              <w:jc w:val="center"/>
              <w:rPr>
                <w:rFonts w:asciiTheme="majorHAnsi" w:hAnsiTheme="majorHAnsi" w:cstheme="majorHAnsi"/>
                <w:b/>
                <w:bCs/>
                <w:sz w:val="16"/>
                <w:szCs w:val="16"/>
              </w:rPr>
            </w:pPr>
            <w:r w:rsidRPr="00F47099">
              <w:rPr>
                <w:rFonts w:asciiTheme="majorHAnsi" w:hAnsiTheme="majorHAnsi" w:cstheme="majorHAnsi"/>
                <w:b/>
                <w:bCs/>
                <w:sz w:val="16"/>
                <w:szCs w:val="16"/>
              </w:rPr>
              <w:t>2º TRIMESTRE 2022</w:t>
            </w:r>
          </w:p>
        </w:tc>
      </w:tr>
      <w:tr w:rsidR="00F47099" w:rsidRPr="00F47099" w14:paraId="71211D68" w14:textId="77777777" w:rsidTr="00F47099">
        <w:trPr>
          <w:trHeight w:hRule="exact" w:val="227"/>
        </w:trPr>
        <w:tc>
          <w:tcPr>
            <w:tcW w:w="5000" w:type="pct"/>
            <w:gridSpan w:val="6"/>
            <w:tcBorders>
              <w:top w:val="nil"/>
              <w:left w:val="nil"/>
              <w:bottom w:val="nil"/>
              <w:right w:val="nil"/>
            </w:tcBorders>
            <w:shd w:val="clear" w:color="auto" w:fill="auto"/>
            <w:noWrap/>
            <w:vAlign w:val="bottom"/>
            <w:hideMark/>
          </w:tcPr>
          <w:p w14:paraId="6370956B" w14:textId="77777777" w:rsidR="00F47099" w:rsidRPr="00F47099" w:rsidRDefault="00F47099">
            <w:pPr>
              <w:jc w:val="center"/>
              <w:rPr>
                <w:rFonts w:asciiTheme="majorHAnsi" w:hAnsiTheme="majorHAnsi" w:cstheme="majorHAnsi"/>
                <w:b/>
                <w:bCs/>
                <w:sz w:val="16"/>
                <w:szCs w:val="16"/>
              </w:rPr>
            </w:pPr>
            <w:r w:rsidRPr="00F47099">
              <w:rPr>
                <w:rFonts w:asciiTheme="majorHAnsi" w:hAnsiTheme="majorHAnsi" w:cstheme="majorHAnsi"/>
                <w:b/>
                <w:bCs/>
                <w:sz w:val="16"/>
                <w:szCs w:val="16"/>
              </w:rPr>
              <w:t>Em R$ 1</w:t>
            </w:r>
          </w:p>
        </w:tc>
      </w:tr>
      <w:tr w:rsidR="00F47099" w:rsidRPr="00F47099" w14:paraId="2D37589C" w14:textId="77777777" w:rsidTr="00F47099">
        <w:trPr>
          <w:trHeight w:hRule="exact" w:val="227"/>
        </w:trPr>
        <w:tc>
          <w:tcPr>
            <w:tcW w:w="1739" w:type="pct"/>
            <w:tcBorders>
              <w:top w:val="nil"/>
              <w:left w:val="nil"/>
              <w:bottom w:val="nil"/>
              <w:right w:val="nil"/>
            </w:tcBorders>
            <w:shd w:val="clear" w:color="auto" w:fill="auto"/>
            <w:noWrap/>
            <w:vAlign w:val="bottom"/>
            <w:hideMark/>
          </w:tcPr>
          <w:p w14:paraId="1E72226F" w14:textId="77777777" w:rsidR="00F47099" w:rsidRPr="00F47099" w:rsidRDefault="00F47099">
            <w:pPr>
              <w:jc w:val="center"/>
              <w:rPr>
                <w:rFonts w:asciiTheme="majorHAnsi" w:hAnsiTheme="majorHAnsi" w:cstheme="majorHAnsi"/>
                <w:b/>
                <w:bCs/>
                <w:sz w:val="16"/>
                <w:szCs w:val="16"/>
              </w:rPr>
            </w:pPr>
          </w:p>
        </w:tc>
        <w:tc>
          <w:tcPr>
            <w:tcW w:w="70" w:type="pct"/>
            <w:tcBorders>
              <w:top w:val="nil"/>
              <w:left w:val="nil"/>
              <w:bottom w:val="nil"/>
              <w:right w:val="nil"/>
            </w:tcBorders>
            <w:shd w:val="clear" w:color="auto" w:fill="auto"/>
            <w:noWrap/>
            <w:vAlign w:val="bottom"/>
            <w:hideMark/>
          </w:tcPr>
          <w:p w14:paraId="1B9FB559" w14:textId="77777777" w:rsidR="00F47099" w:rsidRPr="00F47099" w:rsidRDefault="00F47099">
            <w:pPr>
              <w:jc w:val="center"/>
              <w:rPr>
                <w:rFonts w:asciiTheme="majorHAnsi" w:hAnsiTheme="majorHAnsi" w:cstheme="majorHAnsi"/>
                <w:sz w:val="16"/>
                <w:szCs w:val="16"/>
              </w:rPr>
            </w:pPr>
          </w:p>
        </w:tc>
        <w:tc>
          <w:tcPr>
            <w:tcW w:w="786" w:type="pct"/>
            <w:tcBorders>
              <w:top w:val="nil"/>
              <w:left w:val="nil"/>
              <w:bottom w:val="nil"/>
              <w:right w:val="nil"/>
            </w:tcBorders>
            <w:shd w:val="clear" w:color="auto" w:fill="auto"/>
            <w:noWrap/>
            <w:vAlign w:val="bottom"/>
            <w:hideMark/>
          </w:tcPr>
          <w:p w14:paraId="58FCD393" w14:textId="77777777" w:rsidR="00F47099" w:rsidRPr="00F47099" w:rsidRDefault="00F47099">
            <w:pPr>
              <w:jc w:val="center"/>
              <w:rPr>
                <w:rFonts w:asciiTheme="majorHAnsi" w:hAnsiTheme="majorHAnsi" w:cstheme="majorHAnsi"/>
                <w:sz w:val="16"/>
                <w:szCs w:val="16"/>
              </w:rPr>
            </w:pPr>
          </w:p>
        </w:tc>
        <w:tc>
          <w:tcPr>
            <w:tcW w:w="781" w:type="pct"/>
            <w:tcBorders>
              <w:top w:val="nil"/>
              <w:left w:val="nil"/>
              <w:bottom w:val="nil"/>
              <w:right w:val="nil"/>
            </w:tcBorders>
            <w:shd w:val="clear" w:color="auto" w:fill="auto"/>
            <w:noWrap/>
            <w:vAlign w:val="bottom"/>
            <w:hideMark/>
          </w:tcPr>
          <w:p w14:paraId="764D89BD" w14:textId="77777777" w:rsidR="00F47099" w:rsidRPr="00F47099" w:rsidRDefault="00F47099">
            <w:pPr>
              <w:jc w:val="center"/>
              <w:rPr>
                <w:rFonts w:asciiTheme="majorHAnsi" w:hAnsiTheme="majorHAnsi" w:cstheme="majorHAnsi"/>
                <w:sz w:val="16"/>
                <w:szCs w:val="16"/>
              </w:rPr>
            </w:pPr>
          </w:p>
        </w:tc>
        <w:tc>
          <w:tcPr>
            <w:tcW w:w="790" w:type="pct"/>
            <w:tcBorders>
              <w:top w:val="nil"/>
              <w:left w:val="nil"/>
              <w:bottom w:val="nil"/>
              <w:right w:val="nil"/>
            </w:tcBorders>
            <w:shd w:val="clear" w:color="auto" w:fill="auto"/>
            <w:noWrap/>
            <w:vAlign w:val="bottom"/>
            <w:hideMark/>
          </w:tcPr>
          <w:p w14:paraId="17AA019D" w14:textId="77777777" w:rsidR="00F47099" w:rsidRPr="00F47099" w:rsidRDefault="00F47099">
            <w:pPr>
              <w:jc w:val="center"/>
              <w:rPr>
                <w:rFonts w:asciiTheme="majorHAnsi" w:hAnsiTheme="majorHAnsi" w:cstheme="majorHAnsi"/>
                <w:sz w:val="16"/>
                <w:szCs w:val="16"/>
              </w:rPr>
            </w:pPr>
          </w:p>
        </w:tc>
        <w:tc>
          <w:tcPr>
            <w:tcW w:w="834" w:type="pct"/>
            <w:tcBorders>
              <w:top w:val="nil"/>
              <w:left w:val="nil"/>
              <w:bottom w:val="nil"/>
              <w:right w:val="nil"/>
            </w:tcBorders>
            <w:shd w:val="clear" w:color="auto" w:fill="auto"/>
            <w:noWrap/>
            <w:vAlign w:val="bottom"/>
            <w:hideMark/>
          </w:tcPr>
          <w:p w14:paraId="700C9184" w14:textId="77777777" w:rsidR="00F47099" w:rsidRPr="00F47099" w:rsidRDefault="00F47099">
            <w:pPr>
              <w:jc w:val="center"/>
              <w:rPr>
                <w:rFonts w:asciiTheme="majorHAnsi" w:hAnsiTheme="majorHAnsi" w:cstheme="majorHAnsi"/>
                <w:sz w:val="16"/>
                <w:szCs w:val="16"/>
              </w:rPr>
            </w:pPr>
          </w:p>
        </w:tc>
      </w:tr>
      <w:tr w:rsidR="00F47099" w:rsidRPr="00F47099" w14:paraId="687C262A" w14:textId="77777777" w:rsidTr="00F47099">
        <w:trPr>
          <w:trHeight w:hRule="exact" w:val="227"/>
        </w:trPr>
        <w:tc>
          <w:tcPr>
            <w:tcW w:w="1739" w:type="pct"/>
            <w:tcBorders>
              <w:top w:val="nil"/>
              <w:left w:val="nil"/>
              <w:bottom w:val="nil"/>
              <w:right w:val="nil"/>
            </w:tcBorders>
            <w:shd w:val="clear" w:color="auto" w:fill="auto"/>
            <w:noWrap/>
            <w:vAlign w:val="bottom"/>
            <w:hideMark/>
          </w:tcPr>
          <w:p w14:paraId="3F4F22A0" w14:textId="77777777" w:rsidR="00F47099" w:rsidRPr="00F47099" w:rsidRDefault="00F47099">
            <w:pPr>
              <w:jc w:val="right"/>
              <w:rPr>
                <w:rFonts w:asciiTheme="majorHAnsi" w:hAnsiTheme="majorHAnsi" w:cstheme="majorHAnsi"/>
                <w:sz w:val="16"/>
                <w:szCs w:val="16"/>
              </w:rPr>
            </w:pPr>
          </w:p>
        </w:tc>
        <w:tc>
          <w:tcPr>
            <w:tcW w:w="70" w:type="pct"/>
            <w:tcBorders>
              <w:top w:val="nil"/>
              <w:left w:val="nil"/>
              <w:bottom w:val="nil"/>
              <w:right w:val="nil"/>
            </w:tcBorders>
            <w:shd w:val="clear" w:color="auto" w:fill="auto"/>
            <w:noWrap/>
            <w:vAlign w:val="bottom"/>
            <w:hideMark/>
          </w:tcPr>
          <w:p w14:paraId="59F038AD" w14:textId="77777777" w:rsidR="00F47099" w:rsidRPr="00F47099" w:rsidRDefault="00F47099">
            <w:pPr>
              <w:jc w:val="center"/>
              <w:rPr>
                <w:rFonts w:asciiTheme="majorHAnsi" w:hAnsiTheme="majorHAnsi" w:cstheme="majorHAnsi"/>
                <w:sz w:val="16"/>
                <w:szCs w:val="16"/>
              </w:rPr>
            </w:pPr>
          </w:p>
        </w:tc>
        <w:tc>
          <w:tcPr>
            <w:tcW w:w="786" w:type="pct"/>
            <w:tcBorders>
              <w:top w:val="nil"/>
              <w:left w:val="nil"/>
              <w:bottom w:val="nil"/>
              <w:right w:val="nil"/>
            </w:tcBorders>
            <w:shd w:val="clear" w:color="auto" w:fill="auto"/>
            <w:noWrap/>
            <w:vAlign w:val="bottom"/>
            <w:hideMark/>
          </w:tcPr>
          <w:p w14:paraId="6FBB3BE8" w14:textId="77777777" w:rsidR="00F47099" w:rsidRPr="00F47099" w:rsidRDefault="00F47099">
            <w:pPr>
              <w:jc w:val="center"/>
              <w:rPr>
                <w:rFonts w:asciiTheme="majorHAnsi" w:hAnsiTheme="majorHAnsi" w:cstheme="majorHAnsi"/>
                <w:sz w:val="16"/>
                <w:szCs w:val="16"/>
              </w:rPr>
            </w:pPr>
          </w:p>
        </w:tc>
        <w:tc>
          <w:tcPr>
            <w:tcW w:w="781" w:type="pct"/>
            <w:tcBorders>
              <w:top w:val="nil"/>
              <w:left w:val="nil"/>
              <w:bottom w:val="nil"/>
              <w:right w:val="nil"/>
            </w:tcBorders>
            <w:shd w:val="clear" w:color="000000" w:fill="FFFFFF"/>
            <w:noWrap/>
            <w:vAlign w:val="bottom"/>
            <w:hideMark/>
          </w:tcPr>
          <w:p w14:paraId="7CF6252B" w14:textId="77777777" w:rsidR="00F47099" w:rsidRPr="00F47099" w:rsidRDefault="00F47099">
            <w:pPr>
              <w:rPr>
                <w:rFonts w:asciiTheme="majorHAnsi" w:hAnsiTheme="majorHAnsi" w:cstheme="majorHAnsi"/>
                <w:b/>
                <w:bCs/>
                <w:sz w:val="16"/>
                <w:szCs w:val="16"/>
              </w:rPr>
            </w:pPr>
            <w:r w:rsidRPr="00F47099">
              <w:rPr>
                <w:rFonts w:asciiTheme="majorHAnsi" w:hAnsiTheme="majorHAnsi" w:cstheme="majorHAnsi"/>
                <w:b/>
                <w:bCs/>
                <w:sz w:val="16"/>
                <w:szCs w:val="16"/>
              </w:rPr>
              <w:t> </w:t>
            </w:r>
          </w:p>
        </w:tc>
        <w:tc>
          <w:tcPr>
            <w:tcW w:w="790" w:type="pct"/>
            <w:tcBorders>
              <w:top w:val="nil"/>
              <w:left w:val="nil"/>
              <w:bottom w:val="nil"/>
              <w:right w:val="nil"/>
            </w:tcBorders>
            <w:shd w:val="clear" w:color="000000" w:fill="FFFFFF"/>
            <w:noWrap/>
            <w:vAlign w:val="bottom"/>
            <w:hideMark/>
          </w:tcPr>
          <w:p w14:paraId="09FCE66C" w14:textId="77777777" w:rsidR="00F47099" w:rsidRPr="00F47099" w:rsidRDefault="00F47099">
            <w:pPr>
              <w:rPr>
                <w:rFonts w:asciiTheme="majorHAnsi" w:hAnsiTheme="majorHAnsi" w:cstheme="majorHAnsi"/>
                <w:b/>
                <w:bCs/>
                <w:sz w:val="16"/>
                <w:szCs w:val="16"/>
              </w:rPr>
            </w:pPr>
            <w:r w:rsidRPr="00F47099">
              <w:rPr>
                <w:rFonts w:asciiTheme="majorHAnsi" w:hAnsiTheme="majorHAnsi" w:cstheme="majorHAnsi"/>
                <w:b/>
                <w:bCs/>
                <w:sz w:val="16"/>
                <w:szCs w:val="16"/>
              </w:rPr>
              <w:t> </w:t>
            </w:r>
          </w:p>
        </w:tc>
        <w:tc>
          <w:tcPr>
            <w:tcW w:w="834" w:type="pct"/>
            <w:tcBorders>
              <w:top w:val="nil"/>
              <w:left w:val="nil"/>
              <w:bottom w:val="nil"/>
              <w:right w:val="nil"/>
            </w:tcBorders>
            <w:shd w:val="clear" w:color="auto" w:fill="auto"/>
            <w:vAlign w:val="bottom"/>
            <w:hideMark/>
          </w:tcPr>
          <w:p w14:paraId="46208431" w14:textId="77777777" w:rsidR="00F47099" w:rsidRPr="00F47099" w:rsidRDefault="00F47099">
            <w:pPr>
              <w:rPr>
                <w:rFonts w:asciiTheme="majorHAnsi" w:hAnsiTheme="majorHAnsi" w:cstheme="majorHAnsi"/>
                <w:b/>
                <w:bCs/>
                <w:sz w:val="16"/>
                <w:szCs w:val="16"/>
              </w:rPr>
            </w:pPr>
          </w:p>
        </w:tc>
      </w:tr>
      <w:tr w:rsidR="00F47099" w:rsidRPr="00F47099" w14:paraId="5F2D7A44" w14:textId="77777777" w:rsidTr="00F47099">
        <w:trPr>
          <w:trHeight w:hRule="exact" w:val="227"/>
        </w:trPr>
        <w:tc>
          <w:tcPr>
            <w:tcW w:w="1739" w:type="pct"/>
            <w:tcBorders>
              <w:top w:val="nil"/>
              <w:left w:val="nil"/>
              <w:bottom w:val="nil"/>
              <w:right w:val="nil"/>
            </w:tcBorders>
            <w:shd w:val="clear" w:color="auto" w:fill="auto"/>
            <w:noWrap/>
            <w:vAlign w:val="bottom"/>
            <w:hideMark/>
          </w:tcPr>
          <w:p w14:paraId="7DD0F557" w14:textId="77777777" w:rsidR="00F47099" w:rsidRPr="00F47099" w:rsidRDefault="00F47099">
            <w:pPr>
              <w:jc w:val="right"/>
              <w:rPr>
                <w:rFonts w:asciiTheme="majorHAnsi" w:hAnsiTheme="majorHAnsi" w:cstheme="majorHAnsi"/>
                <w:sz w:val="16"/>
                <w:szCs w:val="16"/>
              </w:rPr>
            </w:pPr>
          </w:p>
        </w:tc>
        <w:tc>
          <w:tcPr>
            <w:tcW w:w="70" w:type="pct"/>
            <w:tcBorders>
              <w:top w:val="nil"/>
              <w:left w:val="nil"/>
              <w:bottom w:val="nil"/>
              <w:right w:val="nil"/>
            </w:tcBorders>
            <w:shd w:val="clear" w:color="auto" w:fill="auto"/>
            <w:noWrap/>
            <w:vAlign w:val="bottom"/>
            <w:hideMark/>
          </w:tcPr>
          <w:p w14:paraId="546113E0" w14:textId="77777777" w:rsidR="00F47099" w:rsidRPr="00F47099" w:rsidRDefault="00F47099">
            <w:pPr>
              <w:rPr>
                <w:rFonts w:asciiTheme="majorHAnsi" w:hAnsiTheme="majorHAnsi" w:cstheme="majorHAnsi"/>
                <w:sz w:val="16"/>
                <w:szCs w:val="16"/>
              </w:rPr>
            </w:pPr>
          </w:p>
        </w:tc>
        <w:tc>
          <w:tcPr>
            <w:tcW w:w="786" w:type="pct"/>
            <w:tcBorders>
              <w:top w:val="nil"/>
              <w:left w:val="nil"/>
              <w:bottom w:val="nil"/>
              <w:right w:val="nil"/>
            </w:tcBorders>
            <w:shd w:val="clear" w:color="auto" w:fill="auto"/>
            <w:vAlign w:val="bottom"/>
            <w:hideMark/>
          </w:tcPr>
          <w:p w14:paraId="2B444939" w14:textId="77777777" w:rsidR="00F47099" w:rsidRPr="00F47099" w:rsidRDefault="00F47099" w:rsidP="00F47099">
            <w:pPr>
              <w:jc w:val="right"/>
              <w:rPr>
                <w:rFonts w:asciiTheme="majorHAnsi" w:hAnsiTheme="majorHAnsi" w:cstheme="majorHAnsi"/>
                <w:b/>
                <w:bCs/>
                <w:sz w:val="16"/>
                <w:szCs w:val="16"/>
              </w:rPr>
            </w:pPr>
            <w:r w:rsidRPr="00F47099">
              <w:rPr>
                <w:rFonts w:asciiTheme="majorHAnsi" w:hAnsiTheme="majorHAnsi" w:cstheme="majorHAnsi"/>
                <w:b/>
                <w:bCs/>
                <w:sz w:val="16"/>
                <w:szCs w:val="16"/>
              </w:rPr>
              <w:t>01/04/2022</w:t>
            </w:r>
          </w:p>
        </w:tc>
        <w:tc>
          <w:tcPr>
            <w:tcW w:w="781" w:type="pct"/>
            <w:tcBorders>
              <w:top w:val="nil"/>
              <w:left w:val="nil"/>
              <w:bottom w:val="nil"/>
              <w:right w:val="nil"/>
            </w:tcBorders>
            <w:shd w:val="clear" w:color="auto" w:fill="auto"/>
            <w:vAlign w:val="bottom"/>
            <w:hideMark/>
          </w:tcPr>
          <w:p w14:paraId="75B9E92B" w14:textId="77777777" w:rsidR="00F47099" w:rsidRPr="00F47099" w:rsidRDefault="00F47099" w:rsidP="00F47099">
            <w:pPr>
              <w:jc w:val="right"/>
              <w:rPr>
                <w:rFonts w:asciiTheme="majorHAnsi" w:hAnsiTheme="majorHAnsi" w:cstheme="majorHAnsi"/>
                <w:b/>
                <w:bCs/>
                <w:sz w:val="16"/>
                <w:szCs w:val="16"/>
              </w:rPr>
            </w:pPr>
            <w:r w:rsidRPr="00F47099">
              <w:rPr>
                <w:rFonts w:asciiTheme="majorHAnsi" w:hAnsiTheme="majorHAnsi" w:cstheme="majorHAnsi"/>
                <w:b/>
                <w:bCs/>
                <w:sz w:val="16"/>
                <w:szCs w:val="16"/>
              </w:rPr>
              <w:t>01/01/2022</w:t>
            </w:r>
          </w:p>
        </w:tc>
        <w:tc>
          <w:tcPr>
            <w:tcW w:w="790" w:type="pct"/>
            <w:tcBorders>
              <w:top w:val="nil"/>
              <w:left w:val="nil"/>
              <w:bottom w:val="nil"/>
              <w:right w:val="nil"/>
            </w:tcBorders>
            <w:shd w:val="clear" w:color="auto" w:fill="auto"/>
            <w:vAlign w:val="bottom"/>
            <w:hideMark/>
          </w:tcPr>
          <w:p w14:paraId="7833122D" w14:textId="77777777" w:rsidR="00F47099" w:rsidRPr="00F47099" w:rsidRDefault="00F47099" w:rsidP="00F47099">
            <w:pPr>
              <w:jc w:val="right"/>
              <w:rPr>
                <w:rFonts w:asciiTheme="majorHAnsi" w:hAnsiTheme="majorHAnsi" w:cstheme="majorHAnsi"/>
                <w:b/>
                <w:bCs/>
                <w:sz w:val="16"/>
                <w:szCs w:val="16"/>
              </w:rPr>
            </w:pPr>
            <w:r w:rsidRPr="00F47099">
              <w:rPr>
                <w:rFonts w:asciiTheme="majorHAnsi" w:hAnsiTheme="majorHAnsi" w:cstheme="majorHAnsi"/>
                <w:b/>
                <w:bCs/>
                <w:sz w:val="16"/>
                <w:szCs w:val="16"/>
              </w:rPr>
              <w:t>01/04/2021</w:t>
            </w:r>
          </w:p>
        </w:tc>
        <w:tc>
          <w:tcPr>
            <w:tcW w:w="834" w:type="pct"/>
            <w:tcBorders>
              <w:top w:val="nil"/>
              <w:left w:val="nil"/>
              <w:bottom w:val="nil"/>
              <w:right w:val="nil"/>
            </w:tcBorders>
            <w:shd w:val="clear" w:color="auto" w:fill="auto"/>
            <w:vAlign w:val="bottom"/>
            <w:hideMark/>
          </w:tcPr>
          <w:p w14:paraId="5A4D366B" w14:textId="77777777" w:rsidR="00F47099" w:rsidRPr="00F47099" w:rsidRDefault="00F47099" w:rsidP="00F47099">
            <w:pPr>
              <w:jc w:val="right"/>
              <w:rPr>
                <w:rFonts w:asciiTheme="majorHAnsi" w:hAnsiTheme="majorHAnsi" w:cstheme="majorHAnsi"/>
                <w:b/>
                <w:bCs/>
                <w:sz w:val="16"/>
                <w:szCs w:val="16"/>
              </w:rPr>
            </w:pPr>
            <w:r w:rsidRPr="00F47099">
              <w:rPr>
                <w:rFonts w:asciiTheme="majorHAnsi" w:hAnsiTheme="majorHAnsi" w:cstheme="majorHAnsi"/>
                <w:b/>
                <w:bCs/>
                <w:sz w:val="16"/>
                <w:szCs w:val="16"/>
              </w:rPr>
              <w:t>01/01/2021</w:t>
            </w:r>
          </w:p>
        </w:tc>
      </w:tr>
      <w:tr w:rsidR="00F47099" w:rsidRPr="00F47099" w14:paraId="03C38631" w14:textId="77777777" w:rsidTr="00F47099">
        <w:trPr>
          <w:trHeight w:hRule="exact" w:val="227"/>
        </w:trPr>
        <w:tc>
          <w:tcPr>
            <w:tcW w:w="1739" w:type="pct"/>
            <w:tcBorders>
              <w:top w:val="nil"/>
              <w:left w:val="nil"/>
              <w:bottom w:val="nil"/>
              <w:right w:val="nil"/>
            </w:tcBorders>
            <w:shd w:val="clear" w:color="auto" w:fill="auto"/>
            <w:noWrap/>
            <w:vAlign w:val="bottom"/>
            <w:hideMark/>
          </w:tcPr>
          <w:p w14:paraId="6EB862E9" w14:textId="77777777" w:rsidR="00F47099" w:rsidRPr="00F47099" w:rsidRDefault="00F47099">
            <w:pPr>
              <w:jc w:val="right"/>
              <w:rPr>
                <w:rFonts w:asciiTheme="majorHAnsi" w:hAnsiTheme="majorHAnsi" w:cstheme="majorHAnsi"/>
                <w:b/>
                <w:bCs/>
                <w:sz w:val="16"/>
                <w:szCs w:val="16"/>
              </w:rPr>
            </w:pPr>
          </w:p>
        </w:tc>
        <w:tc>
          <w:tcPr>
            <w:tcW w:w="70" w:type="pct"/>
            <w:tcBorders>
              <w:top w:val="nil"/>
              <w:left w:val="nil"/>
              <w:bottom w:val="nil"/>
              <w:right w:val="nil"/>
            </w:tcBorders>
            <w:shd w:val="clear" w:color="auto" w:fill="auto"/>
            <w:noWrap/>
            <w:vAlign w:val="bottom"/>
            <w:hideMark/>
          </w:tcPr>
          <w:p w14:paraId="32B7672D" w14:textId="77777777" w:rsidR="00F47099" w:rsidRPr="00F47099" w:rsidRDefault="00F47099">
            <w:pPr>
              <w:rPr>
                <w:rFonts w:asciiTheme="majorHAnsi" w:hAnsiTheme="majorHAnsi" w:cstheme="majorHAnsi"/>
                <w:sz w:val="16"/>
                <w:szCs w:val="16"/>
              </w:rPr>
            </w:pPr>
          </w:p>
        </w:tc>
        <w:tc>
          <w:tcPr>
            <w:tcW w:w="786" w:type="pct"/>
            <w:tcBorders>
              <w:top w:val="nil"/>
              <w:left w:val="nil"/>
              <w:bottom w:val="nil"/>
              <w:right w:val="nil"/>
            </w:tcBorders>
            <w:shd w:val="clear" w:color="auto" w:fill="auto"/>
            <w:vAlign w:val="bottom"/>
            <w:hideMark/>
          </w:tcPr>
          <w:p w14:paraId="40FDFDCB" w14:textId="77777777" w:rsidR="00F47099" w:rsidRPr="00F47099" w:rsidRDefault="00F47099" w:rsidP="00F47099">
            <w:pPr>
              <w:jc w:val="right"/>
              <w:rPr>
                <w:rFonts w:asciiTheme="majorHAnsi" w:hAnsiTheme="majorHAnsi" w:cstheme="majorHAnsi"/>
                <w:b/>
                <w:bCs/>
                <w:sz w:val="16"/>
                <w:szCs w:val="16"/>
              </w:rPr>
            </w:pPr>
            <w:r w:rsidRPr="00F47099">
              <w:rPr>
                <w:rFonts w:asciiTheme="majorHAnsi" w:hAnsiTheme="majorHAnsi" w:cstheme="majorHAnsi"/>
                <w:b/>
                <w:bCs/>
                <w:sz w:val="16"/>
                <w:szCs w:val="16"/>
              </w:rPr>
              <w:t>a 30/06/2022</w:t>
            </w:r>
          </w:p>
        </w:tc>
        <w:tc>
          <w:tcPr>
            <w:tcW w:w="781" w:type="pct"/>
            <w:tcBorders>
              <w:top w:val="nil"/>
              <w:left w:val="nil"/>
              <w:bottom w:val="nil"/>
              <w:right w:val="nil"/>
            </w:tcBorders>
            <w:shd w:val="clear" w:color="auto" w:fill="auto"/>
            <w:vAlign w:val="bottom"/>
            <w:hideMark/>
          </w:tcPr>
          <w:p w14:paraId="6AFE236B" w14:textId="77777777" w:rsidR="00F47099" w:rsidRPr="00F47099" w:rsidRDefault="00F47099" w:rsidP="00F47099">
            <w:pPr>
              <w:jc w:val="right"/>
              <w:rPr>
                <w:rFonts w:asciiTheme="majorHAnsi" w:hAnsiTheme="majorHAnsi" w:cstheme="majorHAnsi"/>
                <w:b/>
                <w:bCs/>
                <w:sz w:val="16"/>
                <w:szCs w:val="16"/>
              </w:rPr>
            </w:pPr>
            <w:r w:rsidRPr="00F47099">
              <w:rPr>
                <w:rFonts w:asciiTheme="majorHAnsi" w:hAnsiTheme="majorHAnsi" w:cstheme="majorHAnsi"/>
                <w:b/>
                <w:bCs/>
                <w:sz w:val="16"/>
                <w:szCs w:val="16"/>
              </w:rPr>
              <w:t>a 31/06/2022</w:t>
            </w:r>
          </w:p>
        </w:tc>
        <w:tc>
          <w:tcPr>
            <w:tcW w:w="790" w:type="pct"/>
            <w:tcBorders>
              <w:top w:val="nil"/>
              <w:left w:val="nil"/>
              <w:bottom w:val="nil"/>
              <w:right w:val="nil"/>
            </w:tcBorders>
            <w:shd w:val="clear" w:color="auto" w:fill="auto"/>
            <w:vAlign w:val="bottom"/>
            <w:hideMark/>
          </w:tcPr>
          <w:p w14:paraId="32A1B56F" w14:textId="77777777" w:rsidR="00F47099" w:rsidRPr="00F47099" w:rsidRDefault="00F47099" w:rsidP="00F47099">
            <w:pPr>
              <w:jc w:val="right"/>
              <w:rPr>
                <w:rFonts w:asciiTheme="majorHAnsi" w:hAnsiTheme="majorHAnsi" w:cstheme="majorHAnsi"/>
                <w:b/>
                <w:bCs/>
                <w:sz w:val="16"/>
                <w:szCs w:val="16"/>
              </w:rPr>
            </w:pPr>
            <w:r w:rsidRPr="00F47099">
              <w:rPr>
                <w:rFonts w:asciiTheme="majorHAnsi" w:hAnsiTheme="majorHAnsi" w:cstheme="majorHAnsi"/>
                <w:b/>
                <w:bCs/>
                <w:sz w:val="16"/>
                <w:szCs w:val="16"/>
              </w:rPr>
              <w:t>a 30/06/2021</w:t>
            </w:r>
          </w:p>
        </w:tc>
        <w:tc>
          <w:tcPr>
            <w:tcW w:w="834" w:type="pct"/>
            <w:tcBorders>
              <w:top w:val="nil"/>
              <w:left w:val="nil"/>
              <w:bottom w:val="nil"/>
              <w:right w:val="nil"/>
            </w:tcBorders>
            <w:shd w:val="clear" w:color="auto" w:fill="auto"/>
            <w:vAlign w:val="bottom"/>
            <w:hideMark/>
          </w:tcPr>
          <w:p w14:paraId="00BA3D04" w14:textId="77777777" w:rsidR="00F47099" w:rsidRPr="00F47099" w:rsidRDefault="00F47099" w:rsidP="00F47099">
            <w:pPr>
              <w:jc w:val="right"/>
              <w:rPr>
                <w:rFonts w:asciiTheme="majorHAnsi" w:hAnsiTheme="majorHAnsi" w:cstheme="majorHAnsi"/>
                <w:b/>
                <w:bCs/>
                <w:sz w:val="16"/>
                <w:szCs w:val="16"/>
              </w:rPr>
            </w:pPr>
            <w:r w:rsidRPr="00F47099">
              <w:rPr>
                <w:rFonts w:asciiTheme="majorHAnsi" w:hAnsiTheme="majorHAnsi" w:cstheme="majorHAnsi"/>
                <w:b/>
                <w:bCs/>
                <w:sz w:val="16"/>
                <w:szCs w:val="16"/>
              </w:rPr>
              <w:t>a 30/06/2021</w:t>
            </w:r>
          </w:p>
        </w:tc>
      </w:tr>
      <w:tr w:rsidR="00F47099" w:rsidRPr="00F47099" w14:paraId="3683DD81" w14:textId="77777777" w:rsidTr="00F47099">
        <w:trPr>
          <w:trHeight w:hRule="exact" w:val="227"/>
        </w:trPr>
        <w:tc>
          <w:tcPr>
            <w:tcW w:w="1739" w:type="pct"/>
            <w:tcBorders>
              <w:top w:val="nil"/>
              <w:left w:val="nil"/>
              <w:bottom w:val="nil"/>
              <w:right w:val="nil"/>
            </w:tcBorders>
            <w:shd w:val="clear" w:color="auto" w:fill="auto"/>
            <w:noWrap/>
            <w:vAlign w:val="bottom"/>
            <w:hideMark/>
          </w:tcPr>
          <w:p w14:paraId="7EFFC111" w14:textId="77777777" w:rsidR="00F47099" w:rsidRPr="00F47099" w:rsidRDefault="00F47099">
            <w:pPr>
              <w:jc w:val="right"/>
              <w:rPr>
                <w:rFonts w:asciiTheme="majorHAnsi" w:hAnsiTheme="majorHAnsi" w:cstheme="majorHAnsi"/>
                <w:b/>
                <w:bCs/>
                <w:sz w:val="16"/>
                <w:szCs w:val="16"/>
              </w:rPr>
            </w:pPr>
          </w:p>
        </w:tc>
        <w:tc>
          <w:tcPr>
            <w:tcW w:w="70" w:type="pct"/>
            <w:tcBorders>
              <w:top w:val="nil"/>
              <w:left w:val="nil"/>
              <w:bottom w:val="nil"/>
              <w:right w:val="nil"/>
            </w:tcBorders>
            <w:shd w:val="clear" w:color="auto" w:fill="auto"/>
            <w:noWrap/>
            <w:vAlign w:val="bottom"/>
            <w:hideMark/>
          </w:tcPr>
          <w:p w14:paraId="349EA883" w14:textId="77777777" w:rsidR="00F47099" w:rsidRPr="00F47099" w:rsidRDefault="00F47099">
            <w:pPr>
              <w:rPr>
                <w:rFonts w:asciiTheme="majorHAnsi" w:hAnsiTheme="majorHAnsi" w:cstheme="majorHAnsi"/>
                <w:sz w:val="16"/>
                <w:szCs w:val="16"/>
              </w:rPr>
            </w:pPr>
          </w:p>
        </w:tc>
        <w:tc>
          <w:tcPr>
            <w:tcW w:w="786" w:type="pct"/>
            <w:tcBorders>
              <w:top w:val="nil"/>
              <w:left w:val="nil"/>
              <w:bottom w:val="nil"/>
              <w:right w:val="nil"/>
            </w:tcBorders>
            <w:shd w:val="clear" w:color="auto" w:fill="auto"/>
            <w:noWrap/>
            <w:vAlign w:val="bottom"/>
            <w:hideMark/>
          </w:tcPr>
          <w:p w14:paraId="45B3836E" w14:textId="77777777" w:rsidR="00F47099" w:rsidRPr="00F47099" w:rsidRDefault="00F47099" w:rsidP="00F47099">
            <w:pPr>
              <w:jc w:val="right"/>
              <w:rPr>
                <w:rFonts w:asciiTheme="majorHAnsi" w:hAnsiTheme="majorHAnsi" w:cstheme="majorHAnsi"/>
                <w:sz w:val="16"/>
                <w:szCs w:val="16"/>
              </w:rPr>
            </w:pPr>
          </w:p>
        </w:tc>
        <w:tc>
          <w:tcPr>
            <w:tcW w:w="781" w:type="pct"/>
            <w:tcBorders>
              <w:top w:val="nil"/>
              <w:left w:val="nil"/>
              <w:bottom w:val="nil"/>
              <w:right w:val="nil"/>
            </w:tcBorders>
            <w:shd w:val="clear" w:color="auto" w:fill="auto"/>
            <w:noWrap/>
            <w:vAlign w:val="bottom"/>
            <w:hideMark/>
          </w:tcPr>
          <w:p w14:paraId="12C5E4A3" w14:textId="77777777" w:rsidR="00F47099" w:rsidRPr="00F47099" w:rsidRDefault="00F47099" w:rsidP="00F47099">
            <w:pPr>
              <w:jc w:val="right"/>
              <w:rPr>
                <w:rFonts w:asciiTheme="majorHAnsi" w:hAnsiTheme="majorHAnsi" w:cstheme="majorHAnsi"/>
                <w:sz w:val="16"/>
                <w:szCs w:val="16"/>
              </w:rPr>
            </w:pPr>
          </w:p>
        </w:tc>
        <w:tc>
          <w:tcPr>
            <w:tcW w:w="790" w:type="pct"/>
            <w:tcBorders>
              <w:top w:val="nil"/>
              <w:left w:val="nil"/>
              <w:bottom w:val="nil"/>
              <w:right w:val="nil"/>
            </w:tcBorders>
            <w:shd w:val="clear" w:color="auto" w:fill="auto"/>
            <w:noWrap/>
            <w:vAlign w:val="bottom"/>
            <w:hideMark/>
          </w:tcPr>
          <w:p w14:paraId="4CE0F43E" w14:textId="77777777" w:rsidR="00F47099" w:rsidRPr="00F47099" w:rsidRDefault="00F47099" w:rsidP="00F47099">
            <w:pPr>
              <w:jc w:val="right"/>
              <w:rPr>
                <w:rFonts w:asciiTheme="majorHAnsi" w:hAnsiTheme="majorHAnsi" w:cstheme="majorHAnsi"/>
                <w:sz w:val="16"/>
                <w:szCs w:val="16"/>
              </w:rPr>
            </w:pPr>
          </w:p>
        </w:tc>
        <w:tc>
          <w:tcPr>
            <w:tcW w:w="834" w:type="pct"/>
            <w:tcBorders>
              <w:top w:val="nil"/>
              <w:left w:val="nil"/>
              <w:bottom w:val="nil"/>
              <w:right w:val="nil"/>
            </w:tcBorders>
            <w:shd w:val="clear" w:color="000000" w:fill="FFFFFF"/>
            <w:noWrap/>
            <w:vAlign w:val="bottom"/>
            <w:hideMark/>
          </w:tcPr>
          <w:p w14:paraId="6D06BCBF" w14:textId="77777777" w:rsidR="00F47099" w:rsidRPr="00F47099" w:rsidRDefault="00F47099" w:rsidP="00F47099">
            <w:pPr>
              <w:jc w:val="right"/>
              <w:rPr>
                <w:rFonts w:asciiTheme="majorHAnsi" w:hAnsiTheme="majorHAnsi" w:cstheme="majorHAnsi"/>
                <w:sz w:val="16"/>
                <w:szCs w:val="16"/>
              </w:rPr>
            </w:pPr>
            <w:r w:rsidRPr="00F47099">
              <w:rPr>
                <w:rFonts w:asciiTheme="majorHAnsi" w:hAnsiTheme="majorHAnsi" w:cstheme="majorHAnsi"/>
                <w:sz w:val="16"/>
                <w:szCs w:val="16"/>
              </w:rPr>
              <w:t> </w:t>
            </w:r>
          </w:p>
        </w:tc>
      </w:tr>
      <w:tr w:rsidR="00F47099" w:rsidRPr="00F47099" w14:paraId="6BC98B24" w14:textId="77777777" w:rsidTr="00F47099">
        <w:trPr>
          <w:trHeight w:hRule="exact" w:val="227"/>
        </w:trPr>
        <w:tc>
          <w:tcPr>
            <w:tcW w:w="1739" w:type="pct"/>
            <w:tcBorders>
              <w:top w:val="nil"/>
              <w:left w:val="nil"/>
              <w:bottom w:val="nil"/>
              <w:right w:val="nil"/>
            </w:tcBorders>
            <w:shd w:val="clear" w:color="auto" w:fill="auto"/>
            <w:noWrap/>
            <w:vAlign w:val="bottom"/>
            <w:hideMark/>
          </w:tcPr>
          <w:p w14:paraId="7BD569EA" w14:textId="77777777" w:rsidR="00F47099" w:rsidRPr="00F47099" w:rsidRDefault="00F47099">
            <w:pPr>
              <w:rPr>
                <w:rFonts w:asciiTheme="majorHAnsi" w:hAnsiTheme="majorHAnsi" w:cstheme="majorHAnsi"/>
                <w:sz w:val="16"/>
                <w:szCs w:val="16"/>
              </w:rPr>
            </w:pPr>
            <w:r w:rsidRPr="00F47099">
              <w:rPr>
                <w:rFonts w:asciiTheme="majorHAnsi" w:hAnsiTheme="majorHAnsi" w:cstheme="majorHAnsi"/>
                <w:sz w:val="16"/>
                <w:szCs w:val="16"/>
              </w:rPr>
              <w:t>Lucro/Prejuízo Líquido do Período</w:t>
            </w:r>
          </w:p>
        </w:tc>
        <w:tc>
          <w:tcPr>
            <w:tcW w:w="70" w:type="pct"/>
            <w:tcBorders>
              <w:top w:val="nil"/>
              <w:left w:val="nil"/>
              <w:bottom w:val="nil"/>
              <w:right w:val="nil"/>
            </w:tcBorders>
            <w:shd w:val="clear" w:color="auto" w:fill="auto"/>
            <w:noWrap/>
            <w:vAlign w:val="bottom"/>
            <w:hideMark/>
          </w:tcPr>
          <w:p w14:paraId="454D1DDC" w14:textId="77777777" w:rsidR="00F47099" w:rsidRPr="00F47099" w:rsidRDefault="00F47099">
            <w:pPr>
              <w:rPr>
                <w:rFonts w:asciiTheme="majorHAnsi" w:hAnsiTheme="majorHAnsi" w:cstheme="majorHAnsi"/>
                <w:sz w:val="16"/>
                <w:szCs w:val="16"/>
              </w:rPr>
            </w:pPr>
          </w:p>
        </w:tc>
        <w:tc>
          <w:tcPr>
            <w:tcW w:w="786" w:type="pct"/>
            <w:tcBorders>
              <w:top w:val="nil"/>
              <w:left w:val="nil"/>
              <w:bottom w:val="nil"/>
              <w:right w:val="nil"/>
            </w:tcBorders>
            <w:shd w:val="clear" w:color="auto" w:fill="auto"/>
            <w:noWrap/>
            <w:vAlign w:val="bottom"/>
            <w:hideMark/>
          </w:tcPr>
          <w:p w14:paraId="3A7F5178" w14:textId="77777777" w:rsidR="00F47099" w:rsidRPr="00F47099" w:rsidRDefault="00F47099" w:rsidP="00F47099">
            <w:pPr>
              <w:jc w:val="right"/>
              <w:rPr>
                <w:rFonts w:asciiTheme="majorHAnsi" w:hAnsiTheme="majorHAnsi" w:cstheme="majorHAnsi"/>
                <w:sz w:val="16"/>
                <w:szCs w:val="16"/>
              </w:rPr>
            </w:pPr>
            <w:r w:rsidRPr="00F47099">
              <w:rPr>
                <w:rFonts w:asciiTheme="majorHAnsi" w:hAnsiTheme="majorHAnsi" w:cstheme="majorHAnsi"/>
                <w:sz w:val="16"/>
                <w:szCs w:val="16"/>
              </w:rPr>
              <w:t xml:space="preserve">             34.951.607 </w:t>
            </w:r>
          </w:p>
        </w:tc>
        <w:tc>
          <w:tcPr>
            <w:tcW w:w="781" w:type="pct"/>
            <w:tcBorders>
              <w:top w:val="nil"/>
              <w:left w:val="nil"/>
              <w:bottom w:val="nil"/>
              <w:right w:val="nil"/>
            </w:tcBorders>
            <w:shd w:val="clear" w:color="auto" w:fill="auto"/>
            <w:noWrap/>
            <w:vAlign w:val="bottom"/>
            <w:hideMark/>
          </w:tcPr>
          <w:p w14:paraId="41654C8C" w14:textId="77777777" w:rsidR="00F47099" w:rsidRPr="00F47099" w:rsidRDefault="00F47099" w:rsidP="00F47099">
            <w:pPr>
              <w:jc w:val="right"/>
              <w:rPr>
                <w:rFonts w:asciiTheme="majorHAnsi" w:hAnsiTheme="majorHAnsi" w:cstheme="majorHAnsi"/>
                <w:sz w:val="16"/>
                <w:szCs w:val="16"/>
              </w:rPr>
            </w:pPr>
            <w:r w:rsidRPr="00F47099">
              <w:rPr>
                <w:rFonts w:asciiTheme="majorHAnsi" w:hAnsiTheme="majorHAnsi" w:cstheme="majorHAnsi"/>
                <w:sz w:val="16"/>
                <w:szCs w:val="16"/>
              </w:rPr>
              <w:t xml:space="preserve">             32.831.052 </w:t>
            </w:r>
          </w:p>
        </w:tc>
        <w:tc>
          <w:tcPr>
            <w:tcW w:w="790" w:type="pct"/>
            <w:tcBorders>
              <w:top w:val="nil"/>
              <w:left w:val="nil"/>
              <w:bottom w:val="nil"/>
              <w:right w:val="nil"/>
            </w:tcBorders>
            <w:shd w:val="clear" w:color="auto" w:fill="auto"/>
            <w:noWrap/>
            <w:vAlign w:val="bottom"/>
            <w:hideMark/>
          </w:tcPr>
          <w:p w14:paraId="66367C89" w14:textId="77777777" w:rsidR="00F47099" w:rsidRPr="00F47099" w:rsidRDefault="00F47099" w:rsidP="00F47099">
            <w:pPr>
              <w:jc w:val="right"/>
              <w:rPr>
                <w:rFonts w:asciiTheme="majorHAnsi" w:hAnsiTheme="majorHAnsi" w:cstheme="majorHAnsi"/>
                <w:sz w:val="16"/>
                <w:szCs w:val="16"/>
              </w:rPr>
            </w:pPr>
            <w:r w:rsidRPr="00F47099">
              <w:rPr>
                <w:rFonts w:asciiTheme="majorHAnsi" w:hAnsiTheme="majorHAnsi" w:cstheme="majorHAnsi"/>
                <w:sz w:val="16"/>
                <w:szCs w:val="16"/>
              </w:rPr>
              <w:t xml:space="preserve">           (30.582.133)</w:t>
            </w:r>
          </w:p>
        </w:tc>
        <w:tc>
          <w:tcPr>
            <w:tcW w:w="834" w:type="pct"/>
            <w:tcBorders>
              <w:top w:val="nil"/>
              <w:left w:val="nil"/>
              <w:bottom w:val="nil"/>
              <w:right w:val="nil"/>
            </w:tcBorders>
            <w:shd w:val="clear" w:color="000000" w:fill="FFFFFF"/>
            <w:noWrap/>
            <w:vAlign w:val="bottom"/>
            <w:hideMark/>
          </w:tcPr>
          <w:p w14:paraId="53548044" w14:textId="77777777" w:rsidR="00F47099" w:rsidRPr="00F47099" w:rsidRDefault="00F47099" w:rsidP="00F47099">
            <w:pPr>
              <w:jc w:val="right"/>
              <w:rPr>
                <w:rFonts w:asciiTheme="majorHAnsi" w:hAnsiTheme="majorHAnsi" w:cstheme="majorHAnsi"/>
                <w:sz w:val="16"/>
                <w:szCs w:val="16"/>
              </w:rPr>
            </w:pPr>
            <w:r w:rsidRPr="00F47099">
              <w:rPr>
                <w:rFonts w:asciiTheme="majorHAnsi" w:hAnsiTheme="majorHAnsi" w:cstheme="majorHAnsi"/>
                <w:sz w:val="16"/>
                <w:szCs w:val="16"/>
              </w:rPr>
              <w:t xml:space="preserve">             (59.096.533)</w:t>
            </w:r>
          </w:p>
        </w:tc>
      </w:tr>
      <w:tr w:rsidR="00F47099" w:rsidRPr="00F47099" w14:paraId="55035D01" w14:textId="77777777" w:rsidTr="00F47099">
        <w:trPr>
          <w:trHeight w:hRule="exact" w:val="227"/>
        </w:trPr>
        <w:tc>
          <w:tcPr>
            <w:tcW w:w="1739" w:type="pct"/>
            <w:tcBorders>
              <w:top w:val="nil"/>
              <w:left w:val="nil"/>
              <w:bottom w:val="nil"/>
              <w:right w:val="nil"/>
            </w:tcBorders>
            <w:shd w:val="clear" w:color="auto" w:fill="auto"/>
            <w:noWrap/>
            <w:vAlign w:val="bottom"/>
            <w:hideMark/>
          </w:tcPr>
          <w:p w14:paraId="2DEBC723" w14:textId="77777777" w:rsidR="00F47099" w:rsidRPr="00F47099" w:rsidRDefault="00F47099">
            <w:pPr>
              <w:jc w:val="right"/>
              <w:rPr>
                <w:rFonts w:asciiTheme="majorHAnsi" w:hAnsiTheme="majorHAnsi" w:cstheme="majorHAnsi"/>
                <w:sz w:val="16"/>
                <w:szCs w:val="16"/>
              </w:rPr>
            </w:pPr>
          </w:p>
        </w:tc>
        <w:tc>
          <w:tcPr>
            <w:tcW w:w="70" w:type="pct"/>
            <w:tcBorders>
              <w:top w:val="nil"/>
              <w:left w:val="nil"/>
              <w:bottom w:val="nil"/>
              <w:right w:val="nil"/>
            </w:tcBorders>
            <w:shd w:val="clear" w:color="auto" w:fill="auto"/>
            <w:noWrap/>
            <w:vAlign w:val="bottom"/>
            <w:hideMark/>
          </w:tcPr>
          <w:p w14:paraId="49434249" w14:textId="77777777" w:rsidR="00F47099" w:rsidRPr="00F47099" w:rsidRDefault="00F47099">
            <w:pPr>
              <w:rPr>
                <w:rFonts w:asciiTheme="majorHAnsi" w:hAnsiTheme="majorHAnsi" w:cstheme="majorHAnsi"/>
                <w:sz w:val="16"/>
                <w:szCs w:val="16"/>
              </w:rPr>
            </w:pPr>
          </w:p>
        </w:tc>
        <w:tc>
          <w:tcPr>
            <w:tcW w:w="786" w:type="pct"/>
            <w:tcBorders>
              <w:top w:val="nil"/>
              <w:left w:val="nil"/>
              <w:bottom w:val="nil"/>
              <w:right w:val="nil"/>
            </w:tcBorders>
            <w:shd w:val="clear" w:color="auto" w:fill="auto"/>
            <w:noWrap/>
            <w:vAlign w:val="bottom"/>
            <w:hideMark/>
          </w:tcPr>
          <w:p w14:paraId="3452C9AE" w14:textId="77777777" w:rsidR="00F47099" w:rsidRPr="00F47099" w:rsidRDefault="00F47099" w:rsidP="00F47099">
            <w:pPr>
              <w:jc w:val="right"/>
              <w:rPr>
                <w:rFonts w:asciiTheme="majorHAnsi" w:hAnsiTheme="majorHAnsi" w:cstheme="majorHAnsi"/>
                <w:sz w:val="16"/>
                <w:szCs w:val="16"/>
              </w:rPr>
            </w:pPr>
          </w:p>
        </w:tc>
        <w:tc>
          <w:tcPr>
            <w:tcW w:w="781" w:type="pct"/>
            <w:tcBorders>
              <w:top w:val="nil"/>
              <w:left w:val="nil"/>
              <w:bottom w:val="nil"/>
              <w:right w:val="nil"/>
            </w:tcBorders>
            <w:shd w:val="clear" w:color="000000" w:fill="FFFFFF"/>
            <w:noWrap/>
            <w:vAlign w:val="bottom"/>
            <w:hideMark/>
          </w:tcPr>
          <w:p w14:paraId="670FE5E9" w14:textId="77777777" w:rsidR="00F47099" w:rsidRPr="00F47099" w:rsidRDefault="00F47099" w:rsidP="00F47099">
            <w:pPr>
              <w:jc w:val="right"/>
              <w:rPr>
                <w:rFonts w:asciiTheme="majorHAnsi" w:hAnsiTheme="majorHAnsi" w:cstheme="majorHAnsi"/>
                <w:sz w:val="16"/>
                <w:szCs w:val="16"/>
              </w:rPr>
            </w:pPr>
            <w:r w:rsidRPr="00F47099">
              <w:rPr>
                <w:rFonts w:asciiTheme="majorHAnsi" w:hAnsiTheme="majorHAnsi" w:cstheme="majorHAnsi"/>
                <w:sz w:val="16"/>
                <w:szCs w:val="16"/>
              </w:rPr>
              <w:t> </w:t>
            </w:r>
          </w:p>
        </w:tc>
        <w:tc>
          <w:tcPr>
            <w:tcW w:w="790" w:type="pct"/>
            <w:tcBorders>
              <w:top w:val="nil"/>
              <w:left w:val="nil"/>
              <w:bottom w:val="nil"/>
              <w:right w:val="nil"/>
            </w:tcBorders>
            <w:shd w:val="clear" w:color="000000" w:fill="FFFFFF"/>
            <w:noWrap/>
            <w:vAlign w:val="bottom"/>
            <w:hideMark/>
          </w:tcPr>
          <w:p w14:paraId="67F40358" w14:textId="77777777" w:rsidR="00F47099" w:rsidRPr="00F47099" w:rsidRDefault="00F47099" w:rsidP="00F47099">
            <w:pPr>
              <w:jc w:val="right"/>
              <w:rPr>
                <w:rFonts w:asciiTheme="majorHAnsi" w:hAnsiTheme="majorHAnsi" w:cstheme="majorHAnsi"/>
                <w:sz w:val="16"/>
                <w:szCs w:val="16"/>
              </w:rPr>
            </w:pPr>
            <w:r w:rsidRPr="00F47099">
              <w:rPr>
                <w:rFonts w:asciiTheme="majorHAnsi" w:hAnsiTheme="majorHAnsi" w:cstheme="majorHAnsi"/>
                <w:sz w:val="16"/>
                <w:szCs w:val="16"/>
              </w:rPr>
              <w:t> </w:t>
            </w:r>
          </w:p>
        </w:tc>
        <w:tc>
          <w:tcPr>
            <w:tcW w:w="834" w:type="pct"/>
            <w:tcBorders>
              <w:top w:val="nil"/>
              <w:left w:val="nil"/>
              <w:bottom w:val="nil"/>
              <w:right w:val="nil"/>
            </w:tcBorders>
            <w:shd w:val="clear" w:color="000000" w:fill="FFFFFF"/>
            <w:noWrap/>
            <w:vAlign w:val="bottom"/>
            <w:hideMark/>
          </w:tcPr>
          <w:p w14:paraId="17312FCC" w14:textId="77777777" w:rsidR="00F47099" w:rsidRPr="00F47099" w:rsidRDefault="00F47099" w:rsidP="00F47099">
            <w:pPr>
              <w:jc w:val="right"/>
              <w:rPr>
                <w:rFonts w:asciiTheme="majorHAnsi" w:hAnsiTheme="majorHAnsi" w:cstheme="majorHAnsi"/>
                <w:sz w:val="16"/>
                <w:szCs w:val="16"/>
              </w:rPr>
            </w:pPr>
            <w:r w:rsidRPr="00F47099">
              <w:rPr>
                <w:rFonts w:asciiTheme="majorHAnsi" w:hAnsiTheme="majorHAnsi" w:cstheme="majorHAnsi"/>
                <w:sz w:val="16"/>
                <w:szCs w:val="16"/>
              </w:rPr>
              <w:t> </w:t>
            </w:r>
          </w:p>
        </w:tc>
      </w:tr>
      <w:tr w:rsidR="00F47099" w:rsidRPr="00F47099" w14:paraId="7C75E660" w14:textId="77777777" w:rsidTr="00F47099">
        <w:trPr>
          <w:trHeight w:hRule="exact" w:val="227"/>
        </w:trPr>
        <w:tc>
          <w:tcPr>
            <w:tcW w:w="1739" w:type="pct"/>
            <w:tcBorders>
              <w:top w:val="nil"/>
              <w:left w:val="nil"/>
              <w:bottom w:val="nil"/>
              <w:right w:val="nil"/>
            </w:tcBorders>
            <w:shd w:val="clear" w:color="auto" w:fill="auto"/>
            <w:noWrap/>
            <w:vAlign w:val="bottom"/>
            <w:hideMark/>
          </w:tcPr>
          <w:p w14:paraId="7D13DC88" w14:textId="5DC626B3" w:rsidR="00F47099" w:rsidRPr="00F47099" w:rsidRDefault="00F47099">
            <w:pPr>
              <w:rPr>
                <w:rFonts w:asciiTheme="majorHAnsi" w:hAnsiTheme="majorHAnsi" w:cstheme="majorHAnsi"/>
                <w:b/>
                <w:bCs/>
                <w:sz w:val="16"/>
                <w:szCs w:val="16"/>
              </w:rPr>
            </w:pPr>
            <w:r w:rsidRPr="00F47099">
              <w:rPr>
                <w:rFonts w:asciiTheme="majorHAnsi" w:hAnsiTheme="majorHAnsi" w:cstheme="majorHAnsi"/>
                <w:b/>
                <w:bCs/>
                <w:sz w:val="16"/>
                <w:szCs w:val="16"/>
              </w:rPr>
              <w:t>Resultado Líquido Abrangente do Período</w:t>
            </w:r>
          </w:p>
        </w:tc>
        <w:tc>
          <w:tcPr>
            <w:tcW w:w="70" w:type="pct"/>
            <w:tcBorders>
              <w:top w:val="nil"/>
              <w:left w:val="nil"/>
              <w:bottom w:val="nil"/>
              <w:right w:val="nil"/>
            </w:tcBorders>
            <w:shd w:val="clear" w:color="auto" w:fill="auto"/>
            <w:noWrap/>
            <w:vAlign w:val="bottom"/>
            <w:hideMark/>
          </w:tcPr>
          <w:p w14:paraId="7E004031" w14:textId="77777777" w:rsidR="00F47099" w:rsidRPr="00F47099" w:rsidRDefault="00F47099">
            <w:pPr>
              <w:rPr>
                <w:rFonts w:asciiTheme="majorHAnsi" w:hAnsiTheme="majorHAnsi" w:cstheme="majorHAnsi"/>
                <w:b/>
                <w:bCs/>
                <w:sz w:val="16"/>
                <w:szCs w:val="16"/>
              </w:rPr>
            </w:pPr>
          </w:p>
        </w:tc>
        <w:tc>
          <w:tcPr>
            <w:tcW w:w="786" w:type="pct"/>
            <w:tcBorders>
              <w:top w:val="nil"/>
              <w:left w:val="nil"/>
              <w:bottom w:val="nil"/>
              <w:right w:val="nil"/>
            </w:tcBorders>
            <w:shd w:val="clear" w:color="auto" w:fill="auto"/>
            <w:noWrap/>
            <w:vAlign w:val="bottom"/>
            <w:hideMark/>
          </w:tcPr>
          <w:p w14:paraId="6AABA27E" w14:textId="77777777" w:rsidR="00F47099" w:rsidRPr="00F47099" w:rsidRDefault="00F47099" w:rsidP="00F47099">
            <w:pPr>
              <w:jc w:val="right"/>
              <w:rPr>
                <w:rFonts w:asciiTheme="majorHAnsi" w:hAnsiTheme="majorHAnsi" w:cstheme="majorHAnsi"/>
                <w:b/>
                <w:bCs/>
                <w:sz w:val="16"/>
                <w:szCs w:val="16"/>
              </w:rPr>
            </w:pPr>
            <w:r w:rsidRPr="00F47099">
              <w:rPr>
                <w:rFonts w:asciiTheme="majorHAnsi" w:hAnsiTheme="majorHAnsi" w:cstheme="majorHAnsi"/>
                <w:b/>
                <w:bCs/>
                <w:sz w:val="16"/>
                <w:szCs w:val="16"/>
              </w:rPr>
              <w:t xml:space="preserve">             34.951.607 </w:t>
            </w:r>
          </w:p>
        </w:tc>
        <w:tc>
          <w:tcPr>
            <w:tcW w:w="781" w:type="pct"/>
            <w:tcBorders>
              <w:top w:val="nil"/>
              <w:left w:val="nil"/>
              <w:bottom w:val="nil"/>
              <w:right w:val="nil"/>
            </w:tcBorders>
            <w:shd w:val="clear" w:color="000000" w:fill="FFFFFF"/>
            <w:noWrap/>
            <w:vAlign w:val="bottom"/>
            <w:hideMark/>
          </w:tcPr>
          <w:p w14:paraId="55859E01" w14:textId="77777777" w:rsidR="00F47099" w:rsidRPr="00F47099" w:rsidRDefault="00F47099" w:rsidP="00F47099">
            <w:pPr>
              <w:jc w:val="right"/>
              <w:rPr>
                <w:rFonts w:asciiTheme="majorHAnsi" w:hAnsiTheme="majorHAnsi" w:cstheme="majorHAnsi"/>
                <w:b/>
                <w:bCs/>
                <w:sz w:val="16"/>
                <w:szCs w:val="16"/>
              </w:rPr>
            </w:pPr>
            <w:r w:rsidRPr="00F47099">
              <w:rPr>
                <w:rFonts w:asciiTheme="majorHAnsi" w:hAnsiTheme="majorHAnsi" w:cstheme="majorHAnsi"/>
                <w:b/>
                <w:bCs/>
                <w:sz w:val="16"/>
                <w:szCs w:val="16"/>
              </w:rPr>
              <w:t xml:space="preserve">             32.831.052 </w:t>
            </w:r>
          </w:p>
        </w:tc>
        <w:tc>
          <w:tcPr>
            <w:tcW w:w="790" w:type="pct"/>
            <w:tcBorders>
              <w:top w:val="nil"/>
              <w:left w:val="nil"/>
              <w:bottom w:val="nil"/>
              <w:right w:val="nil"/>
            </w:tcBorders>
            <w:shd w:val="clear" w:color="000000" w:fill="FFFFFF"/>
            <w:noWrap/>
            <w:vAlign w:val="bottom"/>
            <w:hideMark/>
          </w:tcPr>
          <w:p w14:paraId="020B6B3A" w14:textId="77777777" w:rsidR="00F47099" w:rsidRPr="00F47099" w:rsidRDefault="00F47099" w:rsidP="00F47099">
            <w:pPr>
              <w:jc w:val="right"/>
              <w:rPr>
                <w:rFonts w:asciiTheme="majorHAnsi" w:hAnsiTheme="majorHAnsi" w:cstheme="majorHAnsi"/>
                <w:b/>
                <w:bCs/>
                <w:sz w:val="16"/>
                <w:szCs w:val="16"/>
              </w:rPr>
            </w:pPr>
            <w:r w:rsidRPr="00F47099">
              <w:rPr>
                <w:rFonts w:asciiTheme="majorHAnsi" w:hAnsiTheme="majorHAnsi" w:cstheme="majorHAnsi"/>
                <w:b/>
                <w:bCs/>
                <w:sz w:val="16"/>
                <w:szCs w:val="16"/>
              </w:rPr>
              <w:t xml:space="preserve">           (30.582.133)</w:t>
            </w:r>
          </w:p>
        </w:tc>
        <w:tc>
          <w:tcPr>
            <w:tcW w:w="834" w:type="pct"/>
            <w:tcBorders>
              <w:top w:val="nil"/>
              <w:left w:val="nil"/>
              <w:bottom w:val="nil"/>
              <w:right w:val="nil"/>
            </w:tcBorders>
            <w:shd w:val="clear" w:color="000000" w:fill="FFFFFF"/>
            <w:noWrap/>
            <w:vAlign w:val="bottom"/>
            <w:hideMark/>
          </w:tcPr>
          <w:p w14:paraId="0B1D41E7" w14:textId="77777777" w:rsidR="00F47099" w:rsidRPr="00F47099" w:rsidRDefault="00F47099" w:rsidP="00F47099">
            <w:pPr>
              <w:jc w:val="right"/>
              <w:rPr>
                <w:rFonts w:asciiTheme="majorHAnsi" w:hAnsiTheme="majorHAnsi" w:cstheme="majorHAnsi"/>
                <w:b/>
                <w:bCs/>
                <w:sz w:val="16"/>
                <w:szCs w:val="16"/>
              </w:rPr>
            </w:pPr>
            <w:r w:rsidRPr="00F47099">
              <w:rPr>
                <w:rFonts w:asciiTheme="majorHAnsi" w:hAnsiTheme="majorHAnsi" w:cstheme="majorHAnsi"/>
                <w:b/>
                <w:bCs/>
                <w:sz w:val="16"/>
                <w:szCs w:val="16"/>
              </w:rPr>
              <w:t xml:space="preserve">             (59.096.533)</w:t>
            </w:r>
          </w:p>
        </w:tc>
      </w:tr>
      <w:tr w:rsidR="00F47099" w:rsidRPr="00F47099" w14:paraId="428D0DEF" w14:textId="77777777" w:rsidTr="00F47099">
        <w:trPr>
          <w:trHeight w:hRule="exact" w:val="227"/>
        </w:trPr>
        <w:tc>
          <w:tcPr>
            <w:tcW w:w="1739" w:type="pct"/>
            <w:tcBorders>
              <w:top w:val="nil"/>
              <w:left w:val="nil"/>
              <w:bottom w:val="nil"/>
              <w:right w:val="nil"/>
            </w:tcBorders>
            <w:shd w:val="clear" w:color="auto" w:fill="auto"/>
            <w:noWrap/>
            <w:vAlign w:val="bottom"/>
            <w:hideMark/>
          </w:tcPr>
          <w:p w14:paraId="5213EF32" w14:textId="77777777" w:rsidR="00F47099" w:rsidRPr="00F47099" w:rsidRDefault="00F47099">
            <w:pPr>
              <w:rPr>
                <w:rFonts w:asciiTheme="majorHAnsi" w:hAnsiTheme="majorHAnsi" w:cstheme="majorHAnsi"/>
                <w:b/>
                <w:bCs/>
                <w:sz w:val="16"/>
                <w:szCs w:val="16"/>
              </w:rPr>
            </w:pPr>
          </w:p>
        </w:tc>
        <w:tc>
          <w:tcPr>
            <w:tcW w:w="70" w:type="pct"/>
            <w:tcBorders>
              <w:top w:val="nil"/>
              <w:left w:val="nil"/>
              <w:bottom w:val="nil"/>
              <w:right w:val="nil"/>
            </w:tcBorders>
            <w:shd w:val="clear" w:color="auto" w:fill="auto"/>
            <w:noWrap/>
            <w:vAlign w:val="bottom"/>
            <w:hideMark/>
          </w:tcPr>
          <w:p w14:paraId="61CC254F" w14:textId="77777777" w:rsidR="00F47099" w:rsidRPr="00F47099" w:rsidRDefault="00F47099">
            <w:pPr>
              <w:rPr>
                <w:rFonts w:asciiTheme="majorHAnsi" w:hAnsiTheme="majorHAnsi" w:cstheme="majorHAnsi"/>
                <w:sz w:val="16"/>
                <w:szCs w:val="16"/>
              </w:rPr>
            </w:pPr>
          </w:p>
        </w:tc>
        <w:tc>
          <w:tcPr>
            <w:tcW w:w="786" w:type="pct"/>
            <w:tcBorders>
              <w:top w:val="nil"/>
              <w:left w:val="nil"/>
              <w:bottom w:val="nil"/>
              <w:right w:val="nil"/>
            </w:tcBorders>
            <w:shd w:val="clear" w:color="auto" w:fill="auto"/>
            <w:noWrap/>
            <w:vAlign w:val="bottom"/>
            <w:hideMark/>
          </w:tcPr>
          <w:p w14:paraId="6FC020DC" w14:textId="77777777" w:rsidR="00F47099" w:rsidRPr="00F47099" w:rsidRDefault="00F47099">
            <w:pPr>
              <w:rPr>
                <w:rFonts w:asciiTheme="majorHAnsi" w:hAnsiTheme="majorHAnsi" w:cstheme="majorHAnsi"/>
                <w:sz w:val="16"/>
                <w:szCs w:val="16"/>
              </w:rPr>
            </w:pPr>
          </w:p>
        </w:tc>
        <w:tc>
          <w:tcPr>
            <w:tcW w:w="781" w:type="pct"/>
            <w:tcBorders>
              <w:top w:val="nil"/>
              <w:left w:val="nil"/>
              <w:bottom w:val="nil"/>
              <w:right w:val="nil"/>
            </w:tcBorders>
            <w:shd w:val="clear" w:color="auto" w:fill="auto"/>
            <w:noWrap/>
            <w:vAlign w:val="bottom"/>
            <w:hideMark/>
          </w:tcPr>
          <w:p w14:paraId="38B99DF8" w14:textId="77777777" w:rsidR="00F47099" w:rsidRPr="00F47099" w:rsidRDefault="00F47099">
            <w:pPr>
              <w:rPr>
                <w:rFonts w:asciiTheme="majorHAnsi" w:hAnsiTheme="majorHAnsi" w:cstheme="majorHAnsi"/>
                <w:sz w:val="16"/>
                <w:szCs w:val="16"/>
              </w:rPr>
            </w:pPr>
          </w:p>
        </w:tc>
        <w:tc>
          <w:tcPr>
            <w:tcW w:w="790" w:type="pct"/>
            <w:tcBorders>
              <w:top w:val="nil"/>
              <w:left w:val="nil"/>
              <w:bottom w:val="nil"/>
              <w:right w:val="nil"/>
            </w:tcBorders>
            <w:shd w:val="clear" w:color="auto" w:fill="auto"/>
            <w:noWrap/>
            <w:vAlign w:val="bottom"/>
            <w:hideMark/>
          </w:tcPr>
          <w:p w14:paraId="43EE0B49" w14:textId="77777777" w:rsidR="00F47099" w:rsidRPr="00F47099" w:rsidRDefault="00F47099">
            <w:pPr>
              <w:jc w:val="right"/>
              <w:rPr>
                <w:rFonts w:asciiTheme="majorHAnsi" w:hAnsiTheme="majorHAnsi" w:cstheme="majorHAnsi"/>
                <w:sz w:val="16"/>
                <w:szCs w:val="16"/>
              </w:rPr>
            </w:pPr>
          </w:p>
        </w:tc>
        <w:tc>
          <w:tcPr>
            <w:tcW w:w="834" w:type="pct"/>
            <w:tcBorders>
              <w:top w:val="nil"/>
              <w:left w:val="nil"/>
              <w:bottom w:val="nil"/>
              <w:right w:val="nil"/>
            </w:tcBorders>
            <w:shd w:val="clear" w:color="auto" w:fill="auto"/>
            <w:noWrap/>
            <w:vAlign w:val="bottom"/>
            <w:hideMark/>
          </w:tcPr>
          <w:p w14:paraId="1E33C158" w14:textId="77777777" w:rsidR="00F47099" w:rsidRPr="00F47099" w:rsidRDefault="00F47099">
            <w:pPr>
              <w:jc w:val="right"/>
              <w:rPr>
                <w:rFonts w:asciiTheme="majorHAnsi" w:hAnsiTheme="majorHAnsi" w:cstheme="majorHAnsi"/>
                <w:sz w:val="16"/>
                <w:szCs w:val="16"/>
              </w:rPr>
            </w:pPr>
          </w:p>
        </w:tc>
      </w:tr>
      <w:tr w:rsidR="00F47099" w:rsidRPr="00F47099" w14:paraId="14A9FAEB" w14:textId="77777777" w:rsidTr="00F47099">
        <w:trPr>
          <w:trHeight w:hRule="exact" w:val="227"/>
        </w:trPr>
        <w:tc>
          <w:tcPr>
            <w:tcW w:w="1739" w:type="pct"/>
            <w:tcBorders>
              <w:top w:val="nil"/>
              <w:left w:val="nil"/>
              <w:bottom w:val="nil"/>
              <w:right w:val="nil"/>
            </w:tcBorders>
            <w:shd w:val="clear" w:color="auto" w:fill="auto"/>
            <w:noWrap/>
            <w:vAlign w:val="bottom"/>
            <w:hideMark/>
          </w:tcPr>
          <w:p w14:paraId="385C4FCF" w14:textId="77777777" w:rsidR="00F47099" w:rsidRPr="00F47099" w:rsidRDefault="00F47099">
            <w:pPr>
              <w:rPr>
                <w:rFonts w:asciiTheme="majorHAnsi" w:hAnsiTheme="majorHAnsi" w:cstheme="majorHAnsi"/>
                <w:sz w:val="16"/>
                <w:szCs w:val="16"/>
              </w:rPr>
            </w:pPr>
          </w:p>
        </w:tc>
        <w:tc>
          <w:tcPr>
            <w:tcW w:w="70" w:type="pct"/>
            <w:tcBorders>
              <w:top w:val="nil"/>
              <w:left w:val="nil"/>
              <w:bottom w:val="nil"/>
              <w:right w:val="nil"/>
            </w:tcBorders>
            <w:shd w:val="clear" w:color="auto" w:fill="auto"/>
            <w:noWrap/>
            <w:vAlign w:val="bottom"/>
            <w:hideMark/>
          </w:tcPr>
          <w:p w14:paraId="486E84B3" w14:textId="77777777" w:rsidR="00F47099" w:rsidRPr="00F47099" w:rsidRDefault="00F47099">
            <w:pPr>
              <w:rPr>
                <w:rFonts w:asciiTheme="majorHAnsi" w:hAnsiTheme="majorHAnsi" w:cstheme="majorHAnsi"/>
                <w:sz w:val="16"/>
                <w:szCs w:val="16"/>
              </w:rPr>
            </w:pPr>
          </w:p>
        </w:tc>
        <w:tc>
          <w:tcPr>
            <w:tcW w:w="786" w:type="pct"/>
            <w:tcBorders>
              <w:top w:val="nil"/>
              <w:left w:val="nil"/>
              <w:bottom w:val="nil"/>
              <w:right w:val="nil"/>
            </w:tcBorders>
            <w:shd w:val="clear" w:color="auto" w:fill="auto"/>
            <w:noWrap/>
            <w:vAlign w:val="bottom"/>
            <w:hideMark/>
          </w:tcPr>
          <w:p w14:paraId="52E5B253" w14:textId="77777777" w:rsidR="00F47099" w:rsidRPr="00F47099" w:rsidRDefault="00F47099">
            <w:pPr>
              <w:rPr>
                <w:rFonts w:asciiTheme="majorHAnsi" w:hAnsiTheme="majorHAnsi" w:cstheme="majorHAnsi"/>
                <w:sz w:val="16"/>
                <w:szCs w:val="16"/>
              </w:rPr>
            </w:pPr>
          </w:p>
        </w:tc>
        <w:tc>
          <w:tcPr>
            <w:tcW w:w="781" w:type="pct"/>
            <w:tcBorders>
              <w:top w:val="nil"/>
              <w:left w:val="nil"/>
              <w:bottom w:val="nil"/>
              <w:right w:val="nil"/>
            </w:tcBorders>
            <w:shd w:val="clear" w:color="auto" w:fill="auto"/>
            <w:noWrap/>
            <w:vAlign w:val="bottom"/>
            <w:hideMark/>
          </w:tcPr>
          <w:p w14:paraId="50F6F830" w14:textId="77777777" w:rsidR="00F47099" w:rsidRPr="00F47099" w:rsidRDefault="00F47099">
            <w:pPr>
              <w:rPr>
                <w:rFonts w:asciiTheme="majorHAnsi" w:hAnsiTheme="majorHAnsi" w:cstheme="majorHAnsi"/>
                <w:sz w:val="16"/>
                <w:szCs w:val="16"/>
              </w:rPr>
            </w:pPr>
          </w:p>
        </w:tc>
        <w:tc>
          <w:tcPr>
            <w:tcW w:w="790" w:type="pct"/>
            <w:tcBorders>
              <w:top w:val="nil"/>
              <w:left w:val="nil"/>
              <w:bottom w:val="nil"/>
              <w:right w:val="nil"/>
            </w:tcBorders>
            <w:shd w:val="clear" w:color="auto" w:fill="auto"/>
            <w:noWrap/>
            <w:vAlign w:val="bottom"/>
            <w:hideMark/>
          </w:tcPr>
          <w:p w14:paraId="2D9C21B4" w14:textId="77777777" w:rsidR="00F47099" w:rsidRPr="00F47099" w:rsidRDefault="00F47099">
            <w:pPr>
              <w:jc w:val="right"/>
              <w:rPr>
                <w:rFonts w:asciiTheme="majorHAnsi" w:hAnsiTheme="majorHAnsi" w:cstheme="majorHAnsi"/>
                <w:sz w:val="16"/>
                <w:szCs w:val="16"/>
              </w:rPr>
            </w:pPr>
          </w:p>
        </w:tc>
        <w:tc>
          <w:tcPr>
            <w:tcW w:w="834" w:type="pct"/>
            <w:tcBorders>
              <w:top w:val="nil"/>
              <w:left w:val="nil"/>
              <w:bottom w:val="nil"/>
              <w:right w:val="nil"/>
            </w:tcBorders>
            <w:shd w:val="clear" w:color="auto" w:fill="auto"/>
            <w:noWrap/>
            <w:vAlign w:val="bottom"/>
            <w:hideMark/>
          </w:tcPr>
          <w:p w14:paraId="59C5CF2E" w14:textId="77777777" w:rsidR="00F47099" w:rsidRPr="00F47099" w:rsidRDefault="00F47099">
            <w:pPr>
              <w:jc w:val="right"/>
              <w:rPr>
                <w:rFonts w:asciiTheme="majorHAnsi" w:hAnsiTheme="majorHAnsi" w:cstheme="majorHAnsi"/>
                <w:sz w:val="16"/>
                <w:szCs w:val="16"/>
              </w:rPr>
            </w:pPr>
          </w:p>
        </w:tc>
      </w:tr>
      <w:tr w:rsidR="00F47099" w:rsidRPr="00F47099" w14:paraId="0B9C4BCF" w14:textId="77777777" w:rsidTr="00F47099">
        <w:trPr>
          <w:trHeight w:hRule="exact" w:val="227"/>
        </w:trPr>
        <w:tc>
          <w:tcPr>
            <w:tcW w:w="1739" w:type="pct"/>
            <w:tcBorders>
              <w:top w:val="nil"/>
              <w:left w:val="nil"/>
              <w:bottom w:val="nil"/>
              <w:right w:val="nil"/>
            </w:tcBorders>
            <w:shd w:val="clear" w:color="auto" w:fill="auto"/>
            <w:noWrap/>
            <w:vAlign w:val="bottom"/>
            <w:hideMark/>
          </w:tcPr>
          <w:p w14:paraId="16EC8B35" w14:textId="77777777" w:rsidR="00F47099" w:rsidRPr="00F47099" w:rsidRDefault="00F47099">
            <w:pPr>
              <w:jc w:val="right"/>
              <w:rPr>
                <w:rFonts w:asciiTheme="majorHAnsi" w:hAnsiTheme="majorHAnsi" w:cstheme="majorHAnsi"/>
                <w:sz w:val="16"/>
                <w:szCs w:val="16"/>
              </w:rPr>
            </w:pPr>
          </w:p>
        </w:tc>
        <w:tc>
          <w:tcPr>
            <w:tcW w:w="70" w:type="pct"/>
            <w:tcBorders>
              <w:top w:val="nil"/>
              <w:left w:val="nil"/>
              <w:bottom w:val="nil"/>
              <w:right w:val="nil"/>
            </w:tcBorders>
            <w:shd w:val="clear" w:color="auto" w:fill="auto"/>
            <w:noWrap/>
            <w:vAlign w:val="bottom"/>
            <w:hideMark/>
          </w:tcPr>
          <w:p w14:paraId="0BA51FFD" w14:textId="77777777" w:rsidR="00F47099" w:rsidRPr="00F47099" w:rsidRDefault="00F47099">
            <w:pPr>
              <w:rPr>
                <w:rFonts w:asciiTheme="majorHAnsi" w:hAnsiTheme="majorHAnsi" w:cstheme="majorHAnsi"/>
                <w:sz w:val="16"/>
                <w:szCs w:val="16"/>
              </w:rPr>
            </w:pPr>
          </w:p>
        </w:tc>
        <w:tc>
          <w:tcPr>
            <w:tcW w:w="786" w:type="pct"/>
            <w:tcBorders>
              <w:top w:val="nil"/>
              <w:left w:val="nil"/>
              <w:bottom w:val="nil"/>
              <w:right w:val="nil"/>
            </w:tcBorders>
            <w:shd w:val="clear" w:color="auto" w:fill="auto"/>
            <w:noWrap/>
            <w:vAlign w:val="bottom"/>
            <w:hideMark/>
          </w:tcPr>
          <w:p w14:paraId="58C8D512" w14:textId="77777777" w:rsidR="00F47099" w:rsidRPr="00F47099" w:rsidRDefault="00F47099">
            <w:pPr>
              <w:rPr>
                <w:rFonts w:asciiTheme="majorHAnsi" w:hAnsiTheme="majorHAnsi" w:cstheme="majorHAnsi"/>
                <w:sz w:val="16"/>
                <w:szCs w:val="16"/>
              </w:rPr>
            </w:pPr>
          </w:p>
        </w:tc>
        <w:tc>
          <w:tcPr>
            <w:tcW w:w="781" w:type="pct"/>
            <w:tcBorders>
              <w:top w:val="nil"/>
              <w:left w:val="nil"/>
              <w:bottom w:val="nil"/>
              <w:right w:val="nil"/>
            </w:tcBorders>
            <w:shd w:val="clear" w:color="auto" w:fill="auto"/>
            <w:noWrap/>
            <w:vAlign w:val="bottom"/>
            <w:hideMark/>
          </w:tcPr>
          <w:p w14:paraId="2BA2FB2B" w14:textId="77777777" w:rsidR="00F47099" w:rsidRPr="00F47099" w:rsidRDefault="00F47099">
            <w:pPr>
              <w:rPr>
                <w:rFonts w:asciiTheme="majorHAnsi" w:hAnsiTheme="majorHAnsi" w:cstheme="majorHAnsi"/>
                <w:sz w:val="16"/>
                <w:szCs w:val="16"/>
              </w:rPr>
            </w:pPr>
          </w:p>
        </w:tc>
        <w:tc>
          <w:tcPr>
            <w:tcW w:w="790" w:type="pct"/>
            <w:tcBorders>
              <w:top w:val="nil"/>
              <w:left w:val="nil"/>
              <w:bottom w:val="nil"/>
              <w:right w:val="nil"/>
            </w:tcBorders>
            <w:shd w:val="clear" w:color="auto" w:fill="auto"/>
            <w:noWrap/>
            <w:vAlign w:val="bottom"/>
            <w:hideMark/>
          </w:tcPr>
          <w:p w14:paraId="268A5C1E" w14:textId="77777777" w:rsidR="00F47099" w:rsidRPr="00F47099" w:rsidRDefault="00F47099">
            <w:pPr>
              <w:rPr>
                <w:rFonts w:asciiTheme="majorHAnsi" w:hAnsiTheme="majorHAnsi" w:cstheme="majorHAnsi"/>
                <w:sz w:val="16"/>
                <w:szCs w:val="16"/>
              </w:rPr>
            </w:pPr>
          </w:p>
        </w:tc>
        <w:tc>
          <w:tcPr>
            <w:tcW w:w="834" w:type="pct"/>
            <w:tcBorders>
              <w:top w:val="nil"/>
              <w:left w:val="nil"/>
              <w:bottom w:val="nil"/>
              <w:right w:val="nil"/>
            </w:tcBorders>
            <w:shd w:val="clear" w:color="auto" w:fill="auto"/>
            <w:noWrap/>
            <w:vAlign w:val="bottom"/>
            <w:hideMark/>
          </w:tcPr>
          <w:p w14:paraId="24FCA6EB" w14:textId="77777777" w:rsidR="00F47099" w:rsidRPr="00F47099" w:rsidRDefault="00F47099">
            <w:pPr>
              <w:rPr>
                <w:rFonts w:asciiTheme="majorHAnsi" w:hAnsiTheme="majorHAnsi" w:cstheme="majorHAnsi"/>
                <w:sz w:val="16"/>
                <w:szCs w:val="16"/>
              </w:rPr>
            </w:pPr>
          </w:p>
        </w:tc>
      </w:tr>
      <w:tr w:rsidR="00F47099" w:rsidRPr="00F47099" w14:paraId="6BF30A97" w14:textId="77777777" w:rsidTr="00F47099">
        <w:trPr>
          <w:trHeight w:hRule="exact" w:val="227"/>
        </w:trPr>
        <w:tc>
          <w:tcPr>
            <w:tcW w:w="5000" w:type="pct"/>
            <w:gridSpan w:val="6"/>
            <w:tcBorders>
              <w:top w:val="nil"/>
              <w:left w:val="nil"/>
              <w:bottom w:val="nil"/>
              <w:right w:val="nil"/>
            </w:tcBorders>
            <w:shd w:val="clear" w:color="auto" w:fill="auto"/>
            <w:noWrap/>
            <w:vAlign w:val="bottom"/>
            <w:hideMark/>
          </w:tcPr>
          <w:p w14:paraId="0614EDCA" w14:textId="77777777" w:rsidR="00F47099" w:rsidRPr="00F47099" w:rsidRDefault="00F47099">
            <w:pPr>
              <w:jc w:val="center"/>
              <w:rPr>
                <w:rFonts w:asciiTheme="majorHAnsi" w:hAnsiTheme="majorHAnsi" w:cstheme="majorHAnsi"/>
                <w:sz w:val="16"/>
                <w:szCs w:val="16"/>
              </w:rPr>
            </w:pPr>
            <w:r w:rsidRPr="00F47099">
              <w:rPr>
                <w:rFonts w:asciiTheme="majorHAnsi" w:hAnsiTheme="majorHAnsi" w:cstheme="majorHAnsi"/>
                <w:sz w:val="16"/>
                <w:szCs w:val="16"/>
              </w:rPr>
              <w:t>(As Notas Explicativas são parte integrante das demonstrações contábeis intermediárias)</w:t>
            </w:r>
          </w:p>
        </w:tc>
      </w:tr>
    </w:tbl>
    <w:p w14:paraId="61607B9D" w14:textId="15C77A92" w:rsidR="00F47099" w:rsidRDefault="00F47099" w:rsidP="00591E10"/>
    <w:p w14:paraId="20B5E8D7" w14:textId="7DB2439D" w:rsidR="00F47099" w:rsidRDefault="00F47099" w:rsidP="00591E10"/>
    <w:p w14:paraId="3AD8D120" w14:textId="2ADB9277" w:rsidR="00F47099" w:rsidRDefault="00F47099" w:rsidP="00591E10"/>
    <w:p w14:paraId="448EB0E7" w14:textId="3125674F" w:rsidR="00F47099" w:rsidRDefault="00F47099" w:rsidP="00591E10"/>
    <w:p w14:paraId="02F90FEE" w14:textId="27E4C2DA" w:rsidR="00F47099" w:rsidRDefault="00F47099" w:rsidP="00591E10"/>
    <w:p w14:paraId="0E13F12E" w14:textId="2E181CDF" w:rsidR="00F47099" w:rsidRDefault="00F47099" w:rsidP="00591E10"/>
    <w:p w14:paraId="6E186276" w14:textId="388645B3" w:rsidR="00F47099" w:rsidRDefault="00F47099" w:rsidP="00591E10"/>
    <w:p w14:paraId="122CAF2F" w14:textId="574958AB" w:rsidR="00F47099" w:rsidRDefault="00F47099" w:rsidP="00591E10"/>
    <w:p w14:paraId="33DB739C" w14:textId="04EEF933" w:rsidR="00F47099" w:rsidRDefault="00F47099" w:rsidP="00591E10"/>
    <w:p w14:paraId="5EDABE9E" w14:textId="08CF89DF" w:rsidR="00F47099" w:rsidRDefault="00F47099" w:rsidP="00591E10"/>
    <w:p w14:paraId="1CE8D4A7" w14:textId="2B32DDB1" w:rsidR="00F47099" w:rsidRDefault="00F47099" w:rsidP="00591E10"/>
    <w:p w14:paraId="596F8CAA" w14:textId="27744CE5" w:rsidR="00F47099" w:rsidRDefault="00F47099" w:rsidP="00591E10"/>
    <w:p w14:paraId="33B6BFB0" w14:textId="04E49C42" w:rsidR="00F47099" w:rsidRDefault="00F47099" w:rsidP="00591E10"/>
    <w:p w14:paraId="514B30DF" w14:textId="4C9EAAE3" w:rsidR="00F47099" w:rsidRDefault="00F47099" w:rsidP="00591E10"/>
    <w:p w14:paraId="7E0E9210" w14:textId="10067A95" w:rsidR="00F47099" w:rsidRDefault="00F47099" w:rsidP="00591E10"/>
    <w:p w14:paraId="639968E3" w14:textId="0F59C69A" w:rsidR="00F47099" w:rsidRDefault="00F47099" w:rsidP="00591E10"/>
    <w:p w14:paraId="0224B846" w14:textId="55BDFCFE" w:rsidR="00F47099" w:rsidRDefault="00F47099" w:rsidP="00591E10"/>
    <w:p w14:paraId="749F7284" w14:textId="23F9256B" w:rsidR="00F47099" w:rsidRDefault="00F47099" w:rsidP="00591E10"/>
    <w:p w14:paraId="281D5044" w14:textId="079D04BE" w:rsidR="00F47099" w:rsidRDefault="00F47099" w:rsidP="00591E10"/>
    <w:p w14:paraId="2DCB9DCE" w14:textId="7771A4D3" w:rsidR="00F47099" w:rsidRDefault="00F47099" w:rsidP="00591E10"/>
    <w:p w14:paraId="5DCD2D4F" w14:textId="235016E1" w:rsidR="00F47099" w:rsidRDefault="00F47099" w:rsidP="00591E10"/>
    <w:p w14:paraId="528A6DC9" w14:textId="23A28CC4" w:rsidR="00F47099" w:rsidRDefault="00F47099" w:rsidP="00591E10"/>
    <w:p w14:paraId="2DFEFF64" w14:textId="2A985E0B" w:rsidR="00F47099" w:rsidRDefault="00F47099" w:rsidP="00591E10"/>
    <w:p w14:paraId="325CA71C" w14:textId="2783B238" w:rsidR="00F47099" w:rsidRDefault="00F47099" w:rsidP="00591E10"/>
    <w:p w14:paraId="0258C80B" w14:textId="22FEFC3B" w:rsidR="00F47099" w:rsidRDefault="00F47099" w:rsidP="00591E10"/>
    <w:p w14:paraId="2B1F19B0" w14:textId="63292C88" w:rsidR="00F47099" w:rsidRDefault="00F47099" w:rsidP="00591E10"/>
    <w:p w14:paraId="3D9E5511" w14:textId="7E324A15" w:rsidR="00F47099" w:rsidRDefault="00F47099" w:rsidP="00591E10"/>
    <w:p w14:paraId="6A5110D2" w14:textId="42FF389B" w:rsidR="00F47099" w:rsidRDefault="00F47099" w:rsidP="00591E10"/>
    <w:p w14:paraId="542B76DD" w14:textId="227BCCFC" w:rsidR="00F47099" w:rsidRDefault="00F47099" w:rsidP="00591E10"/>
    <w:p w14:paraId="0273AB14" w14:textId="2A76D557" w:rsidR="00F47099" w:rsidRDefault="00F47099" w:rsidP="00591E10"/>
    <w:p w14:paraId="2BE3317E" w14:textId="45EE72CF" w:rsidR="00F47099" w:rsidRDefault="00F47099" w:rsidP="00591E10"/>
    <w:p w14:paraId="67B74657" w14:textId="7D125AF5" w:rsidR="00F47099" w:rsidRDefault="00F47099" w:rsidP="00591E10"/>
    <w:p w14:paraId="443863A9" w14:textId="42543192" w:rsidR="00F47099" w:rsidRDefault="00F47099" w:rsidP="00591E10"/>
    <w:p w14:paraId="32FE8C73" w14:textId="6A5EEC85" w:rsidR="00F47099" w:rsidRDefault="00F47099" w:rsidP="00591E10"/>
    <w:p w14:paraId="56A494DD" w14:textId="02EFC75E" w:rsidR="00F47099" w:rsidRDefault="00F47099" w:rsidP="00591E10"/>
    <w:p w14:paraId="43C015E6" w14:textId="3B14ED9A" w:rsidR="00F47099" w:rsidRDefault="00F47099" w:rsidP="00591E10"/>
    <w:tbl>
      <w:tblPr>
        <w:tblW w:w="0" w:type="auto"/>
        <w:tblCellMar>
          <w:left w:w="70" w:type="dxa"/>
          <w:right w:w="70" w:type="dxa"/>
        </w:tblCellMar>
        <w:tblLook w:val="04A0" w:firstRow="1" w:lastRow="0" w:firstColumn="1" w:lastColumn="0" w:noHBand="0" w:noVBand="1"/>
      </w:tblPr>
      <w:tblGrid>
        <w:gridCol w:w="3164"/>
        <w:gridCol w:w="1322"/>
        <w:gridCol w:w="1924"/>
        <w:gridCol w:w="1754"/>
        <w:gridCol w:w="2265"/>
      </w:tblGrid>
      <w:tr w:rsidR="00F47099" w:rsidRPr="00F47099" w14:paraId="6D2C12FC" w14:textId="77777777" w:rsidTr="00F47099">
        <w:trPr>
          <w:trHeight w:hRule="exact" w:val="227"/>
        </w:trPr>
        <w:tc>
          <w:tcPr>
            <w:tcW w:w="0" w:type="auto"/>
            <w:gridSpan w:val="5"/>
            <w:tcBorders>
              <w:top w:val="nil"/>
              <w:left w:val="nil"/>
              <w:bottom w:val="nil"/>
              <w:right w:val="nil"/>
            </w:tcBorders>
            <w:shd w:val="clear" w:color="auto" w:fill="auto"/>
            <w:noWrap/>
            <w:vAlign w:val="bottom"/>
            <w:hideMark/>
          </w:tcPr>
          <w:p w14:paraId="1713C9A9" w14:textId="77777777" w:rsidR="00F47099" w:rsidRPr="00F47099" w:rsidRDefault="00F47099">
            <w:pPr>
              <w:jc w:val="center"/>
              <w:rPr>
                <w:rFonts w:asciiTheme="majorHAnsi" w:hAnsiTheme="majorHAnsi" w:cstheme="majorHAnsi"/>
                <w:b/>
                <w:bCs/>
                <w:sz w:val="16"/>
                <w:szCs w:val="16"/>
              </w:rPr>
            </w:pPr>
            <w:r w:rsidRPr="00F47099">
              <w:rPr>
                <w:rFonts w:asciiTheme="majorHAnsi" w:hAnsiTheme="majorHAnsi" w:cstheme="majorHAnsi"/>
                <w:b/>
                <w:bCs/>
                <w:sz w:val="16"/>
                <w:szCs w:val="16"/>
              </w:rPr>
              <w:t>VALEC ENGENHARIA, CONSTRUÇÕES E FERROVIAS S/A</w:t>
            </w:r>
          </w:p>
        </w:tc>
      </w:tr>
      <w:tr w:rsidR="00F47099" w:rsidRPr="00F47099" w14:paraId="34AFCDA7" w14:textId="77777777" w:rsidTr="00F47099">
        <w:trPr>
          <w:trHeight w:hRule="exact" w:val="227"/>
        </w:trPr>
        <w:tc>
          <w:tcPr>
            <w:tcW w:w="0" w:type="auto"/>
            <w:gridSpan w:val="5"/>
            <w:tcBorders>
              <w:top w:val="nil"/>
              <w:left w:val="nil"/>
              <w:bottom w:val="nil"/>
              <w:right w:val="nil"/>
            </w:tcBorders>
            <w:shd w:val="clear" w:color="auto" w:fill="auto"/>
            <w:noWrap/>
            <w:vAlign w:val="bottom"/>
            <w:hideMark/>
          </w:tcPr>
          <w:p w14:paraId="4EE14F66" w14:textId="77777777" w:rsidR="00F47099" w:rsidRPr="00F47099" w:rsidRDefault="00F47099">
            <w:pPr>
              <w:jc w:val="center"/>
              <w:rPr>
                <w:rFonts w:asciiTheme="majorHAnsi" w:hAnsiTheme="majorHAnsi" w:cstheme="majorHAnsi"/>
                <w:b/>
                <w:bCs/>
                <w:sz w:val="16"/>
                <w:szCs w:val="16"/>
              </w:rPr>
            </w:pPr>
            <w:r w:rsidRPr="00F47099">
              <w:rPr>
                <w:rFonts w:asciiTheme="majorHAnsi" w:hAnsiTheme="majorHAnsi" w:cstheme="majorHAnsi"/>
                <w:b/>
                <w:bCs/>
                <w:sz w:val="16"/>
                <w:szCs w:val="16"/>
              </w:rPr>
              <w:t xml:space="preserve">DEMONSTRAÇÕES DAS MUTAÇÕES DO PATRIMÔNIO LÍQUIDO </w:t>
            </w:r>
          </w:p>
        </w:tc>
      </w:tr>
      <w:tr w:rsidR="00F47099" w:rsidRPr="00F47099" w14:paraId="31670EB4" w14:textId="77777777" w:rsidTr="00F47099">
        <w:trPr>
          <w:trHeight w:hRule="exact" w:val="227"/>
        </w:trPr>
        <w:tc>
          <w:tcPr>
            <w:tcW w:w="0" w:type="auto"/>
            <w:gridSpan w:val="5"/>
            <w:tcBorders>
              <w:top w:val="nil"/>
              <w:left w:val="nil"/>
              <w:bottom w:val="nil"/>
              <w:right w:val="nil"/>
            </w:tcBorders>
            <w:shd w:val="clear" w:color="auto" w:fill="auto"/>
            <w:noWrap/>
            <w:vAlign w:val="bottom"/>
            <w:hideMark/>
          </w:tcPr>
          <w:p w14:paraId="57715217" w14:textId="77777777" w:rsidR="00F47099" w:rsidRPr="00F47099" w:rsidRDefault="00F47099">
            <w:pPr>
              <w:jc w:val="center"/>
              <w:rPr>
                <w:rFonts w:asciiTheme="majorHAnsi" w:hAnsiTheme="majorHAnsi" w:cstheme="majorHAnsi"/>
                <w:b/>
                <w:bCs/>
                <w:sz w:val="16"/>
                <w:szCs w:val="16"/>
              </w:rPr>
            </w:pPr>
            <w:r w:rsidRPr="00F47099">
              <w:rPr>
                <w:rFonts w:asciiTheme="majorHAnsi" w:hAnsiTheme="majorHAnsi" w:cstheme="majorHAnsi"/>
                <w:b/>
                <w:bCs/>
                <w:sz w:val="16"/>
                <w:szCs w:val="16"/>
              </w:rPr>
              <w:t>2º TRIMESTRE 2022</w:t>
            </w:r>
          </w:p>
        </w:tc>
      </w:tr>
      <w:tr w:rsidR="00F47099" w:rsidRPr="00F47099" w14:paraId="30F48711" w14:textId="77777777" w:rsidTr="00F47099">
        <w:trPr>
          <w:trHeight w:hRule="exact" w:val="227"/>
        </w:trPr>
        <w:tc>
          <w:tcPr>
            <w:tcW w:w="0" w:type="auto"/>
            <w:gridSpan w:val="5"/>
            <w:tcBorders>
              <w:top w:val="nil"/>
              <w:left w:val="nil"/>
              <w:bottom w:val="nil"/>
              <w:right w:val="nil"/>
            </w:tcBorders>
            <w:shd w:val="clear" w:color="auto" w:fill="auto"/>
            <w:noWrap/>
            <w:vAlign w:val="bottom"/>
            <w:hideMark/>
          </w:tcPr>
          <w:p w14:paraId="59ABDAC4" w14:textId="77777777" w:rsidR="00F47099" w:rsidRPr="00F47099" w:rsidRDefault="00F47099">
            <w:pPr>
              <w:jc w:val="center"/>
              <w:rPr>
                <w:rFonts w:asciiTheme="majorHAnsi" w:hAnsiTheme="majorHAnsi" w:cstheme="majorHAnsi"/>
                <w:b/>
                <w:bCs/>
                <w:sz w:val="16"/>
                <w:szCs w:val="16"/>
              </w:rPr>
            </w:pPr>
            <w:r w:rsidRPr="00F47099">
              <w:rPr>
                <w:rFonts w:asciiTheme="majorHAnsi" w:hAnsiTheme="majorHAnsi" w:cstheme="majorHAnsi"/>
                <w:b/>
                <w:bCs/>
                <w:sz w:val="16"/>
                <w:szCs w:val="16"/>
              </w:rPr>
              <w:t>Em R$ 1</w:t>
            </w:r>
          </w:p>
        </w:tc>
      </w:tr>
      <w:tr w:rsidR="00F47099" w:rsidRPr="00F47099" w14:paraId="3BB22616" w14:textId="77777777" w:rsidTr="00F47099">
        <w:trPr>
          <w:trHeight w:hRule="exact" w:val="227"/>
        </w:trPr>
        <w:tc>
          <w:tcPr>
            <w:tcW w:w="0" w:type="auto"/>
            <w:tcBorders>
              <w:top w:val="nil"/>
              <w:left w:val="nil"/>
              <w:bottom w:val="nil"/>
              <w:right w:val="nil"/>
            </w:tcBorders>
            <w:shd w:val="clear" w:color="auto" w:fill="auto"/>
            <w:noWrap/>
            <w:vAlign w:val="bottom"/>
            <w:hideMark/>
          </w:tcPr>
          <w:p w14:paraId="2FEE664D" w14:textId="77777777" w:rsidR="00F47099" w:rsidRPr="00F47099" w:rsidRDefault="00F47099">
            <w:pPr>
              <w:jc w:val="center"/>
              <w:rPr>
                <w:rFonts w:asciiTheme="majorHAnsi" w:hAnsiTheme="majorHAnsi" w:cstheme="majorHAnsi"/>
                <w:b/>
                <w:bCs/>
                <w:sz w:val="16"/>
                <w:szCs w:val="16"/>
              </w:rPr>
            </w:pPr>
          </w:p>
        </w:tc>
        <w:tc>
          <w:tcPr>
            <w:tcW w:w="0" w:type="auto"/>
            <w:tcBorders>
              <w:top w:val="nil"/>
              <w:left w:val="nil"/>
              <w:bottom w:val="nil"/>
              <w:right w:val="nil"/>
            </w:tcBorders>
            <w:shd w:val="clear" w:color="auto" w:fill="auto"/>
            <w:noWrap/>
            <w:vAlign w:val="bottom"/>
            <w:hideMark/>
          </w:tcPr>
          <w:p w14:paraId="67D76A9E" w14:textId="77777777" w:rsidR="00F47099" w:rsidRPr="00F47099" w:rsidRDefault="00F47099">
            <w:pPr>
              <w:rPr>
                <w:rFonts w:asciiTheme="majorHAnsi" w:hAnsiTheme="majorHAnsi" w:cstheme="majorHAnsi"/>
                <w:sz w:val="16"/>
                <w:szCs w:val="16"/>
              </w:rPr>
            </w:pPr>
          </w:p>
        </w:tc>
        <w:tc>
          <w:tcPr>
            <w:tcW w:w="0" w:type="auto"/>
            <w:tcBorders>
              <w:top w:val="nil"/>
              <w:left w:val="nil"/>
              <w:bottom w:val="nil"/>
              <w:right w:val="nil"/>
            </w:tcBorders>
            <w:shd w:val="clear" w:color="auto" w:fill="auto"/>
            <w:noWrap/>
            <w:vAlign w:val="bottom"/>
            <w:hideMark/>
          </w:tcPr>
          <w:p w14:paraId="4E2216A6" w14:textId="77777777" w:rsidR="00F47099" w:rsidRPr="00F47099" w:rsidRDefault="00F47099">
            <w:pPr>
              <w:rPr>
                <w:rFonts w:asciiTheme="majorHAnsi" w:hAnsiTheme="majorHAnsi" w:cstheme="majorHAnsi"/>
                <w:sz w:val="16"/>
                <w:szCs w:val="16"/>
              </w:rPr>
            </w:pPr>
          </w:p>
        </w:tc>
        <w:tc>
          <w:tcPr>
            <w:tcW w:w="0" w:type="auto"/>
            <w:tcBorders>
              <w:top w:val="nil"/>
              <w:left w:val="nil"/>
              <w:bottom w:val="nil"/>
              <w:right w:val="nil"/>
            </w:tcBorders>
            <w:shd w:val="clear" w:color="auto" w:fill="auto"/>
            <w:noWrap/>
            <w:vAlign w:val="bottom"/>
            <w:hideMark/>
          </w:tcPr>
          <w:p w14:paraId="0CCBC3B0" w14:textId="77777777" w:rsidR="00F47099" w:rsidRPr="00F47099" w:rsidRDefault="00F47099">
            <w:pPr>
              <w:rPr>
                <w:rFonts w:asciiTheme="majorHAnsi" w:hAnsiTheme="majorHAnsi" w:cstheme="majorHAnsi"/>
                <w:sz w:val="16"/>
                <w:szCs w:val="16"/>
              </w:rPr>
            </w:pPr>
          </w:p>
        </w:tc>
        <w:tc>
          <w:tcPr>
            <w:tcW w:w="0" w:type="auto"/>
            <w:tcBorders>
              <w:top w:val="nil"/>
              <w:left w:val="nil"/>
              <w:bottom w:val="nil"/>
              <w:right w:val="nil"/>
            </w:tcBorders>
            <w:shd w:val="clear" w:color="auto" w:fill="auto"/>
            <w:noWrap/>
            <w:vAlign w:val="bottom"/>
            <w:hideMark/>
          </w:tcPr>
          <w:p w14:paraId="001EE134" w14:textId="77777777" w:rsidR="00F47099" w:rsidRPr="00F47099" w:rsidRDefault="00F47099">
            <w:pPr>
              <w:rPr>
                <w:rFonts w:asciiTheme="majorHAnsi" w:hAnsiTheme="majorHAnsi" w:cstheme="majorHAnsi"/>
                <w:sz w:val="16"/>
                <w:szCs w:val="16"/>
              </w:rPr>
            </w:pPr>
          </w:p>
        </w:tc>
      </w:tr>
      <w:tr w:rsidR="00F47099" w:rsidRPr="00F47099" w14:paraId="7DEC6F46" w14:textId="77777777" w:rsidTr="00F47099">
        <w:trPr>
          <w:trHeight w:hRule="exact" w:val="227"/>
        </w:trPr>
        <w:tc>
          <w:tcPr>
            <w:tcW w:w="0" w:type="auto"/>
            <w:tcBorders>
              <w:top w:val="single" w:sz="8" w:space="0" w:color="auto"/>
              <w:left w:val="single" w:sz="8" w:space="0" w:color="auto"/>
              <w:bottom w:val="nil"/>
              <w:right w:val="single" w:sz="8" w:space="0" w:color="auto"/>
            </w:tcBorders>
            <w:shd w:val="clear" w:color="auto" w:fill="auto"/>
            <w:noWrap/>
            <w:vAlign w:val="bottom"/>
            <w:hideMark/>
          </w:tcPr>
          <w:p w14:paraId="3C6BFB8D" w14:textId="77777777" w:rsidR="00F47099" w:rsidRPr="00F47099" w:rsidRDefault="00F47099">
            <w:pPr>
              <w:jc w:val="center"/>
              <w:rPr>
                <w:rFonts w:asciiTheme="majorHAnsi" w:hAnsiTheme="majorHAnsi" w:cstheme="majorHAnsi"/>
                <w:b/>
                <w:bCs/>
                <w:sz w:val="16"/>
                <w:szCs w:val="16"/>
              </w:rPr>
            </w:pPr>
            <w:r w:rsidRPr="00F47099">
              <w:rPr>
                <w:rFonts w:asciiTheme="majorHAnsi" w:hAnsiTheme="majorHAnsi" w:cstheme="majorHAnsi"/>
                <w:b/>
                <w:bCs/>
                <w:sz w:val="16"/>
                <w:szCs w:val="16"/>
              </w:rPr>
              <w:t> </w:t>
            </w:r>
          </w:p>
        </w:tc>
        <w:tc>
          <w:tcPr>
            <w:tcW w:w="0" w:type="auto"/>
            <w:tcBorders>
              <w:top w:val="single" w:sz="8" w:space="0" w:color="auto"/>
              <w:left w:val="nil"/>
              <w:bottom w:val="nil"/>
              <w:right w:val="single" w:sz="8" w:space="0" w:color="auto"/>
            </w:tcBorders>
            <w:shd w:val="clear" w:color="auto" w:fill="auto"/>
            <w:noWrap/>
            <w:vAlign w:val="bottom"/>
            <w:hideMark/>
          </w:tcPr>
          <w:p w14:paraId="159E251F" w14:textId="77777777" w:rsidR="00F47099" w:rsidRPr="00F47099" w:rsidRDefault="00F47099">
            <w:pPr>
              <w:jc w:val="center"/>
              <w:rPr>
                <w:rFonts w:asciiTheme="majorHAnsi" w:hAnsiTheme="majorHAnsi" w:cstheme="majorHAnsi"/>
                <w:b/>
                <w:bCs/>
                <w:sz w:val="16"/>
                <w:szCs w:val="16"/>
              </w:rPr>
            </w:pPr>
            <w:r w:rsidRPr="00F47099">
              <w:rPr>
                <w:rFonts w:asciiTheme="majorHAnsi" w:hAnsiTheme="majorHAnsi" w:cstheme="majorHAnsi"/>
                <w:b/>
                <w:bCs/>
                <w:sz w:val="16"/>
                <w:szCs w:val="16"/>
              </w:rPr>
              <w:t>Capital</w:t>
            </w:r>
          </w:p>
        </w:tc>
        <w:tc>
          <w:tcPr>
            <w:tcW w:w="0" w:type="auto"/>
            <w:tcBorders>
              <w:top w:val="single" w:sz="8" w:space="0" w:color="auto"/>
              <w:left w:val="nil"/>
              <w:bottom w:val="nil"/>
              <w:right w:val="single" w:sz="8" w:space="0" w:color="auto"/>
            </w:tcBorders>
            <w:shd w:val="clear" w:color="auto" w:fill="auto"/>
            <w:noWrap/>
            <w:vAlign w:val="bottom"/>
            <w:hideMark/>
          </w:tcPr>
          <w:p w14:paraId="6F02C204" w14:textId="77777777" w:rsidR="00F47099" w:rsidRPr="00F47099" w:rsidRDefault="00F47099">
            <w:pPr>
              <w:jc w:val="center"/>
              <w:rPr>
                <w:rFonts w:asciiTheme="majorHAnsi" w:hAnsiTheme="majorHAnsi" w:cstheme="majorHAnsi"/>
                <w:b/>
                <w:bCs/>
                <w:sz w:val="16"/>
                <w:szCs w:val="16"/>
              </w:rPr>
            </w:pPr>
            <w:r w:rsidRPr="00F47099">
              <w:rPr>
                <w:rFonts w:asciiTheme="majorHAnsi" w:hAnsiTheme="majorHAnsi" w:cstheme="majorHAnsi"/>
                <w:b/>
                <w:bCs/>
                <w:sz w:val="16"/>
                <w:szCs w:val="16"/>
              </w:rPr>
              <w:t>Adiantamento</w:t>
            </w:r>
          </w:p>
        </w:tc>
        <w:tc>
          <w:tcPr>
            <w:tcW w:w="0" w:type="auto"/>
            <w:tcBorders>
              <w:top w:val="single" w:sz="8" w:space="0" w:color="auto"/>
              <w:left w:val="nil"/>
              <w:bottom w:val="nil"/>
              <w:right w:val="single" w:sz="8" w:space="0" w:color="auto"/>
            </w:tcBorders>
            <w:shd w:val="clear" w:color="auto" w:fill="auto"/>
            <w:noWrap/>
            <w:vAlign w:val="bottom"/>
            <w:hideMark/>
          </w:tcPr>
          <w:p w14:paraId="57DA16A7" w14:textId="77777777" w:rsidR="00F47099" w:rsidRPr="00F47099" w:rsidRDefault="00F47099">
            <w:pPr>
              <w:jc w:val="center"/>
              <w:rPr>
                <w:rFonts w:asciiTheme="majorHAnsi" w:hAnsiTheme="majorHAnsi" w:cstheme="majorHAnsi"/>
                <w:b/>
                <w:bCs/>
                <w:sz w:val="16"/>
                <w:szCs w:val="16"/>
              </w:rPr>
            </w:pPr>
            <w:r w:rsidRPr="00F47099">
              <w:rPr>
                <w:rFonts w:asciiTheme="majorHAnsi" w:hAnsiTheme="majorHAnsi" w:cstheme="majorHAnsi"/>
                <w:b/>
                <w:bCs/>
                <w:sz w:val="16"/>
                <w:szCs w:val="16"/>
              </w:rPr>
              <w:t>Lucros ou</w:t>
            </w:r>
          </w:p>
        </w:tc>
        <w:tc>
          <w:tcPr>
            <w:tcW w:w="0" w:type="auto"/>
            <w:tcBorders>
              <w:top w:val="single" w:sz="8" w:space="0" w:color="auto"/>
              <w:left w:val="nil"/>
              <w:bottom w:val="nil"/>
              <w:right w:val="single" w:sz="8" w:space="0" w:color="auto"/>
            </w:tcBorders>
            <w:shd w:val="clear" w:color="auto" w:fill="auto"/>
            <w:noWrap/>
            <w:vAlign w:val="bottom"/>
            <w:hideMark/>
          </w:tcPr>
          <w:p w14:paraId="64A3E09A" w14:textId="77777777" w:rsidR="00F47099" w:rsidRPr="00F47099" w:rsidRDefault="00F47099">
            <w:pPr>
              <w:jc w:val="center"/>
              <w:rPr>
                <w:rFonts w:asciiTheme="majorHAnsi" w:hAnsiTheme="majorHAnsi" w:cstheme="majorHAnsi"/>
                <w:b/>
                <w:bCs/>
                <w:sz w:val="16"/>
                <w:szCs w:val="16"/>
              </w:rPr>
            </w:pPr>
            <w:r w:rsidRPr="00F47099">
              <w:rPr>
                <w:rFonts w:asciiTheme="majorHAnsi" w:hAnsiTheme="majorHAnsi" w:cstheme="majorHAnsi"/>
                <w:b/>
                <w:bCs/>
                <w:sz w:val="16"/>
                <w:szCs w:val="16"/>
              </w:rPr>
              <w:t> </w:t>
            </w:r>
          </w:p>
        </w:tc>
      </w:tr>
      <w:tr w:rsidR="00F47099" w:rsidRPr="00F47099" w14:paraId="7FAF9D8F" w14:textId="77777777" w:rsidTr="00F47099">
        <w:trPr>
          <w:trHeight w:hRule="exact" w:val="227"/>
        </w:trPr>
        <w:tc>
          <w:tcPr>
            <w:tcW w:w="0" w:type="auto"/>
            <w:tcBorders>
              <w:top w:val="nil"/>
              <w:left w:val="single" w:sz="8" w:space="0" w:color="auto"/>
              <w:bottom w:val="nil"/>
              <w:right w:val="single" w:sz="8" w:space="0" w:color="auto"/>
            </w:tcBorders>
            <w:shd w:val="clear" w:color="auto" w:fill="auto"/>
            <w:noWrap/>
            <w:vAlign w:val="bottom"/>
            <w:hideMark/>
          </w:tcPr>
          <w:p w14:paraId="7275CFE1" w14:textId="77777777" w:rsidR="00F47099" w:rsidRPr="00F47099" w:rsidRDefault="00F47099">
            <w:pPr>
              <w:rPr>
                <w:rFonts w:asciiTheme="majorHAnsi" w:hAnsiTheme="majorHAnsi" w:cstheme="majorHAnsi"/>
                <w:sz w:val="16"/>
                <w:szCs w:val="16"/>
              </w:rPr>
            </w:pPr>
            <w:r w:rsidRPr="00F47099">
              <w:rPr>
                <w:rFonts w:asciiTheme="majorHAnsi" w:hAnsiTheme="majorHAnsi" w:cstheme="majorHAnsi"/>
                <w:sz w:val="16"/>
                <w:szCs w:val="16"/>
              </w:rPr>
              <w:t xml:space="preserve">                        </w:t>
            </w:r>
            <w:r w:rsidRPr="00F47099">
              <w:rPr>
                <w:rFonts w:asciiTheme="majorHAnsi" w:hAnsiTheme="majorHAnsi" w:cstheme="majorHAnsi"/>
                <w:b/>
                <w:bCs/>
                <w:sz w:val="16"/>
                <w:szCs w:val="16"/>
              </w:rPr>
              <w:t>Classificação</w:t>
            </w:r>
          </w:p>
        </w:tc>
        <w:tc>
          <w:tcPr>
            <w:tcW w:w="0" w:type="auto"/>
            <w:tcBorders>
              <w:top w:val="nil"/>
              <w:left w:val="nil"/>
              <w:bottom w:val="nil"/>
              <w:right w:val="single" w:sz="8" w:space="0" w:color="auto"/>
            </w:tcBorders>
            <w:shd w:val="clear" w:color="auto" w:fill="auto"/>
            <w:noWrap/>
            <w:vAlign w:val="bottom"/>
            <w:hideMark/>
          </w:tcPr>
          <w:p w14:paraId="2CB4E9E5" w14:textId="77777777" w:rsidR="00F47099" w:rsidRPr="00F47099" w:rsidRDefault="00F47099">
            <w:pPr>
              <w:jc w:val="center"/>
              <w:rPr>
                <w:rFonts w:asciiTheme="majorHAnsi" w:hAnsiTheme="majorHAnsi" w:cstheme="majorHAnsi"/>
                <w:b/>
                <w:bCs/>
                <w:sz w:val="16"/>
                <w:szCs w:val="16"/>
              </w:rPr>
            </w:pPr>
            <w:r w:rsidRPr="00F47099">
              <w:rPr>
                <w:rFonts w:asciiTheme="majorHAnsi" w:hAnsiTheme="majorHAnsi" w:cstheme="majorHAnsi"/>
                <w:b/>
                <w:bCs/>
                <w:sz w:val="16"/>
                <w:szCs w:val="16"/>
              </w:rPr>
              <w:t>Social</w:t>
            </w:r>
          </w:p>
        </w:tc>
        <w:tc>
          <w:tcPr>
            <w:tcW w:w="0" w:type="auto"/>
            <w:tcBorders>
              <w:top w:val="nil"/>
              <w:left w:val="nil"/>
              <w:bottom w:val="nil"/>
              <w:right w:val="single" w:sz="8" w:space="0" w:color="auto"/>
            </w:tcBorders>
            <w:shd w:val="clear" w:color="auto" w:fill="auto"/>
            <w:noWrap/>
            <w:vAlign w:val="bottom"/>
            <w:hideMark/>
          </w:tcPr>
          <w:p w14:paraId="337DB31C" w14:textId="77777777" w:rsidR="00F47099" w:rsidRPr="00F47099" w:rsidRDefault="00F47099">
            <w:pPr>
              <w:jc w:val="center"/>
              <w:rPr>
                <w:rFonts w:asciiTheme="majorHAnsi" w:hAnsiTheme="majorHAnsi" w:cstheme="majorHAnsi"/>
                <w:b/>
                <w:bCs/>
                <w:sz w:val="16"/>
                <w:szCs w:val="16"/>
              </w:rPr>
            </w:pPr>
            <w:r w:rsidRPr="00F47099">
              <w:rPr>
                <w:rFonts w:asciiTheme="majorHAnsi" w:hAnsiTheme="majorHAnsi" w:cstheme="majorHAnsi"/>
                <w:b/>
                <w:bCs/>
                <w:sz w:val="16"/>
                <w:szCs w:val="16"/>
              </w:rPr>
              <w:t>para Futuro Aumento</w:t>
            </w:r>
          </w:p>
        </w:tc>
        <w:tc>
          <w:tcPr>
            <w:tcW w:w="0" w:type="auto"/>
            <w:tcBorders>
              <w:top w:val="nil"/>
              <w:left w:val="nil"/>
              <w:bottom w:val="nil"/>
              <w:right w:val="single" w:sz="8" w:space="0" w:color="auto"/>
            </w:tcBorders>
            <w:shd w:val="clear" w:color="auto" w:fill="auto"/>
            <w:noWrap/>
            <w:vAlign w:val="bottom"/>
            <w:hideMark/>
          </w:tcPr>
          <w:p w14:paraId="784D067F" w14:textId="77777777" w:rsidR="00F47099" w:rsidRPr="00F47099" w:rsidRDefault="00F47099">
            <w:pPr>
              <w:jc w:val="center"/>
              <w:rPr>
                <w:rFonts w:asciiTheme="majorHAnsi" w:hAnsiTheme="majorHAnsi" w:cstheme="majorHAnsi"/>
                <w:b/>
                <w:bCs/>
                <w:sz w:val="16"/>
                <w:szCs w:val="16"/>
              </w:rPr>
            </w:pPr>
            <w:r w:rsidRPr="00F47099">
              <w:rPr>
                <w:rFonts w:asciiTheme="majorHAnsi" w:hAnsiTheme="majorHAnsi" w:cstheme="majorHAnsi"/>
                <w:b/>
                <w:bCs/>
                <w:sz w:val="16"/>
                <w:szCs w:val="16"/>
              </w:rPr>
              <w:t>Prejuízos</w:t>
            </w:r>
          </w:p>
        </w:tc>
        <w:tc>
          <w:tcPr>
            <w:tcW w:w="0" w:type="auto"/>
            <w:tcBorders>
              <w:top w:val="nil"/>
              <w:left w:val="nil"/>
              <w:bottom w:val="nil"/>
              <w:right w:val="single" w:sz="8" w:space="0" w:color="auto"/>
            </w:tcBorders>
            <w:shd w:val="clear" w:color="auto" w:fill="auto"/>
            <w:noWrap/>
            <w:vAlign w:val="bottom"/>
            <w:hideMark/>
          </w:tcPr>
          <w:p w14:paraId="3DFF215C" w14:textId="77777777" w:rsidR="00F47099" w:rsidRPr="00F47099" w:rsidRDefault="00F47099">
            <w:pPr>
              <w:jc w:val="center"/>
              <w:rPr>
                <w:rFonts w:asciiTheme="majorHAnsi" w:hAnsiTheme="majorHAnsi" w:cstheme="majorHAnsi"/>
                <w:b/>
                <w:bCs/>
                <w:sz w:val="16"/>
                <w:szCs w:val="16"/>
              </w:rPr>
            </w:pPr>
            <w:r w:rsidRPr="00F47099">
              <w:rPr>
                <w:rFonts w:asciiTheme="majorHAnsi" w:hAnsiTheme="majorHAnsi" w:cstheme="majorHAnsi"/>
                <w:b/>
                <w:bCs/>
                <w:sz w:val="16"/>
                <w:szCs w:val="16"/>
              </w:rPr>
              <w:t>Total</w:t>
            </w:r>
          </w:p>
        </w:tc>
      </w:tr>
      <w:tr w:rsidR="00F47099" w:rsidRPr="00F47099" w14:paraId="3B55C7F7" w14:textId="77777777" w:rsidTr="00F47099">
        <w:trPr>
          <w:trHeight w:hRule="exact" w:val="227"/>
        </w:trPr>
        <w:tc>
          <w:tcPr>
            <w:tcW w:w="0" w:type="auto"/>
            <w:tcBorders>
              <w:top w:val="nil"/>
              <w:left w:val="single" w:sz="8" w:space="0" w:color="auto"/>
              <w:bottom w:val="single" w:sz="4" w:space="0" w:color="auto"/>
              <w:right w:val="single" w:sz="8" w:space="0" w:color="auto"/>
            </w:tcBorders>
            <w:shd w:val="clear" w:color="auto" w:fill="auto"/>
            <w:noWrap/>
            <w:vAlign w:val="bottom"/>
            <w:hideMark/>
          </w:tcPr>
          <w:p w14:paraId="0F3C80AC" w14:textId="77777777" w:rsidR="00F47099" w:rsidRPr="00F47099" w:rsidRDefault="00F47099">
            <w:pPr>
              <w:rPr>
                <w:rFonts w:asciiTheme="majorHAnsi" w:hAnsiTheme="majorHAnsi" w:cstheme="majorHAnsi"/>
                <w:sz w:val="16"/>
                <w:szCs w:val="16"/>
              </w:rPr>
            </w:pPr>
            <w:r w:rsidRPr="00F47099">
              <w:rPr>
                <w:rFonts w:asciiTheme="majorHAnsi" w:hAnsiTheme="majorHAnsi" w:cstheme="majorHAnsi"/>
                <w:sz w:val="16"/>
                <w:szCs w:val="16"/>
              </w:rPr>
              <w:t> </w:t>
            </w:r>
          </w:p>
        </w:tc>
        <w:tc>
          <w:tcPr>
            <w:tcW w:w="0" w:type="auto"/>
            <w:tcBorders>
              <w:top w:val="nil"/>
              <w:left w:val="nil"/>
              <w:bottom w:val="nil"/>
              <w:right w:val="single" w:sz="8" w:space="0" w:color="auto"/>
            </w:tcBorders>
            <w:shd w:val="clear" w:color="auto" w:fill="auto"/>
            <w:noWrap/>
            <w:vAlign w:val="bottom"/>
            <w:hideMark/>
          </w:tcPr>
          <w:p w14:paraId="1F20F491" w14:textId="77777777" w:rsidR="00F47099" w:rsidRPr="00F47099" w:rsidRDefault="00F47099">
            <w:pPr>
              <w:rPr>
                <w:rFonts w:asciiTheme="majorHAnsi" w:hAnsiTheme="majorHAnsi" w:cstheme="majorHAnsi"/>
                <w:sz w:val="16"/>
                <w:szCs w:val="16"/>
              </w:rPr>
            </w:pPr>
            <w:r w:rsidRPr="00F47099">
              <w:rPr>
                <w:rFonts w:asciiTheme="majorHAnsi" w:hAnsiTheme="majorHAnsi" w:cstheme="majorHAnsi"/>
                <w:sz w:val="16"/>
                <w:szCs w:val="16"/>
              </w:rPr>
              <w:t> </w:t>
            </w:r>
          </w:p>
        </w:tc>
        <w:tc>
          <w:tcPr>
            <w:tcW w:w="0" w:type="auto"/>
            <w:tcBorders>
              <w:top w:val="nil"/>
              <w:left w:val="nil"/>
              <w:bottom w:val="nil"/>
              <w:right w:val="single" w:sz="8" w:space="0" w:color="auto"/>
            </w:tcBorders>
            <w:shd w:val="clear" w:color="auto" w:fill="auto"/>
            <w:noWrap/>
            <w:vAlign w:val="bottom"/>
            <w:hideMark/>
          </w:tcPr>
          <w:p w14:paraId="4E532D5A" w14:textId="77777777" w:rsidR="00F47099" w:rsidRPr="00F47099" w:rsidRDefault="00F47099">
            <w:pPr>
              <w:jc w:val="center"/>
              <w:rPr>
                <w:rFonts w:asciiTheme="majorHAnsi" w:hAnsiTheme="majorHAnsi" w:cstheme="majorHAnsi"/>
                <w:b/>
                <w:bCs/>
                <w:sz w:val="16"/>
                <w:szCs w:val="16"/>
              </w:rPr>
            </w:pPr>
            <w:r w:rsidRPr="00F47099">
              <w:rPr>
                <w:rFonts w:asciiTheme="majorHAnsi" w:hAnsiTheme="majorHAnsi" w:cstheme="majorHAnsi"/>
                <w:b/>
                <w:bCs/>
                <w:sz w:val="16"/>
                <w:szCs w:val="16"/>
              </w:rPr>
              <w:t>de Capital</w:t>
            </w:r>
          </w:p>
        </w:tc>
        <w:tc>
          <w:tcPr>
            <w:tcW w:w="0" w:type="auto"/>
            <w:tcBorders>
              <w:top w:val="nil"/>
              <w:left w:val="nil"/>
              <w:bottom w:val="nil"/>
              <w:right w:val="single" w:sz="8" w:space="0" w:color="auto"/>
            </w:tcBorders>
            <w:shd w:val="clear" w:color="auto" w:fill="auto"/>
            <w:noWrap/>
            <w:vAlign w:val="bottom"/>
            <w:hideMark/>
          </w:tcPr>
          <w:p w14:paraId="67FFA4E4" w14:textId="77777777" w:rsidR="00F47099" w:rsidRPr="00F47099" w:rsidRDefault="00F47099">
            <w:pPr>
              <w:jc w:val="center"/>
              <w:rPr>
                <w:rFonts w:asciiTheme="majorHAnsi" w:hAnsiTheme="majorHAnsi" w:cstheme="majorHAnsi"/>
                <w:b/>
                <w:bCs/>
                <w:sz w:val="16"/>
                <w:szCs w:val="16"/>
              </w:rPr>
            </w:pPr>
            <w:r w:rsidRPr="00F47099">
              <w:rPr>
                <w:rFonts w:asciiTheme="majorHAnsi" w:hAnsiTheme="majorHAnsi" w:cstheme="majorHAnsi"/>
                <w:b/>
                <w:bCs/>
                <w:sz w:val="16"/>
                <w:szCs w:val="16"/>
              </w:rPr>
              <w:t>Acumulados</w:t>
            </w:r>
          </w:p>
        </w:tc>
        <w:tc>
          <w:tcPr>
            <w:tcW w:w="0" w:type="auto"/>
            <w:tcBorders>
              <w:top w:val="nil"/>
              <w:left w:val="nil"/>
              <w:bottom w:val="single" w:sz="4" w:space="0" w:color="auto"/>
              <w:right w:val="single" w:sz="8" w:space="0" w:color="auto"/>
            </w:tcBorders>
            <w:shd w:val="clear" w:color="auto" w:fill="auto"/>
            <w:noWrap/>
            <w:vAlign w:val="bottom"/>
            <w:hideMark/>
          </w:tcPr>
          <w:p w14:paraId="5565BECE" w14:textId="77777777" w:rsidR="00F47099" w:rsidRPr="00F47099" w:rsidRDefault="00F47099">
            <w:pPr>
              <w:jc w:val="center"/>
              <w:rPr>
                <w:rFonts w:asciiTheme="majorHAnsi" w:hAnsiTheme="majorHAnsi" w:cstheme="majorHAnsi"/>
                <w:b/>
                <w:bCs/>
                <w:sz w:val="16"/>
                <w:szCs w:val="16"/>
              </w:rPr>
            </w:pPr>
            <w:r w:rsidRPr="00F47099">
              <w:rPr>
                <w:rFonts w:asciiTheme="majorHAnsi" w:hAnsiTheme="majorHAnsi" w:cstheme="majorHAnsi"/>
                <w:b/>
                <w:bCs/>
                <w:sz w:val="16"/>
                <w:szCs w:val="16"/>
              </w:rPr>
              <w:t> </w:t>
            </w:r>
          </w:p>
        </w:tc>
      </w:tr>
      <w:tr w:rsidR="00F47099" w:rsidRPr="00F47099" w14:paraId="2C0D4A4B" w14:textId="77777777" w:rsidTr="00F47099">
        <w:trPr>
          <w:trHeight w:hRule="exact" w:val="227"/>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4E5347B" w14:textId="77777777" w:rsidR="00F47099" w:rsidRPr="00F47099" w:rsidRDefault="00F47099">
            <w:pPr>
              <w:rPr>
                <w:rFonts w:asciiTheme="majorHAnsi" w:hAnsiTheme="majorHAnsi" w:cstheme="majorHAnsi"/>
                <w:b/>
                <w:bCs/>
                <w:sz w:val="16"/>
                <w:szCs w:val="16"/>
              </w:rPr>
            </w:pPr>
            <w:r w:rsidRPr="00F47099">
              <w:rPr>
                <w:rFonts w:asciiTheme="majorHAnsi" w:hAnsiTheme="majorHAnsi" w:cstheme="majorHAnsi"/>
                <w:b/>
                <w:bCs/>
                <w:sz w:val="16"/>
                <w:szCs w:val="16"/>
              </w:rPr>
              <w:t>Saldo em 01 de janeiro de 2021</w:t>
            </w:r>
          </w:p>
        </w:tc>
        <w:tc>
          <w:tcPr>
            <w:tcW w:w="0" w:type="auto"/>
            <w:tcBorders>
              <w:top w:val="single" w:sz="8" w:space="0" w:color="auto"/>
              <w:left w:val="nil"/>
              <w:bottom w:val="single" w:sz="8" w:space="0" w:color="auto"/>
              <w:right w:val="single" w:sz="8" w:space="0" w:color="auto"/>
            </w:tcBorders>
            <w:shd w:val="clear" w:color="auto" w:fill="auto"/>
            <w:noWrap/>
            <w:vAlign w:val="bottom"/>
            <w:hideMark/>
          </w:tcPr>
          <w:p w14:paraId="481B4626" w14:textId="77777777" w:rsidR="00F47099" w:rsidRPr="00F47099" w:rsidRDefault="00F47099">
            <w:pPr>
              <w:jc w:val="right"/>
              <w:rPr>
                <w:rFonts w:asciiTheme="majorHAnsi" w:hAnsiTheme="majorHAnsi" w:cstheme="majorHAnsi"/>
                <w:b/>
                <w:bCs/>
                <w:sz w:val="16"/>
                <w:szCs w:val="16"/>
              </w:rPr>
            </w:pPr>
            <w:r w:rsidRPr="00F47099">
              <w:rPr>
                <w:rFonts w:asciiTheme="majorHAnsi" w:hAnsiTheme="majorHAnsi" w:cstheme="majorHAnsi"/>
                <w:b/>
                <w:bCs/>
                <w:sz w:val="16"/>
                <w:szCs w:val="16"/>
              </w:rPr>
              <w:t>22.233.502.272</w:t>
            </w:r>
          </w:p>
        </w:tc>
        <w:tc>
          <w:tcPr>
            <w:tcW w:w="0" w:type="auto"/>
            <w:tcBorders>
              <w:top w:val="single" w:sz="8" w:space="0" w:color="auto"/>
              <w:left w:val="nil"/>
              <w:bottom w:val="single" w:sz="8" w:space="0" w:color="auto"/>
              <w:right w:val="single" w:sz="8" w:space="0" w:color="auto"/>
            </w:tcBorders>
            <w:shd w:val="clear" w:color="auto" w:fill="auto"/>
            <w:noWrap/>
            <w:vAlign w:val="bottom"/>
            <w:hideMark/>
          </w:tcPr>
          <w:p w14:paraId="595EF61F" w14:textId="77777777" w:rsidR="00F47099" w:rsidRPr="00F47099" w:rsidRDefault="00F47099">
            <w:pPr>
              <w:rPr>
                <w:rFonts w:asciiTheme="majorHAnsi" w:hAnsiTheme="majorHAnsi" w:cstheme="majorHAnsi"/>
                <w:b/>
                <w:bCs/>
                <w:sz w:val="16"/>
                <w:szCs w:val="16"/>
              </w:rPr>
            </w:pPr>
            <w:r w:rsidRPr="00F47099">
              <w:rPr>
                <w:rFonts w:asciiTheme="majorHAnsi" w:hAnsiTheme="majorHAnsi" w:cstheme="majorHAnsi"/>
                <w:b/>
                <w:bCs/>
                <w:sz w:val="16"/>
                <w:szCs w:val="16"/>
              </w:rPr>
              <w:t xml:space="preserve">                      903.489.907 </w:t>
            </w:r>
          </w:p>
        </w:tc>
        <w:tc>
          <w:tcPr>
            <w:tcW w:w="0" w:type="auto"/>
            <w:tcBorders>
              <w:top w:val="single" w:sz="8" w:space="0" w:color="auto"/>
              <w:left w:val="nil"/>
              <w:bottom w:val="single" w:sz="8" w:space="0" w:color="auto"/>
              <w:right w:val="nil"/>
            </w:tcBorders>
            <w:shd w:val="clear" w:color="auto" w:fill="auto"/>
            <w:noWrap/>
            <w:vAlign w:val="bottom"/>
            <w:hideMark/>
          </w:tcPr>
          <w:p w14:paraId="2B14E6B1" w14:textId="77777777" w:rsidR="00F47099" w:rsidRPr="00F47099" w:rsidRDefault="00F47099">
            <w:pPr>
              <w:rPr>
                <w:rFonts w:asciiTheme="majorHAnsi" w:hAnsiTheme="majorHAnsi" w:cstheme="majorHAnsi"/>
                <w:b/>
                <w:bCs/>
                <w:sz w:val="16"/>
                <w:szCs w:val="16"/>
              </w:rPr>
            </w:pPr>
            <w:r w:rsidRPr="00F47099">
              <w:rPr>
                <w:rFonts w:asciiTheme="majorHAnsi" w:hAnsiTheme="majorHAnsi" w:cstheme="majorHAnsi"/>
                <w:b/>
                <w:bCs/>
                <w:sz w:val="16"/>
                <w:szCs w:val="16"/>
              </w:rPr>
              <w:t xml:space="preserve">              (20.254.287.649)</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BE2EF90" w14:textId="77777777" w:rsidR="00F47099" w:rsidRPr="00F47099" w:rsidRDefault="00F47099">
            <w:pPr>
              <w:rPr>
                <w:rFonts w:asciiTheme="majorHAnsi" w:hAnsiTheme="majorHAnsi" w:cstheme="majorHAnsi"/>
                <w:b/>
                <w:bCs/>
                <w:sz w:val="16"/>
                <w:szCs w:val="16"/>
              </w:rPr>
            </w:pPr>
            <w:r w:rsidRPr="00F47099">
              <w:rPr>
                <w:rFonts w:asciiTheme="majorHAnsi" w:hAnsiTheme="majorHAnsi" w:cstheme="majorHAnsi"/>
                <w:b/>
                <w:bCs/>
                <w:sz w:val="16"/>
                <w:szCs w:val="16"/>
              </w:rPr>
              <w:t xml:space="preserve">                                2.882.704.530 </w:t>
            </w:r>
          </w:p>
        </w:tc>
      </w:tr>
      <w:tr w:rsidR="00F47099" w:rsidRPr="00F47099" w14:paraId="5334A7E6" w14:textId="77777777" w:rsidTr="00F47099">
        <w:trPr>
          <w:trHeight w:hRule="exact" w:val="227"/>
        </w:trPr>
        <w:tc>
          <w:tcPr>
            <w:tcW w:w="0" w:type="auto"/>
            <w:tcBorders>
              <w:top w:val="nil"/>
              <w:left w:val="single" w:sz="8" w:space="0" w:color="auto"/>
              <w:bottom w:val="nil"/>
              <w:right w:val="single" w:sz="8" w:space="0" w:color="auto"/>
            </w:tcBorders>
            <w:shd w:val="clear" w:color="auto" w:fill="auto"/>
            <w:noWrap/>
            <w:vAlign w:val="bottom"/>
            <w:hideMark/>
          </w:tcPr>
          <w:p w14:paraId="14E7F711" w14:textId="77777777" w:rsidR="00F47099" w:rsidRPr="00F47099" w:rsidRDefault="00F47099">
            <w:pPr>
              <w:rPr>
                <w:rFonts w:asciiTheme="majorHAnsi" w:hAnsiTheme="majorHAnsi" w:cstheme="majorHAnsi"/>
                <w:sz w:val="16"/>
                <w:szCs w:val="16"/>
              </w:rPr>
            </w:pPr>
            <w:r w:rsidRPr="00F47099">
              <w:rPr>
                <w:rFonts w:asciiTheme="majorHAnsi" w:hAnsiTheme="majorHAnsi" w:cstheme="majorHAnsi"/>
                <w:sz w:val="16"/>
                <w:szCs w:val="16"/>
              </w:rPr>
              <w:t>Resultado Líquido do Período</w:t>
            </w:r>
          </w:p>
        </w:tc>
        <w:tc>
          <w:tcPr>
            <w:tcW w:w="0" w:type="auto"/>
            <w:tcBorders>
              <w:top w:val="nil"/>
              <w:left w:val="nil"/>
              <w:bottom w:val="nil"/>
              <w:right w:val="single" w:sz="8" w:space="0" w:color="auto"/>
            </w:tcBorders>
            <w:shd w:val="clear" w:color="auto" w:fill="auto"/>
            <w:noWrap/>
            <w:vAlign w:val="bottom"/>
            <w:hideMark/>
          </w:tcPr>
          <w:p w14:paraId="21FDF628" w14:textId="77777777" w:rsidR="00F47099" w:rsidRPr="00F47099" w:rsidRDefault="00F47099">
            <w:pPr>
              <w:rPr>
                <w:rFonts w:asciiTheme="majorHAnsi" w:hAnsiTheme="majorHAnsi" w:cstheme="majorHAnsi"/>
                <w:sz w:val="16"/>
                <w:szCs w:val="16"/>
              </w:rPr>
            </w:pPr>
            <w:r w:rsidRPr="00F47099">
              <w:rPr>
                <w:rFonts w:asciiTheme="majorHAnsi" w:hAnsiTheme="majorHAnsi" w:cstheme="majorHAnsi"/>
                <w:sz w:val="16"/>
                <w:szCs w:val="16"/>
              </w:rPr>
              <w:t xml:space="preserve">                              -   </w:t>
            </w:r>
          </w:p>
        </w:tc>
        <w:tc>
          <w:tcPr>
            <w:tcW w:w="0" w:type="auto"/>
            <w:tcBorders>
              <w:top w:val="nil"/>
              <w:left w:val="nil"/>
              <w:bottom w:val="nil"/>
              <w:right w:val="nil"/>
            </w:tcBorders>
            <w:shd w:val="clear" w:color="auto" w:fill="auto"/>
            <w:noWrap/>
            <w:vAlign w:val="bottom"/>
            <w:hideMark/>
          </w:tcPr>
          <w:p w14:paraId="26D9321A" w14:textId="77777777" w:rsidR="00F47099" w:rsidRPr="00F47099" w:rsidRDefault="00F47099">
            <w:pPr>
              <w:rPr>
                <w:rFonts w:asciiTheme="majorHAnsi" w:hAnsiTheme="majorHAnsi" w:cstheme="majorHAnsi"/>
                <w:sz w:val="16"/>
                <w:szCs w:val="16"/>
              </w:rPr>
            </w:pPr>
            <w:r w:rsidRPr="00F47099">
              <w:rPr>
                <w:rFonts w:asciiTheme="majorHAnsi" w:hAnsiTheme="majorHAnsi" w:cstheme="majorHAnsi"/>
                <w:sz w:val="16"/>
                <w:szCs w:val="16"/>
              </w:rPr>
              <w:t xml:space="preserve">                                             -   </w:t>
            </w:r>
          </w:p>
        </w:tc>
        <w:tc>
          <w:tcPr>
            <w:tcW w:w="0" w:type="auto"/>
            <w:tcBorders>
              <w:top w:val="nil"/>
              <w:left w:val="single" w:sz="8" w:space="0" w:color="auto"/>
              <w:bottom w:val="nil"/>
              <w:right w:val="single" w:sz="8" w:space="0" w:color="auto"/>
            </w:tcBorders>
            <w:shd w:val="clear" w:color="auto" w:fill="auto"/>
            <w:noWrap/>
            <w:vAlign w:val="bottom"/>
            <w:hideMark/>
          </w:tcPr>
          <w:p w14:paraId="7563D38D" w14:textId="77777777" w:rsidR="00F47099" w:rsidRPr="00F47099" w:rsidRDefault="00F47099">
            <w:pPr>
              <w:rPr>
                <w:rFonts w:asciiTheme="majorHAnsi" w:hAnsiTheme="majorHAnsi" w:cstheme="majorHAnsi"/>
                <w:sz w:val="16"/>
                <w:szCs w:val="16"/>
              </w:rPr>
            </w:pPr>
            <w:r w:rsidRPr="00F47099">
              <w:rPr>
                <w:rFonts w:asciiTheme="majorHAnsi" w:hAnsiTheme="majorHAnsi" w:cstheme="majorHAnsi"/>
                <w:sz w:val="16"/>
                <w:szCs w:val="16"/>
              </w:rPr>
              <w:t xml:space="preserve">                    (59.096.532)</w:t>
            </w:r>
          </w:p>
        </w:tc>
        <w:tc>
          <w:tcPr>
            <w:tcW w:w="0" w:type="auto"/>
            <w:tcBorders>
              <w:top w:val="nil"/>
              <w:left w:val="nil"/>
              <w:bottom w:val="nil"/>
              <w:right w:val="single" w:sz="8" w:space="0" w:color="auto"/>
            </w:tcBorders>
            <w:shd w:val="clear" w:color="auto" w:fill="auto"/>
            <w:noWrap/>
            <w:vAlign w:val="bottom"/>
            <w:hideMark/>
          </w:tcPr>
          <w:p w14:paraId="11B7CCB3" w14:textId="77777777" w:rsidR="00F47099" w:rsidRPr="00F47099" w:rsidRDefault="00F47099">
            <w:pPr>
              <w:rPr>
                <w:rFonts w:asciiTheme="majorHAnsi" w:hAnsiTheme="majorHAnsi" w:cstheme="majorHAnsi"/>
                <w:sz w:val="16"/>
                <w:szCs w:val="16"/>
              </w:rPr>
            </w:pPr>
            <w:r w:rsidRPr="00F47099">
              <w:rPr>
                <w:rFonts w:asciiTheme="majorHAnsi" w:hAnsiTheme="majorHAnsi" w:cstheme="majorHAnsi"/>
                <w:sz w:val="16"/>
                <w:szCs w:val="16"/>
              </w:rPr>
              <w:t xml:space="preserve">                                    (59.096.532)</w:t>
            </w:r>
          </w:p>
        </w:tc>
      </w:tr>
      <w:tr w:rsidR="00F47099" w:rsidRPr="00F47099" w14:paraId="66DDA1D5" w14:textId="77777777" w:rsidTr="00F47099">
        <w:trPr>
          <w:trHeight w:hRule="exact" w:val="227"/>
        </w:trPr>
        <w:tc>
          <w:tcPr>
            <w:tcW w:w="0" w:type="auto"/>
            <w:tcBorders>
              <w:top w:val="nil"/>
              <w:left w:val="single" w:sz="8" w:space="0" w:color="auto"/>
              <w:bottom w:val="nil"/>
              <w:right w:val="single" w:sz="8" w:space="0" w:color="auto"/>
            </w:tcBorders>
            <w:shd w:val="clear" w:color="auto" w:fill="auto"/>
            <w:noWrap/>
            <w:vAlign w:val="bottom"/>
            <w:hideMark/>
          </w:tcPr>
          <w:p w14:paraId="2619F73A" w14:textId="77777777" w:rsidR="00F47099" w:rsidRPr="00F47099" w:rsidRDefault="00F47099">
            <w:pPr>
              <w:rPr>
                <w:rFonts w:asciiTheme="majorHAnsi" w:hAnsiTheme="majorHAnsi" w:cstheme="majorHAnsi"/>
                <w:sz w:val="16"/>
                <w:szCs w:val="16"/>
              </w:rPr>
            </w:pPr>
            <w:r w:rsidRPr="00F47099">
              <w:rPr>
                <w:rFonts w:asciiTheme="majorHAnsi" w:hAnsiTheme="majorHAnsi" w:cstheme="majorHAnsi"/>
                <w:sz w:val="16"/>
                <w:szCs w:val="16"/>
              </w:rPr>
              <w:t>Adiantamento para Futuro Aumento de Capital</w:t>
            </w:r>
          </w:p>
        </w:tc>
        <w:tc>
          <w:tcPr>
            <w:tcW w:w="0" w:type="auto"/>
            <w:tcBorders>
              <w:top w:val="nil"/>
              <w:left w:val="nil"/>
              <w:bottom w:val="single" w:sz="8" w:space="0" w:color="auto"/>
              <w:right w:val="single" w:sz="8" w:space="0" w:color="auto"/>
            </w:tcBorders>
            <w:shd w:val="clear" w:color="auto" w:fill="auto"/>
            <w:noWrap/>
            <w:vAlign w:val="bottom"/>
            <w:hideMark/>
          </w:tcPr>
          <w:p w14:paraId="4D2E2949" w14:textId="77777777" w:rsidR="00F47099" w:rsidRPr="00F47099" w:rsidRDefault="00F47099">
            <w:pPr>
              <w:rPr>
                <w:rFonts w:asciiTheme="majorHAnsi" w:hAnsiTheme="majorHAnsi" w:cstheme="majorHAnsi"/>
                <w:sz w:val="16"/>
                <w:szCs w:val="16"/>
              </w:rPr>
            </w:pPr>
            <w:r w:rsidRPr="00F47099">
              <w:rPr>
                <w:rFonts w:asciiTheme="majorHAnsi" w:hAnsiTheme="majorHAnsi" w:cstheme="majorHAnsi"/>
                <w:sz w:val="16"/>
                <w:szCs w:val="16"/>
              </w:rPr>
              <w:t xml:space="preserve">                              -   </w:t>
            </w:r>
          </w:p>
        </w:tc>
        <w:tc>
          <w:tcPr>
            <w:tcW w:w="0" w:type="auto"/>
            <w:tcBorders>
              <w:top w:val="nil"/>
              <w:left w:val="nil"/>
              <w:bottom w:val="single" w:sz="8" w:space="0" w:color="auto"/>
              <w:right w:val="single" w:sz="8" w:space="0" w:color="auto"/>
            </w:tcBorders>
            <w:shd w:val="clear" w:color="auto" w:fill="auto"/>
            <w:noWrap/>
            <w:vAlign w:val="bottom"/>
            <w:hideMark/>
          </w:tcPr>
          <w:p w14:paraId="7EF2BEB7" w14:textId="77777777" w:rsidR="00F47099" w:rsidRPr="00F47099" w:rsidRDefault="00F47099">
            <w:pPr>
              <w:rPr>
                <w:rFonts w:asciiTheme="majorHAnsi" w:hAnsiTheme="majorHAnsi" w:cstheme="majorHAnsi"/>
                <w:sz w:val="16"/>
                <w:szCs w:val="16"/>
              </w:rPr>
            </w:pPr>
            <w:r w:rsidRPr="00F47099">
              <w:rPr>
                <w:rFonts w:asciiTheme="majorHAnsi" w:hAnsiTheme="majorHAnsi" w:cstheme="majorHAnsi"/>
                <w:sz w:val="16"/>
                <w:szCs w:val="16"/>
              </w:rPr>
              <w:t xml:space="preserve">                      167.934.090 </w:t>
            </w:r>
          </w:p>
        </w:tc>
        <w:tc>
          <w:tcPr>
            <w:tcW w:w="0" w:type="auto"/>
            <w:tcBorders>
              <w:top w:val="nil"/>
              <w:left w:val="nil"/>
              <w:bottom w:val="nil"/>
              <w:right w:val="nil"/>
            </w:tcBorders>
            <w:shd w:val="clear" w:color="auto" w:fill="auto"/>
            <w:noWrap/>
            <w:vAlign w:val="bottom"/>
            <w:hideMark/>
          </w:tcPr>
          <w:p w14:paraId="418B7395" w14:textId="77777777" w:rsidR="00F47099" w:rsidRPr="00F47099" w:rsidRDefault="00F47099">
            <w:pPr>
              <w:rPr>
                <w:rFonts w:asciiTheme="majorHAnsi" w:hAnsiTheme="majorHAnsi" w:cstheme="majorHAnsi"/>
                <w:sz w:val="16"/>
                <w:szCs w:val="16"/>
              </w:rPr>
            </w:pPr>
            <w:r w:rsidRPr="00F47099">
              <w:rPr>
                <w:rFonts w:asciiTheme="majorHAnsi" w:hAnsiTheme="majorHAnsi" w:cstheme="majorHAnsi"/>
                <w:sz w:val="16"/>
                <w:szCs w:val="16"/>
              </w:rPr>
              <w:t xml:space="preserve">                                           -   </w:t>
            </w:r>
          </w:p>
        </w:tc>
        <w:tc>
          <w:tcPr>
            <w:tcW w:w="0" w:type="auto"/>
            <w:tcBorders>
              <w:top w:val="nil"/>
              <w:left w:val="single" w:sz="8" w:space="0" w:color="auto"/>
              <w:bottom w:val="single" w:sz="8" w:space="0" w:color="auto"/>
              <w:right w:val="single" w:sz="8" w:space="0" w:color="auto"/>
            </w:tcBorders>
            <w:shd w:val="clear" w:color="auto" w:fill="auto"/>
            <w:noWrap/>
            <w:vAlign w:val="bottom"/>
            <w:hideMark/>
          </w:tcPr>
          <w:p w14:paraId="1DDDF3C6" w14:textId="77777777" w:rsidR="00F47099" w:rsidRPr="00F47099" w:rsidRDefault="00F47099">
            <w:pPr>
              <w:rPr>
                <w:rFonts w:asciiTheme="majorHAnsi" w:hAnsiTheme="majorHAnsi" w:cstheme="majorHAnsi"/>
                <w:sz w:val="16"/>
                <w:szCs w:val="16"/>
              </w:rPr>
            </w:pPr>
            <w:r w:rsidRPr="00F47099">
              <w:rPr>
                <w:rFonts w:asciiTheme="majorHAnsi" w:hAnsiTheme="majorHAnsi" w:cstheme="majorHAnsi"/>
                <w:sz w:val="16"/>
                <w:szCs w:val="16"/>
              </w:rPr>
              <w:t xml:space="preserve">                                   167.934.090 </w:t>
            </w:r>
          </w:p>
        </w:tc>
      </w:tr>
      <w:tr w:rsidR="00F47099" w:rsidRPr="00F47099" w14:paraId="4EC2FF0E" w14:textId="77777777" w:rsidTr="00F47099">
        <w:trPr>
          <w:trHeight w:hRule="exact" w:val="227"/>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F965D57" w14:textId="77777777" w:rsidR="00F47099" w:rsidRPr="00F47099" w:rsidRDefault="00F47099">
            <w:pPr>
              <w:rPr>
                <w:rFonts w:asciiTheme="majorHAnsi" w:hAnsiTheme="majorHAnsi" w:cstheme="majorHAnsi"/>
                <w:b/>
                <w:bCs/>
                <w:sz w:val="16"/>
                <w:szCs w:val="16"/>
              </w:rPr>
            </w:pPr>
            <w:r w:rsidRPr="00F47099">
              <w:rPr>
                <w:rFonts w:asciiTheme="majorHAnsi" w:hAnsiTheme="majorHAnsi" w:cstheme="majorHAnsi"/>
                <w:b/>
                <w:bCs/>
                <w:sz w:val="16"/>
                <w:szCs w:val="16"/>
              </w:rPr>
              <w:t>Saldo em 30 de junho de 2021</w:t>
            </w:r>
          </w:p>
        </w:tc>
        <w:tc>
          <w:tcPr>
            <w:tcW w:w="0" w:type="auto"/>
            <w:tcBorders>
              <w:top w:val="nil"/>
              <w:left w:val="nil"/>
              <w:bottom w:val="single" w:sz="8" w:space="0" w:color="auto"/>
              <w:right w:val="single" w:sz="8" w:space="0" w:color="auto"/>
            </w:tcBorders>
            <w:shd w:val="clear" w:color="auto" w:fill="auto"/>
            <w:noWrap/>
            <w:vAlign w:val="bottom"/>
            <w:hideMark/>
          </w:tcPr>
          <w:p w14:paraId="2687C134" w14:textId="77777777" w:rsidR="00F47099" w:rsidRPr="00F47099" w:rsidRDefault="00F47099">
            <w:pPr>
              <w:jc w:val="right"/>
              <w:rPr>
                <w:rFonts w:asciiTheme="majorHAnsi" w:hAnsiTheme="majorHAnsi" w:cstheme="majorHAnsi"/>
                <w:b/>
                <w:bCs/>
                <w:sz w:val="16"/>
                <w:szCs w:val="16"/>
              </w:rPr>
            </w:pPr>
            <w:r w:rsidRPr="00F47099">
              <w:rPr>
                <w:rFonts w:asciiTheme="majorHAnsi" w:hAnsiTheme="majorHAnsi" w:cstheme="majorHAnsi"/>
                <w:b/>
                <w:bCs/>
                <w:sz w:val="16"/>
                <w:szCs w:val="16"/>
              </w:rPr>
              <w:t>22.233.502.272</w:t>
            </w:r>
          </w:p>
        </w:tc>
        <w:tc>
          <w:tcPr>
            <w:tcW w:w="0" w:type="auto"/>
            <w:tcBorders>
              <w:top w:val="nil"/>
              <w:left w:val="nil"/>
              <w:bottom w:val="single" w:sz="8" w:space="0" w:color="auto"/>
              <w:right w:val="single" w:sz="8" w:space="0" w:color="auto"/>
            </w:tcBorders>
            <w:shd w:val="clear" w:color="auto" w:fill="auto"/>
            <w:noWrap/>
            <w:vAlign w:val="bottom"/>
            <w:hideMark/>
          </w:tcPr>
          <w:p w14:paraId="410B9F43" w14:textId="77777777" w:rsidR="00F47099" w:rsidRPr="00F47099" w:rsidRDefault="00F47099">
            <w:pPr>
              <w:jc w:val="right"/>
              <w:rPr>
                <w:rFonts w:asciiTheme="majorHAnsi" w:hAnsiTheme="majorHAnsi" w:cstheme="majorHAnsi"/>
                <w:b/>
                <w:bCs/>
                <w:sz w:val="16"/>
                <w:szCs w:val="16"/>
              </w:rPr>
            </w:pPr>
            <w:r w:rsidRPr="00F47099">
              <w:rPr>
                <w:rFonts w:asciiTheme="majorHAnsi" w:hAnsiTheme="majorHAnsi" w:cstheme="majorHAnsi"/>
                <w:b/>
                <w:bCs/>
                <w:sz w:val="16"/>
                <w:szCs w:val="16"/>
              </w:rPr>
              <w:t>1.071.423.997</w:t>
            </w:r>
          </w:p>
        </w:tc>
        <w:tc>
          <w:tcPr>
            <w:tcW w:w="0" w:type="auto"/>
            <w:tcBorders>
              <w:top w:val="single" w:sz="8" w:space="0" w:color="auto"/>
              <w:left w:val="nil"/>
              <w:bottom w:val="single" w:sz="8" w:space="0" w:color="auto"/>
              <w:right w:val="nil"/>
            </w:tcBorders>
            <w:shd w:val="clear" w:color="auto" w:fill="auto"/>
            <w:noWrap/>
            <w:vAlign w:val="bottom"/>
            <w:hideMark/>
          </w:tcPr>
          <w:p w14:paraId="75E9B018" w14:textId="77777777" w:rsidR="00F47099" w:rsidRPr="00F47099" w:rsidRDefault="00F47099">
            <w:pPr>
              <w:rPr>
                <w:rFonts w:asciiTheme="majorHAnsi" w:hAnsiTheme="majorHAnsi" w:cstheme="majorHAnsi"/>
                <w:b/>
                <w:bCs/>
                <w:sz w:val="16"/>
                <w:szCs w:val="16"/>
              </w:rPr>
            </w:pPr>
            <w:r w:rsidRPr="00F47099">
              <w:rPr>
                <w:rFonts w:asciiTheme="majorHAnsi" w:hAnsiTheme="majorHAnsi" w:cstheme="majorHAnsi"/>
                <w:b/>
                <w:bCs/>
                <w:sz w:val="16"/>
                <w:szCs w:val="16"/>
              </w:rPr>
              <w:t xml:space="preserve">              (20.313.384.181)</w:t>
            </w:r>
          </w:p>
        </w:tc>
        <w:tc>
          <w:tcPr>
            <w:tcW w:w="0" w:type="auto"/>
            <w:tcBorders>
              <w:top w:val="nil"/>
              <w:left w:val="single" w:sz="8" w:space="0" w:color="auto"/>
              <w:bottom w:val="single" w:sz="8" w:space="0" w:color="auto"/>
              <w:right w:val="single" w:sz="8" w:space="0" w:color="auto"/>
            </w:tcBorders>
            <w:shd w:val="clear" w:color="auto" w:fill="auto"/>
            <w:noWrap/>
            <w:vAlign w:val="bottom"/>
            <w:hideMark/>
          </w:tcPr>
          <w:p w14:paraId="211571FF" w14:textId="77777777" w:rsidR="00F47099" w:rsidRPr="00F47099" w:rsidRDefault="00F47099">
            <w:pPr>
              <w:jc w:val="right"/>
              <w:rPr>
                <w:rFonts w:asciiTheme="majorHAnsi" w:hAnsiTheme="majorHAnsi" w:cstheme="majorHAnsi"/>
                <w:b/>
                <w:bCs/>
                <w:sz w:val="16"/>
                <w:szCs w:val="16"/>
              </w:rPr>
            </w:pPr>
            <w:r w:rsidRPr="00F47099">
              <w:rPr>
                <w:rFonts w:asciiTheme="majorHAnsi" w:hAnsiTheme="majorHAnsi" w:cstheme="majorHAnsi"/>
                <w:b/>
                <w:bCs/>
                <w:sz w:val="16"/>
                <w:szCs w:val="16"/>
              </w:rPr>
              <w:t>2.991.542.089</w:t>
            </w:r>
          </w:p>
        </w:tc>
      </w:tr>
      <w:tr w:rsidR="00F47099" w:rsidRPr="00F47099" w14:paraId="3A4D4A73" w14:textId="77777777" w:rsidTr="00F47099">
        <w:trPr>
          <w:trHeight w:hRule="exact" w:val="227"/>
        </w:trPr>
        <w:tc>
          <w:tcPr>
            <w:tcW w:w="0" w:type="auto"/>
            <w:tcBorders>
              <w:top w:val="nil"/>
              <w:left w:val="nil"/>
              <w:bottom w:val="nil"/>
              <w:right w:val="nil"/>
            </w:tcBorders>
            <w:shd w:val="clear" w:color="auto" w:fill="auto"/>
            <w:noWrap/>
            <w:vAlign w:val="bottom"/>
            <w:hideMark/>
          </w:tcPr>
          <w:p w14:paraId="29BF9780" w14:textId="77777777" w:rsidR="00F47099" w:rsidRPr="00F47099" w:rsidRDefault="00F47099">
            <w:pPr>
              <w:jc w:val="right"/>
              <w:rPr>
                <w:rFonts w:asciiTheme="majorHAnsi" w:hAnsiTheme="majorHAnsi" w:cstheme="majorHAnsi"/>
                <w:b/>
                <w:bCs/>
                <w:sz w:val="16"/>
                <w:szCs w:val="16"/>
              </w:rPr>
            </w:pPr>
          </w:p>
        </w:tc>
        <w:tc>
          <w:tcPr>
            <w:tcW w:w="0" w:type="auto"/>
            <w:tcBorders>
              <w:top w:val="nil"/>
              <w:left w:val="nil"/>
              <w:bottom w:val="nil"/>
              <w:right w:val="nil"/>
            </w:tcBorders>
            <w:shd w:val="clear" w:color="auto" w:fill="auto"/>
            <w:noWrap/>
            <w:vAlign w:val="bottom"/>
            <w:hideMark/>
          </w:tcPr>
          <w:p w14:paraId="3623D40E" w14:textId="77777777" w:rsidR="00F47099" w:rsidRPr="00F47099" w:rsidRDefault="00F47099">
            <w:pPr>
              <w:rPr>
                <w:rFonts w:asciiTheme="majorHAnsi" w:hAnsiTheme="majorHAnsi" w:cstheme="majorHAnsi"/>
                <w:sz w:val="16"/>
                <w:szCs w:val="16"/>
              </w:rPr>
            </w:pPr>
          </w:p>
        </w:tc>
        <w:tc>
          <w:tcPr>
            <w:tcW w:w="0" w:type="auto"/>
            <w:tcBorders>
              <w:top w:val="nil"/>
              <w:left w:val="nil"/>
              <w:bottom w:val="nil"/>
              <w:right w:val="nil"/>
            </w:tcBorders>
            <w:shd w:val="clear" w:color="auto" w:fill="auto"/>
            <w:noWrap/>
            <w:vAlign w:val="bottom"/>
            <w:hideMark/>
          </w:tcPr>
          <w:p w14:paraId="178AECAA" w14:textId="77777777" w:rsidR="00F47099" w:rsidRPr="00F47099" w:rsidRDefault="00F47099">
            <w:pPr>
              <w:jc w:val="right"/>
              <w:rPr>
                <w:rFonts w:asciiTheme="majorHAnsi" w:hAnsiTheme="majorHAnsi" w:cstheme="majorHAnsi"/>
                <w:sz w:val="16"/>
                <w:szCs w:val="16"/>
              </w:rPr>
            </w:pPr>
          </w:p>
        </w:tc>
        <w:tc>
          <w:tcPr>
            <w:tcW w:w="0" w:type="auto"/>
            <w:tcBorders>
              <w:top w:val="nil"/>
              <w:left w:val="nil"/>
              <w:bottom w:val="nil"/>
              <w:right w:val="nil"/>
            </w:tcBorders>
            <w:shd w:val="clear" w:color="auto" w:fill="auto"/>
            <w:noWrap/>
            <w:vAlign w:val="bottom"/>
            <w:hideMark/>
          </w:tcPr>
          <w:p w14:paraId="47A5E57D" w14:textId="77777777" w:rsidR="00F47099" w:rsidRPr="00F47099" w:rsidRDefault="00F47099">
            <w:pPr>
              <w:jc w:val="right"/>
              <w:rPr>
                <w:rFonts w:asciiTheme="majorHAnsi" w:hAnsiTheme="majorHAnsi" w:cstheme="majorHAnsi"/>
                <w:sz w:val="16"/>
                <w:szCs w:val="16"/>
              </w:rPr>
            </w:pPr>
          </w:p>
        </w:tc>
        <w:tc>
          <w:tcPr>
            <w:tcW w:w="0" w:type="auto"/>
            <w:tcBorders>
              <w:top w:val="nil"/>
              <w:left w:val="nil"/>
              <w:bottom w:val="nil"/>
              <w:right w:val="nil"/>
            </w:tcBorders>
            <w:shd w:val="clear" w:color="auto" w:fill="auto"/>
            <w:noWrap/>
            <w:vAlign w:val="bottom"/>
            <w:hideMark/>
          </w:tcPr>
          <w:p w14:paraId="4261BAEF" w14:textId="77777777" w:rsidR="00F47099" w:rsidRPr="00F47099" w:rsidRDefault="00F47099">
            <w:pPr>
              <w:jc w:val="right"/>
              <w:rPr>
                <w:rFonts w:asciiTheme="majorHAnsi" w:hAnsiTheme="majorHAnsi" w:cstheme="majorHAnsi"/>
                <w:sz w:val="16"/>
                <w:szCs w:val="16"/>
              </w:rPr>
            </w:pPr>
          </w:p>
        </w:tc>
      </w:tr>
      <w:tr w:rsidR="00F47099" w:rsidRPr="00F47099" w14:paraId="11E43145" w14:textId="77777777" w:rsidTr="00F47099">
        <w:trPr>
          <w:trHeight w:hRule="exact" w:val="227"/>
        </w:trPr>
        <w:tc>
          <w:tcPr>
            <w:tcW w:w="0" w:type="auto"/>
            <w:tcBorders>
              <w:top w:val="nil"/>
              <w:left w:val="nil"/>
              <w:bottom w:val="nil"/>
              <w:right w:val="nil"/>
            </w:tcBorders>
            <w:shd w:val="clear" w:color="auto" w:fill="auto"/>
            <w:noWrap/>
            <w:vAlign w:val="bottom"/>
            <w:hideMark/>
          </w:tcPr>
          <w:p w14:paraId="422DFFA2" w14:textId="77777777" w:rsidR="00F47099" w:rsidRPr="00F47099" w:rsidRDefault="00F47099">
            <w:pPr>
              <w:jc w:val="right"/>
              <w:rPr>
                <w:rFonts w:asciiTheme="majorHAnsi" w:hAnsiTheme="majorHAnsi" w:cstheme="majorHAnsi"/>
                <w:sz w:val="16"/>
                <w:szCs w:val="16"/>
              </w:rPr>
            </w:pPr>
          </w:p>
        </w:tc>
        <w:tc>
          <w:tcPr>
            <w:tcW w:w="0" w:type="auto"/>
            <w:tcBorders>
              <w:top w:val="nil"/>
              <w:left w:val="nil"/>
              <w:bottom w:val="nil"/>
              <w:right w:val="nil"/>
            </w:tcBorders>
            <w:shd w:val="clear" w:color="auto" w:fill="auto"/>
            <w:noWrap/>
            <w:vAlign w:val="bottom"/>
            <w:hideMark/>
          </w:tcPr>
          <w:p w14:paraId="79B4CC3B" w14:textId="77777777" w:rsidR="00F47099" w:rsidRPr="00F47099" w:rsidRDefault="00F47099">
            <w:pPr>
              <w:rPr>
                <w:rFonts w:asciiTheme="majorHAnsi" w:hAnsiTheme="majorHAnsi" w:cstheme="majorHAnsi"/>
                <w:sz w:val="16"/>
                <w:szCs w:val="16"/>
              </w:rPr>
            </w:pPr>
          </w:p>
        </w:tc>
        <w:tc>
          <w:tcPr>
            <w:tcW w:w="0" w:type="auto"/>
            <w:tcBorders>
              <w:top w:val="nil"/>
              <w:left w:val="nil"/>
              <w:bottom w:val="nil"/>
              <w:right w:val="nil"/>
            </w:tcBorders>
            <w:shd w:val="clear" w:color="auto" w:fill="auto"/>
            <w:noWrap/>
            <w:vAlign w:val="bottom"/>
            <w:hideMark/>
          </w:tcPr>
          <w:p w14:paraId="280BE03B" w14:textId="77777777" w:rsidR="00F47099" w:rsidRPr="00F47099" w:rsidRDefault="00F47099">
            <w:pPr>
              <w:jc w:val="right"/>
              <w:rPr>
                <w:rFonts w:asciiTheme="majorHAnsi" w:hAnsiTheme="majorHAnsi" w:cstheme="majorHAnsi"/>
                <w:sz w:val="16"/>
                <w:szCs w:val="16"/>
              </w:rPr>
            </w:pPr>
          </w:p>
        </w:tc>
        <w:tc>
          <w:tcPr>
            <w:tcW w:w="0" w:type="auto"/>
            <w:tcBorders>
              <w:top w:val="nil"/>
              <w:left w:val="nil"/>
              <w:bottom w:val="nil"/>
              <w:right w:val="nil"/>
            </w:tcBorders>
            <w:shd w:val="clear" w:color="auto" w:fill="auto"/>
            <w:noWrap/>
            <w:vAlign w:val="bottom"/>
            <w:hideMark/>
          </w:tcPr>
          <w:p w14:paraId="6AA60761" w14:textId="77777777" w:rsidR="00F47099" w:rsidRPr="00F47099" w:rsidRDefault="00F47099">
            <w:pPr>
              <w:jc w:val="right"/>
              <w:rPr>
                <w:rFonts w:asciiTheme="majorHAnsi" w:hAnsiTheme="majorHAnsi" w:cstheme="majorHAnsi"/>
                <w:sz w:val="16"/>
                <w:szCs w:val="16"/>
              </w:rPr>
            </w:pPr>
          </w:p>
        </w:tc>
        <w:tc>
          <w:tcPr>
            <w:tcW w:w="0" w:type="auto"/>
            <w:tcBorders>
              <w:top w:val="nil"/>
              <w:left w:val="nil"/>
              <w:bottom w:val="nil"/>
              <w:right w:val="nil"/>
            </w:tcBorders>
            <w:shd w:val="clear" w:color="auto" w:fill="auto"/>
            <w:noWrap/>
            <w:vAlign w:val="bottom"/>
            <w:hideMark/>
          </w:tcPr>
          <w:p w14:paraId="7E760D2B" w14:textId="77777777" w:rsidR="00F47099" w:rsidRPr="00F47099" w:rsidRDefault="00F47099">
            <w:pPr>
              <w:jc w:val="right"/>
              <w:rPr>
                <w:rFonts w:asciiTheme="majorHAnsi" w:hAnsiTheme="majorHAnsi" w:cstheme="majorHAnsi"/>
                <w:sz w:val="16"/>
                <w:szCs w:val="16"/>
              </w:rPr>
            </w:pPr>
          </w:p>
        </w:tc>
      </w:tr>
      <w:tr w:rsidR="00F47099" w:rsidRPr="00F47099" w14:paraId="412AE0EF" w14:textId="77777777" w:rsidTr="00F47099">
        <w:trPr>
          <w:trHeight w:hRule="exact" w:val="227"/>
        </w:trPr>
        <w:tc>
          <w:tcPr>
            <w:tcW w:w="0" w:type="auto"/>
            <w:tcBorders>
              <w:top w:val="single" w:sz="8" w:space="0" w:color="auto"/>
              <w:left w:val="single" w:sz="8" w:space="0" w:color="auto"/>
              <w:bottom w:val="nil"/>
              <w:right w:val="single" w:sz="8" w:space="0" w:color="auto"/>
            </w:tcBorders>
            <w:shd w:val="clear" w:color="auto" w:fill="auto"/>
            <w:noWrap/>
            <w:vAlign w:val="bottom"/>
            <w:hideMark/>
          </w:tcPr>
          <w:p w14:paraId="7A42E746" w14:textId="77777777" w:rsidR="00F47099" w:rsidRPr="00F47099" w:rsidRDefault="00F47099">
            <w:pPr>
              <w:jc w:val="center"/>
              <w:rPr>
                <w:rFonts w:asciiTheme="majorHAnsi" w:hAnsiTheme="majorHAnsi" w:cstheme="majorHAnsi"/>
                <w:b/>
                <w:bCs/>
                <w:sz w:val="16"/>
                <w:szCs w:val="16"/>
              </w:rPr>
            </w:pPr>
            <w:r w:rsidRPr="00F47099">
              <w:rPr>
                <w:rFonts w:asciiTheme="majorHAnsi" w:hAnsiTheme="majorHAnsi" w:cstheme="majorHAnsi"/>
                <w:b/>
                <w:bCs/>
                <w:sz w:val="16"/>
                <w:szCs w:val="16"/>
              </w:rPr>
              <w:t> </w:t>
            </w:r>
          </w:p>
        </w:tc>
        <w:tc>
          <w:tcPr>
            <w:tcW w:w="0" w:type="auto"/>
            <w:tcBorders>
              <w:top w:val="single" w:sz="8" w:space="0" w:color="auto"/>
              <w:left w:val="nil"/>
              <w:bottom w:val="nil"/>
              <w:right w:val="single" w:sz="8" w:space="0" w:color="auto"/>
            </w:tcBorders>
            <w:shd w:val="clear" w:color="auto" w:fill="auto"/>
            <w:noWrap/>
            <w:vAlign w:val="bottom"/>
            <w:hideMark/>
          </w:tcPr>
          <w:p w14:paraId="73AF6602" w14:textId="77777777" w:rsidR="00F47099" w:rsidRPr="00F47099" w:rsidRDefault="00F47099">
            <w:pPr>
              <w:jc w:val="center"/>
              <w:rPr>
                <w:rFonts w:asciiTheme="majorHAnsi" w:hAnsiTheme="majorHAnsi" w:cstheme="majorHAnsi"/>
                <w:b/>
                <w:bCs/>
                <w:sz w:val="16"/>
                <w:szCs w:val="16"/>
              </w:rPr>
            </w:pPr>
            <w:r w:rsidRPr="00F47099">
              <w:rPr>
                <w:rFonts w:asciiTheme="majorHAnsi" w:hAnsiTheme="majorHAnsi" w:cstheme="majorHAnsi"/>
                <w:b/>
                <w:bCs/>
                <w:sz w:val="16"/>
                <w:szCs w:val="16"/>
              </w:rPr>
              <w:t>Capital</w:t>
            </w:r>
          </w:p>
        </w:tc>
        <w:tc>
          <w:tcPr>
            <w:tcW w:w="0" w:type="auto"/>
            <w:tcBorders>
              <w:top w:val="single" w:sz="8" w:space="0" w:color="auto"/>
              <w:left w:val="nil"/>
              <w:bottom w:val="nil"/>
              <w:right w:val="single" w:sz="8" w:space="0" w:color="auto"/>
            </w:tcBorders>
            <w:shd w:val="clear" w:color="auto" w:fill="auto"/>
            <w:noWrap/>
            <w:vAlign w:val="bottom"/>
            <w:hideMark/>
          </w:tcPr>
          <w:p w14:paraId="2AE9450D" w14:textId="77777777" w:rsidR="00F47099" w:rsidRPr="00F47099" w:rsidRDefault="00F47099">
            <w:pPr>
              <w:jc w:val="center"/>
              <w:rPr>
                <w:rFonts w:asciiTheme="majorHAnsi" w:hAnsiTheme="majorHAnsi" w:cstheme="majorHAnsi"/>
                <w:b/>
                <w:bCs/>
                <w:sz w:val="16"/>
                <w:szCs w:val="16"/>
              </w:rPr>
            </w:pPr>
            <w:r w:rsidRPr="00F47099">
              <w:rPr>
                <w:rFonts w:asciiTheme="majorHAnsi" w:hAnsiTheme="majorHAnsi" w:cstheme="majorHAnsi"/>
                <w:b/>
                <w:bCs/>
                <w:sz w:val="16"/>
                <w:szCs w:val="16"/>
              </w:rPr>
              <w:t>Adiantamento</w:t>
            </w:r>
          </w:p>
        </w:tc>
        <w:tc>
          <w:tcPr>
            <w:tcW w:w="0" w:type="auto"/>
            <w:tcBorders>
              <w:top w:val="single" w:sz="8" w:space="0" w:color="auto"/>
              <w:left w:val="nil"/>
              <w:bottom w:val="nil"/>
              <w:right w:val="single" w:sz="8" w:space="0" w:color="auto"/>
            </w:tcBorders>
            <w:shd w:val="clear" w:color="auto" w:fill="auto"/>
            <w:noWrap/>
            <w:vAlign w:val="bottom"/>
            <w:hideMark/>
          </w:tcPr>
          <w:p w14:paraId="520AD3F8" w14:textId="77777777" w:rsidR="00F47099" w:rsidRPr="00F47099" w:rsidRDefault="00F47099">
            <w:pPr>
              <w:jc w:val="center"/>
              <w:rPr>
                <w:rFonts w:asciiTheme="majorHAnsi" w:hAnsiTheme="majorHAnsi" w:cstheme="majorHAnsi"/>
                <w:b/>
                <w:bCs/>
                <w:sz w:val="16"/>
                <w:szCs w:val="16"/>
              </w:rPr>
            </w:pPr>
            <w:r w:rsidRPr="00F47099">
              <w:rPr>
                <w:rFonts w:asciiTheme="majorHAnsi" w:hAnsiTheme="majorHAnsi" w:cstheme="majorHAnsi"/>
                <w:b/>
                <w:bCs/>
                <w:sz w:val="16"/>
                <w:szCs w:val="16"/>
              </w:rPr>
              <w:t>Lucros ou</w:t>
            </w:r>
          </w:p>
        </w:tc>
        <w:tc>
          <w:tcPr>
            <w:tcW w:w="0" w:type="auto"/>
            <w:tcBorders>
              <w:top w:val="single" w:sz="8" w:space="0" w:color="auto"/>
              <w:left w:val="nil"/>
              <w:bottom w:val="nil"/>
              <w:right w:val="single" w:sz="8" w:space="0" w:color="auto"/>
            </w:tcBorders>
            <w:shd w:val="clear" w:color="auto" w:fill="auto"/>
            <w:noWrap/>
            <w:vAlign w:val="bottom"/>
            <w:hideMark/>
          </w:tcPr>
          <w:p w14:paraId="0472BF8B" w14:textId="77777777" w:rsidR="00F47099" w:rsidRPr="00F47099" w:rsidRDefault="00F47099">
            <w:pPr>
              <w:jc w:val="center"/>
              <w:rPr>
                <w:rFonts w:asciiTheme="majorHAnsi" w:hAnsiTheme="majorHAnsi" w:cstheme="majorHAnsi"/>
                <w:b/>
                <w:bCs/>
                <w:sz w:val="16"/>
                <w:szCs w:val="16"/>
              </w:rPr>
            </w:pPr>
            <w:r w:rsidRPr="00F47099">
              <w:rPr>
                <w:rFonts w:asciiTheme="majorHAnsi" w:hAnsiTheme="majorHAnsi" w:cstheme="majorHAnsi"/>
                <w:b/>
                <w:bCs/>
                <w:sz w:val="16"/>
                <w:szCs w:val="16"/>
              </w:rPr>
              <w:t> </w:t>
            </w:r>
          </w:p>
        </w:tc>
      </w:tr>
      <w:tr w:rsidR="00F47099" w:rsidRPr="00F47099" w14:paraId="7A6EB5DD" w14:textId="77777777" w:rsidTr="00F47099">
        <w:trPr>
          <w:trHeight w:hRule="exact" w:val="227"/>
        </w:trPr>
        <w:tc>
          <w:tcPr>
            <w:tcW w:w="0" w:type="auto"/>
            <w:tcBorders>
              <w:top w:val="nil"/>
              <w:left w:val="single" w:sz="8" w:space="0" w:color="auto"/>
              <w:bottom w:val="nil"/>
              <w:right w:val="single" w:sz="8" w:space="0" w:color="auto"/>
            </w:tcBorders>
            <w:shd w:val="clear" w:color="auto" w:fill="auto"/>
            <w:noWrap/>
            <w:vAlign w:val="bottom"/>
            <w:hideMark/>
          </w:tcPr>
          <w:p w14:paraId="2503F576" w14:textId="77777777" w:rsidR="00F47099" w:rsidRPr="00F47099" w:rsidRDefault="00F47099">
            <w:pPr>
              <w:rPr>
                <w:rFonts w:asciiTheme="majorHAnsi" w:hAnsiTheme="majorHAnsi" w:cstheme="majorHAnsi"/>
                <w:sz w:val="16"/>
                <w:szCs w:val="16"/>
              </w:rPr>
            </w:pPr>
            <w:r w:rsidRPr="00F47099">
              <w:rPr>
                <w:rFonts w:asciiTheme="majorHAnsi" w:hAnsiTheme="majorHAnsi" w:cstheme="majorHAnsi"/>
                <w:sz w:val="16"/>
                <w:szCs w:val="16"/>
              </w:rPr>
              <w:t xml:space="preserve">                        </w:t>
            </w:r>
            <w:r w:rsidRPr="00F47099">
              <w:rPr>
                <w:rFonts w:asciiTheme="majorHAnsi" w:hAnsiTheme="majorHAnsi" w:cstheme="majorHAnsi"/>
                <w:b/>
                <w:bCs/>
                <w:sz w:val="16"/>
                <w:szCs w:val="16"/>
              </w:rPr>
              <w:t>Classificação</w:t>
            </w:r>
          </w:p>
        </w:tc>
        <w:tc>
          <w:tcPr>
            <w:tcW w:w="0" w:type="auto"/>
            <w:tcBorders>
              <w:top w:val="nil"/>
              <w:left w:val="nil"/>
              <w:bottom w:val="nil"/>
              <w:right w:val="single" w:sz="8" w:space="0" w:color="auto"/>
            </w:tcBorders>
            <w:shd w:val="clear" w:color="auto" w:fill="auto"/>
            <w:noWrap/>
            <w:vAlign w:val="bottom"/>
            <w:hideMark/>
          </w:tcPr>
          <w:p w14:paraId="23EC7208" w14:textId="77777777" w:rsidR="00F47099" w:rsidRPr="00F47099" w:rsidRDefault="00F47099">
            <w:pPr>
              <w:jc w:val="center"/>
              <w:rPr>
                <w:rFonts w:asciiTheme="majorHAnsi" w:hAnsiTheme="majorHAnsi" w:cstheme="majorHAnsi"/>
                <w:b/>
                <w:bCs/>
                <w:sz w:val="16"/>
                <w:szCs w:val="16"/>
              </w:rPr>
            </w:pPr>
            <w:r w:rsidRPr="00F47099">
              <w:rPr>
                <w:rFonts w:asciiTheme="majorHAnsi" w:hAnsiTheme="majorHAnsi" w:cstheme="majorHAnsi"/>
                <w:b/>
                <w:bCs/>
                <w:sz w:val="16"/>
                <w:szCs w:val="16"/>
              </w:rPr>
              <w:t>Social</w:t>
            </w:r>
          </w:p>
        </w:tc>
        <w:tc>
          <w:tcPr>
            <w:tcW w:w="0" w:type="auto"/>
            <w:tcBorders>
              <w:top w:val="nil"/>
              <w:left w:val="nil"/>
              <w:bottom w:val="nil"/>
              <w:right w:val="single" w:sz="8" w:space="0" w:color="auto"/>
            </w:tcBorders>
            <w:shd w:val="clear" w:color="auto" w:fill="auto"/>
            <w:noWrap/>
            <w:vAlign w:val="bottom"/>
            <w:hideMark/>
          </w:tcPr>
          <w:p w14:paraId="40DF5F4B" w14:textId="77777777" w:rsidR="00F47099" w:rsidRPr="00F47099" w:rsidRDefault="00F47099">
            <w:pPr>
              <w:jc w:val="center"/>
              <w:rPr>
                <w:rFonts w:asciiTheme="majorHAnsi" w:hAnsiTheme="majorHAnsi" w:cstheme="majorHAnsi"/>
                <w:b/>
                <w:bCs/>
                <w:sz w:val="16"/>
                <w:szCs w:val="16"/>
              </w:rPr>
            </w:pPr>
            <w:r w:rsidRPr="00F47099">
              <w:rPr>
                <w:rFonts w:asciiTheme="majorHAnsi" w:hAnsiTheme="majorHAnsi" w:cstheme="majorHAnsi"/>
                <w:b/>
                <w:bCs/>
                <w:sz w:val="16"/>
                <w:szCs w:val="16"/>
              </w:rPr>
              <w:t>para Futuro Aumento</w:t>
            </w:r>
          </w:p>
        </w:tc>
        <w:tc>
          <w:tcPr>
            <w:tcW w:w="0" w:type="auto"/>
            <w:tcBorders>
              <w:top w:val="nil"/>
              <w:left w:val="nil"/>
              <w:bottom w:val="nil"/>
              <w:right w:val="single" w:sz="8" w:space="0" w:color="auto"/>
            </w:tcBorders>
            <w:shd w:val="clear" w:color="auto" w:fill="auto"/>
            <w:noWrap/>
            <w:vAlign w:val="bottom"/>
            <w:hideMark/>
          </w:tcPr>
          <w:p w14:paraId="54579789" w14:textId="77777777" w:rsidR="00F47099" w:rsidRPr="00F47099" w:rsidRDefault="00F47099">
            <w:pPr>
              <w:jc w:val="center"/>
              <w:rPr>
                <w:rFonts w:asciiTheme="majorHAnsi" w:hAnsiTheme="majorHAnsi" w:cstheme="majorHAnsi"/>
                <w:b/>
                <w:bCs/>
                <w:sz w:val="16"/>
                <w:szCs w:val="16"/>
              </w:rPr>
            </w:pPr>
            <w:r w:rsidRPr="00F47099">
              <w:rPr>
                <w:rFonts w:asciiTheme="majorHAnsi" w:hAnsiTheme="majorHAnsi" w:cstheme="majorHAnsi"/>
                <w:b/>
                <w:bCs/>
                <w:sz w:val="16"/>
                <w:szCs w:val="16"/>
              </w:rPr>
              <w:t>Prejuízos</w:t>
            </w:r>
          </w:p>
        </w:tc>
        <w:tc>
          <w:tcPr>
            <w:tcW w:w="0" w:type="auto"/>
            <w:tcBorders>
              <w:top w:val="nil"/>
              <w:left w:val="nil"/>
              <w:bottom w:val="nil"/>
              <w:right w:val="single" w:sz="8" w:space="0" w:color="auto"/>
            </w:tcBorders>
            <w:shd w:val="clear" w:color="auto" w:fill="auto"/>
            <w:noWrap/>
            <w:vAlign w:val="bottom"/>
            <w:hideMark/>
          </w:tcPr>
          <w:p w14:paraId="3F5D5410" w14:textId="77777777" w:rsidR="00F47099" w:rsidRPr="00F47099" w:rsidRDefault="00F47099">
            <w:pPr>
              <w:jc w:val="center"/>
              <w:rPr>
                <w:rFonts w:asciiTheme="majorHAnsi" w:hAnsiTheme="majorHAnsi" w:cstheme="majorHAnsi"/>
                <w:b/>
                <w:bCs/>
                <w:sz w:val="16"/>
                <w:szCs w:val="16"/>
              </w:rPr>
            </w:pPr>
            <w:r w:rsidRPr="00F47099">
              <w:rPr>
                <w:rFonts w:asciiTheme="majorHAnsi" w:hAnsiTheme="majorHAnsi" w:cstheme="majorHAnsi"/>
                <w:b/>
                <w:bCs/>
                <w:sz w:val="16"/>
                <w:szCs w:val="16"/>
              </w:rPr>
              <w:t>Total</w:t>
            </w:r>
          </w:p>
        </w:tc>
      </w:tr>
      <w:tr w:rsidR="00F47099" w:rsidRPr="00F47099" w14:paraId="6FB945BD" w14:textId="77777777" w:rsidTr="00F47099">
        <w:trPr>
          <w:trHeight w:hRule="exact" w:val="227"/>
        </w:trPr>
        <w:tc>
          <w:tcPr>
            <w:tcW w:w="0" w:type="auto"/>
            <w:tcBorders>
              <w:top w:val="nil"/>
              <w:left w:val="single" w:sz="8" w:space="0" w:color="auto"/>
              <w:bottom w:val="single" w:sz="4" w:space="0" w:color="auto"/>
              <w:right w:val="single" w:sz="8" w:space="0" w:color="auto"/>
            </w:tcBorders>
            <w:shd w:val="clear" w:color="auto" w:fill="auto"/>
            <w:noWrap/>
            <w:vAlign w:val="bottom"/>
            <w:hideMark/>
          </w:tcPr>
          <w:p w14:paraId="0443C724" w14:textId="77777777" w:rsidR="00F47099" w:rsidRPr="00F47099" w:rsidRDefault="00F47099">
            <w:pPr>
              <w:rPr>
                <w:rFonts w:asciiTheme="majorHAnsi" w:hAnsiTheme="majorHAnsi" w:cstheme="majorHAnsi"/>
                <w:sz w:val="16"/>
                <w:szCs w:val="16"/>
              </w:rPr>
            </w:pPr>
            <w:r w:rsidRPr="00F47099">
              <w:rPr>
                <w:rFonts w:asciiTheme="majorHAnsi" w:hAnsiTheme="majorHAnsi" w:cstheme="majorHAnsi"/>
                <w:sz w:val="16"/>
                <w:szCs w:val="16"/>
              </w:rPr>
              <w:t> </w:t>
            </w:r>
          </w:p>
        </w:tc>
        <w:tc>
          <w:tcPr>
            <w:tcW w:w="0" w:type="auto"/>
            <w:tcBorders>
              <w:top w:val="nil"/>
              <w:left w:val="nil"/>
              <w:bottom w:val="nil"/>
              <w:right w:val="single" w:sz="8" w:space="0" w:color="auto"/>
            </w:tcBorders>
            <w:shd w:val="clear" w:color="auto" w:fill="auto"/>
            <w:noWrap/>
            <w:vAlign w:val="bottom"/>
            <w:hideMark/>
          </w:tcPr>
          <w:p w14:paraId="373B5A43" w14:textId="77777777" w:rsidR="00F47099" w:rsidRPr="00F47099" w:rsidRDefault="00F47099">
            <w:pPr>
              <w:rPr>
                <w:rFonts w:asciiTheme="majorHAnsi" w:hAnsiTheme="majorHAnsi" w:cstheme="majorHAnsi"/>
                <w:sz w:val="16"/>
                <w:szCs w:val="16"/>
              </w:rPr>
            </w:pPr>
            <w:r w:rsidRPr="00F47099">
              <w:rPr>
                <w:rFonts w:asciiTheme="majorHAnsi" w:hAnsiTheme="majorHAnsi" w:cstheme="majorHAnsi"/>
                <w:sz w:val="16"/>
                <w:szCs w:val="16"/>
              </w:rPr>
              <w:t> </w:t>
            </w:r>
          </w:p>
        </w:tc>
        <w:tc>
          <w:tcPr>
            <w:tcW w:w="0" w:type="auto"/>
            <w:tcBorders>
              <w:top w:val="nil"/>
              <w:left w:val="nil"/>
              <w:bottom w:val="nil"/>
              <w:right w:val="single" w:sz="8" w:space="0" w:color="auto"/>
            </w:tcBorders>
            <w:shd w:val="clear" w:color="auto" w:fill="auto"/>
            <w:noWrap/>
            <w:vAlign w:val="bottom"/>
            <w:hideMark/>
          </w:tcPr>
          <w:p w14:paraId="7B02A04A" w14:textId="77777777" w:rsidR="00F47099" w:rsidRPr="00F47099" w:rsidRDefault="00F47099">
            <w:pPr>
              <w:jc w:val="center"/>
              <w:rPr>
                <w:rFonts w:asciiTheme="majorHAnsi" w:hAnsiTheme="majorHAnsi" w:cstheme="majorHAnsi"/>
                <w:b/>
                <w:bCs/>
                <w:sz w:val="16"/>
                <w:szCs w:val="16"/>
              </w:rPr>
            </w:pPr>
            <w:r w:rsidRPr="00F47099">
              <w:rPr>
                <w:rFonts w:asciiTheme="majorHAnsi" w:hAnsiTheme="majorHAnsi" w:cstheme="majorHAnsi"/>
                <w:b/>
                <w:bCs/>
                <w:sz w:val="16"/>
                <w:szCs w:val="16"/>
              </w:rPr>
              <w:t>de Capital</w:t>
            </w:r>
          </w:p>
        </w:tc>
        <w:tc>
          <w:tcPr>
            <w:tcW w:w="0" w:type="auto"/>
            <w:tcBorders>
              <w:top w:val="nil"/>
              <w:left w:val="nil"/>
              <w:bottom w:val="nil"/>
              <w:right w:val="single" w:sz="8" w:space="0" w:color="auto"/>
            </w:tcBorders>
            <w:shd w:val="clear" w:color="auto" w:fill="auto"/>
            <w:noWrap/>
            <w:vAlign w:val="bottom"/>
            <w:hideMark/>
          </w:tcPr>
          <w:p w14:paraId="2ECC42ED" w14:textId="77777777" w:rsidR="00F47099" w:rsidRPr="00F47099" w:rsidRDefault="00F47099">
            <w:pPr>
              <w:jc w:val="center"/>
              <w:rPr>
                <w:rFonts w:asciiTheme="majorHAnsi" w:hAnsiTheme="majorHAnsi" w:cstheme="majorHAnsi"/>
                <w:b/>
                <w:bCs/>
                <w:sz w:val="16"/>
                <w:szCs w:val="16"/>
              </w:rPr>
            </w:pPr>
            <w:r w:rsidRPr="00F47099">
              <w:rPr>
                <w:rFonts w:asciiTheme="majorHAnsi" w:hAnsiTheme="majorHAnsi" w:cstheme="majorHAnsi"/>
                <w:b/>
                <w:bCs/>
                <w:sz w:val="16"/>
                <w:szCs w:val="16"/>
              </w:rPr>
              <w:t>Acumulados</w:t>
            </w:r>
          </w:p>
        </w:tc>
        <w:tc>
          <w:tcPr>
            <w:tcW w:w="0" w:type="auto"/>
            <w:tcBorders>
              <w:top w:val="nil"/>
              <w:left w:val="nil"/>
              <w:bottom w:val="single" w:sz="4" w:space="0" w:color="auto"/>
              <w:right w:val="single" w:sz="8" w:space="0" w:color="auto"/>
            </w:tcBorders>
            <w:shd w:val="clear" w:color="auto" w:fill="auto"/>
            <w:noWrap/>
            <w:vAlign w:val="bottom"/>
            <w:hideMark/>
          </w:tcPr>
          <w:p w14:paraId="6D30444E" w14:textId="77777777" w:rsidR="00F47099" w:rsidRPr="00F47099" w:rsidRDefault="00F47099">
            <w:pPr>
              <w:jc w:val="center"/>
              <w:rPr>
                <w:rFonts w:asciiTheme="majorHAnsi" w:hAnsiTheme="majorHAnsi" w:cstheme="majorHAnsi"/>
                <w:b/>
                <w:bCs/>
                <w:sz w:val="16"/>
                <w:szCs w:val="16"/>
              </w:rPr>
            </w:pPr>
            <w:r w:rsidRPr="00F47099">
              <w:rPr>
                <w:rFonts w:asciiTheme="majorHAnsi" w:hAnsiTheme="majorHAnsi" w:cstheme="majorHAnsi"/>
                <w:b/>
                <w:bCs/>
                <w:sz w:val="16"/>
                <w:szCs w:val="16"/>
              </w:rPr>
              <w:t> </w:t>
            </w:r>
          </w:p>
        </w:tc>
      </w:tr>
      <w:tr w:rsidR="00F47099" w:rsidRPr="00F47099" w14:paraId="56A0519C" w14:textId="77777777" w:rsidTr="00F47099">
        <w:trPr>
          <w:trHeight w:hRule="exact" w:val="227"/>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1B568F5" w14:textId="77777777" w:rsidR="00F47099" w:rsidRPr="00F47099" w:rsidRDefault="00F47099">
            <w:pPr>
              <w:rPr>
                <w:rFonts w:asciiTheme="majorHAnsi" w:hAnsiTheme="majorHAnsi" w:cstheme="majorHAnsi"/>
                <w:b/>
                <w:bCs/>
                <w:sz w:val="16"/>
                <w:szCs w:val="16"/>
              </w:rPr>
            </w:pPr>
            <w:r w:rsidRPr="00F47099">
              <w:rPr>
                <w:rFonts w:asciiTheme="majorHAnsi" w:hAnsiTheme="majorHAnsi" w:cstheme="majorHAnsi"/>
                <w:b/>
                <w:bCs/>
                <w:sz w:val="16"/>
                <w:szCs w:val="16"/>
              </w:rPr>
              <w:t>Saldo em 01 de janeiro de 2022</w:t>
            </w:r>
          </w:p>
        </w:tc>
        <w:tc>
          <w:tcPr>
            <w:tcW w:w="0" w:type="auto"/>
            <w:tcBorders>
              <w:top w:val="single" w:sz="8" w:space="0" w:color="auto"/>
              <w:left w:val="nil"/>
              <w:bottom w:val="single" w:sz="8" w:space="0" w:color="auto"/>
              <w:right w:val="single" w:sz="8" w:space="0" w:color="auto"/>
            </w:tcBorders>
            <w:shd w:val="clear" w:color="auto" w:fill="auto"/>
            <w:noWrap/>
            <w:vAlign w:val="bottom"/>
            <w:hideMark/>
          </w:tcPr>
          <w:p w14:paraId="17885E3E" w14:textId="77777777" w:rsidR="00F47099" w:rsidRPr="00F47099" w:rsidRDefault="00F47099">
            <w:pPr>
              <w:jc w:val="right"/>
              <w:rPr>
                <w:rFonts w:asciiTheme="majorHAnsi" w:hAnsiTheme="majorHAnsi" w:cstheme="majorHAnsi"/>
                <w:b/>
                <w:bCs/>
                <w:sz w:val="16"/>
                <w:szCs w:val="16"/>
              </w:rPr>
            </w:pPr>
            <w:r w:rsidRPr="00F47099">
              <w:rPr>
                <w:rFonts w:asciiTheme="majorHAnsi" w:hAnsiTheme="majorHAnsi" w:cstheme="majorHAnsi"/>
                <w:b/>
                <w:bCs/>
                <w:sz w:val="16"/>
                <w:szCs w:val="16"/>
              </w:rPr>
              <w:t>22.233.502.272</w:t>
            </w:r>
          </w:p>
        </w:tc>
        <w:tc>
          <w:tcPr>
            <w:tcW w:w="0" w:type="auto"/>
            <w:tcBorders>
              <w:top w:val="single" w:sz="8" w:space="0" w:color="auto"/>
              <w:left w:val="nil"/>
              <w:bottom w:val="single" w:sz="8" w:space="0" w:color="auto"/>
              <w:right w:val="single" w:sz="8" w:space="0" w:color="auto"/>
            </w:tcBorders>
            <w:shd w:val="clear" w:color="auto" w:fill="auto"/>
            <w:noWrap/>
            <w:vAlign w:val="bottom"/>
            <w:hideMark/>
          </w:tcPr>
          <w:p w14:paraId="65941ED4" w14:textId="77777777" w:rsidR="00F47099" w:rsidRPr="00F47099" w:rsidRDefault="00F47099">
            <w:pPr>
              <w:rPr>
                <w:rFonts w:asciiTheme="majorHAnsi" w:hAnsiTheme="majorHAnsi" w:cstheme="majorHAnsi"/>
                <w:b/>
                <w:bCs/>
                <w:sz w:val="16"/>
                <w:szCs w:val="16"/>
              </w:rPr>
            </w:pPr>
            <w:r w:rsidRPr="00F47099">
              <w:rPr>
                <w:rFonts w:asciiTheme="majorHAnsi" w:hAnsiTheme="majorHAnsi" w:cstheme="majorHAnsi"/>
                <w:b/>
                <w:bCs/>
                <w:sz w:val="16"/>
                <w:szCs w:val="16"/>
              </w:rPr>
              <w:t xml:space="preserve">                   1.288.641.343 </w:t>
            </w:r>
          </w:p>
        </w:tc>
        <w:tc>
          <w:tcPr>
            <w:tcW w:w="0" w:type="auto"/>
            <w:tcBorders>
              <w:top w:val="single" w:sz="8" w:space="0" w:color="auto"/>
              <w:left w:val="nil"/>
              <w:bottom w:val="single" w:sz="8" w:space="0" w:color="auto"/>
              <w:right w:val="nil"/>
            </w:tcBorders>
            <w:shd w:val="clear" w:color="auto" w:fill="auto"/>
            <w:noWrap/>
            <w:vAlign w:val="bottom"/>
            <w:hideMark/>
          </w:tcPr>
          <w:p w14:paraId="7E6F8E98" w14:textId="77777777" w:rsidR="00F47099" w:rsidRPr="00F47099" w:rsidRDefault="00F47099">
            <w:pPr>
              <w:rPr>
                <w:rFonts w:asciiTheme="majorHAnsi" w:hAnsiTheme="majorHAnsi" w:cstheme="majorHAnsi"/>
                <w:b/>
                <w:bCs/>
                <w:sz w:val="16"/>
                <w:szCs w:val="16"/>
              </w:rPr>
            </w:pPr>
            <w:r w:rsidRPr="00F47099">
              <w:rPr>
                <w:rFonts w:asciiTheme="majorHAnsi" w:hAnsiTheme="majorHAnsi" w:cstheme="majorHAnsi"/>
                <w:b/>
                <w:bCs/>
                <w:sz w:val="16"/>
                <w:szCs w:val="16"/>
              </w:rPr>
              <w:t xml:space="preserve">              (21.484.262.190)</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8BE466C" w14:textId="77777777" w:rsidR="00F47099" w:rsidRPr="00F47099" w:rsidRDefault="00F47099">
            <w:pPr>
              <w:rPr>
                <w:rFonts w:asciiTheme="majorHAnsi" w:hAnsiTheme="majorHAnsi" w:cstheme="majorHAnsi"/>
                <w:b/>
                <w:bCs/>
                <w:sz w:val="16"/>
                <w:szCs w:val="16"/>
              </w:rPr>
            </w:pPr>
            <w:r w:rsidRPr="00F47099">
              <w:rPr>
                <w:rFonts w:asciiTheme="majorHAnsi" w:hAnsiTheme="majorHAnsi" w:cstheme="majorHAnsi"/>
                <w:b/>
                <w:bCs/>
                <w:sz w:val="16"/>
                <w:szCs w:val="16"/>
              </w:rPr>
              <w:t xml:space="preserve">                                2.037.881.425 </w:t>
            </w:r>
          </w:p>
        </w:tc>
      </w:tr>
      <w:tr w:rsidR="00F47099" w:rsidRPr="00F47099" w14:paraId="1E98ABBF" w14:textId="77777777" w:rsidTr="00F47099">
        <w:trPr>
          <w:trHeight w:hRule="exact" w:val="227"/>
        </w:trPr>
        <w:tc>
          <w:tcPr>
            <w:tcW w:w="0" w:type="auto"/>
            <w:tcBorders>
              <w:top w:val="nil"/>
              <w:left w:val="single" w:sz="8" w:space="0" w:color="auto"/>
              <w:bottom w:val="nil"/>
              <w:right w:val="nil"/>
            </w:tcBorders>
            <w:shd w:val="clear" w:color="000000" w:fill="FFFFFF"/>
            <w:noWrap/>
            <w:vAlign w:val="bottom"/>
            <w:hideMark/>
          </w:tcPr>
          <w:p w14:paraId="5F67A63C" w14:textId="77777777" w:rsidR="00F47099" w:rsidRPr="00F47099" w:rsidRDefault="00F47099">
            <w:pPr>
              <w:rPr>
                <w:rFonts w:asciiTheme="majorHAnsi" w:hAnsiTheme="majorHAnsi" w:cstheme="majorHAnsi"/>
                <w:sz w:val="16"/>
                <w:szCs w:val="16"/>
              </w:rPr>
            </w:pPr>
            <w:r w:rsidRPr="00F47099">
              <w:rPr>
                <w:rFonts w:asciiTheme="majorHAnsi" w:hAnsiTheme="majorHAnsi" w:cstheme="majorHAnsi"/>
                <w:sz w:val="16"/>
                <w:szCs w:val="16"/>
              </w:rPr>
              <w:t xml:space="preserve">Resultado Líquido do </w:t>
            </w:r>
            <w:proofErr w:type="spellStart"/>
            <w:r w:rsidRPr="00F47099">
              <w:rPr>
                <w:rFonts w:asciiTheme="majorHAnsi" w:hAnsiTheme="majorHAnsi" w:cstheme="majorHAnsi"/>
                <w:sz w:val="16"/>
                <w:szCs w:val="16"/>
              </w:rPr>
              <w:t>Periodo</w:t>
            </w:r>
            <w:proofErr w:type="spellEnd"/>
            <w:r w:rsidRPr="00F47099">
              <w:rPr>
                <w:rFonts w:asciiTheme="majorHAnsi" w:hAnsiTheme="majorHAnsi" w:cstheme="majorHAnsi"/>
                <w:sz w:val="16"/>
                <w:szCs w:val="16"/>
              </w:rPr>
              <w:t xml:space="preserve"> </w:t>
            </w:r>
          </w:p>
        </w:tc>
        <w:tc>
          <w:tcPr>
            <w:tcW w:w="0" w:type="auto"/>
            <w:tcBorders>
              <w:top w:val="nil"/>
              <w:left w:val="single" w:sz="8" w:space="0" w:color="auto"/>
              <w:bottom w:val="nil"/>
              <w:right w:val="single" w:sz="8" w:space="0" w:color="auto"/>
            </w:tcBorders>
            <w:shd w:val="clear" w:color="auto" w:fill="auto"/>
            <w:noWrap/>
            <w:vAlign w:val="bottom"/>
            <w:hideMark/>
          </w:tcPr>
          <w:p w14:paraId="26614076" w14:textId="77777777" w:rsidR="00F47099" w:rsidRPr="00F47099" w:rsidRDefault="00F47099">
            <w:pPr>
              <w:rPr>
                <w:rFonts w:asciiTheme="majorHAnsi" w:hAnsiTheme="majorHAnsi" w:cstheme="majorHAnsi"/>
                <w:sz w:val="16"/>
                <w:szCs w:val="16"/>
              </w:rPr>
            </w:pPr>
            <w:r w:rsidRPr="00F47099">
              <w:rPr>
                <w:rFonts w:asciiTheme="majorHAnsi" w:hAnsiTheme="majorHAnsi" w:cstheme="majorHAnsi"/>
                <w:sz w:val="16"/>
                <w:szCs w:val="16"/>
              </w:rPr>
              <w:t xml:space="preserve">                              -   </w:t>
            </w:r>
          </w:p>
        </w:tc>
        <w:tc>
          <w:tcPr>
            <w:tcW w:w="0" w:type="auto"/>
            <w:tcBorders>
              <w:top w:val="nil"/>
              <w:left w:val="nil"/>
              <w:bottom w:val="nil"/>
              <w:right w:val="nil"/>
            </w:tcBorders>
            <w:shd w:val="clear" w:color="auto" w:fill="auto"/>
            <w:noWrap/>
            <w:vAlign w:val="bottom"/>
            <w:hideMark/>
          </w:tcPr>
          <w:p w14:paraId="7BF2C196" w14:textId="77777777" w:rsidR="00F47099" w:rsidRPr="00F47099" w:rsidRDefault="00F47099">
            <w:pPr>
              <w:rPr>
                <w:rFonts w:asciiTheme="majorHAnsi" w:hAnsiTheme="majorHAnsi" w:cstheme="majorHAnsi"/>
                <w:sz w:val="16"/>
                <w:szCs w:val="16"/>
              </w:rPr>
            </w:pPr>
            <w:r w:rsidRPr="00F47099">
              <w:rPr>
                <w:rFonts w:asciiTheme="majorHAnsi" w:hAnsiTheme="majorHAnsi" w:cstheme="majorHAnsi"/>
                <w:sz w:val="16"/>
                <w:szCs w:val="16"/>
              </w:rPr>
              <w:t xml:space="preserve">                                             -   </w:t>
            </w:r>
          </w:p>
        </w:tc>
        <w:tc>
          <w:tcPr>
            <w:tcW w:w="0" w:type="auto"/>
            <w:tcBorders>
              <w:top w:val="nil"/>
              <w:left w:val="single" w:sz="8" w:space="0" w:color="auto"/>
              <w:bottom w:val="nil"/>
              <w:right w:val="single" w:sz="8" w:space="0" w:color="auto"/>
            </w:tcBorders>
            <w:shd w:val="clear" w:color="auto" w:fill="auto"/>
            <w:noWrap/>
            <w:vAlign w:val="bottom"/>
            <w:hideMark/>
          </w:tcPr>
          <w:p w14:paraId="2AF985B7" w14:textId="77777777" w:rsidR="00F47099" w:rsidRPr="00F47099" w:rsidRDefault="00F47099">
            <w:pPr>
              <w:rPr>
                <w:rFonts w:asciiTheme="majorHAnsi" w:hAnsiTheme="majorHAnsi" w:cstheme="majorHAnsi"/>
                <w:sz w:val="16"/>
                <w:szCs w:val="16"/>
              </w:rPr>
            </w:pPr>
            <w:r w:rsidRPr="00F47099">
              <w:rPr>
                <w:rFonts w:asciiTheme="majorHAnsi" w:hAnsiTheme="majorHAnsi" w:cstheme="majorHAnsi"/>
                <w:sz w:val="16"/>
                <w:szCs w:val="16"/>
              </w:rPr>
              <w:t xml:space="preserve">                     32.831.052 </w:t>
            </w:r>
          </w:p>
        </w:tc>
        <w:tc>
          <w:tcPr>
            <w:tcW w:w="0" w:type="auto"/>
            <w:tcBorders>
              <w:top w:val="nil"/>
              <w:left w:val="nil"/>
              <w:bottom w:val="nil"/>
              <w:right w:val="single" w:sz="8" w:space="0" w:color="auto"/>
            </w:tcBorders>
            <w:shd w:val="clear" w:color="auto" w:fill="auto"/>
            <w:noWrap/>
            <w:vAlign w:val="bottom"/>
            <w:hideMark/>
          </w:tcPr>
          <w:p w14:paraId="418B7873" w14:textId="77777777" w:rsidR="00F47099" w:rsidRPr="00F47099" w:rsidRDefault="00F47099">
            <w:pPr>
              <w:rPr>
                <w:rFonts w:asciiTheme="majorHAnsi" w:hAnsiTheme="majorHAnsi" w:cstheme="majorHAnsi"/>
                <w:sz w:val="16"/>
                <w:szCs w:val="16"/>
              </w:rPr>
            </w:pPr>
            <w:r w:rsidRPr="00F47099">
              <w:rPr>
                <w:rFonts w:asciiTheme="majorHAnsi" w:hAnsiTheme="majorHAnsi" w:cstheme="majorHAnsi"/>
                <w:sz w:val="16"/>
                <w:szCs w:val="16"/>
              </w:rPr>
              <w:t xml:space="preserve">                                     32.831.052 </w:t>
            </w:r>
          </w:p>
        </w:tc>
      </w:tr>
      <w:tr w:rsidR="00F47099" w:rsidRPr="00F47099" w14:paraId="3A2202B5" w14:textId="77777777" w:rsidTr="00F47099">
        <w:trPr>
          <w:trHeight w:hRule="exact" w:val="227"/>
        </w:trPr>
        <w:tc>
          <w:tcPr>
            <w:tcW w:w="0" w:type="auto"/>
            <w:tcBorders>
              <w:top w:val="nil"/>
              <w:left w:val="single" w:sz="8" w:space="0" w:color="auto"/>
              <w:bottom w:val="nil"/>
              <w:right w:val="nil"/>
            </w:tcBorders>
            <w:shd w:val="clear" w:color="000000" w:fill="FFFFFF"/>
            <w:noWrap/>
            <w:vAlign w:val="bottom"/>
            <w:hideMark/>
          </w:tcPr>
          <w:p w14:paraId="62017B4D" w14:textId="77777777" w:rsidR="00F47099" w:rsidRPr="00F47099" w:rsidRDefault="00F47099">
            <w:pPr>
              <w:rPr>
                <w:rFonts w:asciiTheme="majorHAnsi" w:hAnsiTheme="majorHAnsi" w:cstheme="majorHAnsi"/>
                <w:sz w:val="16"/>
                <w:szCs w:val="16"/>
              </w:rPr>
            </w:pPr>
            <w:r w:rsidRPr="00F47099">
              <w:rPr>
                <w:rFonts w:asciiTheme="majorHAnsi" w:hAnsiTheme="majorHAnsi" w:cstheme="majorHAnsi"/>
                <w:sz w:val="16"/>
                <w:szCs w:val="16"/>
              </w:rPr>
              <w:t>Integralização do AFAC</w:t>
            </w:r>
          </w:p>
        </w:tc>
        <w:tc>
          <w:tcPr>
            <w:tcW w:w="0" w:type="auto"/>
            <w:tcBorders>
              <w:top w:val="nil"/>
              <w:left w:val="single" w:sz="8" w:space="0" w:color="auto"/>
              <w:bottom w:val="nil"/>
              <w:right w:val="single" w:sz="8" w:space="0" w:color="auto"/>
            </w:tcBorders>
            <w:shd w:val="clear" w:color="auto" w:fill="auto"/>
            <w:noWrap/>
            <w:vAlign w:val="bottom"/>
            <w:hideMark/>
          </w:tcPr>
          <w:p w14:paraId="6DE42CA9" w14:textId="77777777" w:rsidR="00F47099" w:rsidRPr="00F47099" w:rsidRDefault="00F47099">
            <w:pPr>
              <w:rPr>
                <w:rFonts w:asciiTheme="majorHAnsi" w:hAnsiTheme="majorHAnsi" w:cstheme="majorHAnsi"/>
                <w:sz w:val="16"/>
                <w:szCs w:val="16"/>
              </w:rPr>
            </w:pPr>
            <w:r w:rsidRPr="00F47099">
              <w:rPr>
                <w:rFonts w:asciiTheme="majorHAnsi" w:hAnsiTheme="majorHAnsi" w:cstheme="majorHAnsi"/>
                <w:sz w:val="16"/>
                <w:szCs w:val="16"/>
              </w:rPr>
              <w:t xml:space="preserve">       1.284.047.035 </w:t>
            </w:r>
          </w:p>
        </w:tc>
        <w:tc>
          <w:tcPr>
            <w:tcW w:w="0" w:type="auto"/>
            <w:tcBorders>
              <w:top w:val="nil"/>
              <w:left w:val="nil"/>
              <w:bottom w:val="nil"/>
              <w:right w:val="nil"/>
            </w:tcBorders>
            <w:shd w:val="clear" w:color="auto" w:fill="auto"/>
            <w:noWrap/>
            <w:vAlign w:val="bottom"/>
            <w:hideMark/>
          </w:tcPr>
          <w:p w14:paraId="65923A9D" w14:textId="77777777" w:rsidR="00F47099" w:rsidRPr="00F47099" w:rsidRDefault="00F47099">
            <w:pPr>
              <w:rPr>
                <w:rFonts w:asciiTheme="majorHAnsi" w:hAnsiTheme="majorHAnsi" w:cstheme="majorHAnsi"/>
                <w:sz w:val="16"/>
                <w:szCs w:val="16"/>
              </w:rPr>
            </w:pPr>
            <w:r w:rsidRPr="00F47099">
              <w:rPr>
                <w:rFonts w:asciiTheme="majorHAnsi" w:hAnsiTheme="majorHAnsi" w:cstheme="majorHAnsi"/>
                <w:sz w:val="16"/>
                <w:szCs w:val="16"/>
              </w:rPr>
              <w:t xml:space="preserve">                     (1.284.047.035)</w:t>
            </w:r>
          </w:p>
        </w:tc>
        <w:tc>
          <w:tcPr>
            <w:tcW w:w="0" w:type="auto"/>
            <w:tcBorders>
              <w:top w:val="nil"/>
              <w:left w:val="single" w:sz="8" w:space="0" w:color="auto"/>
              <w:bottom w:val="nil"/>
              <w:right w:val="single" w:sz="8" w:space="0" w:color="auto"/>
            </w:tcBorders>
            <w:shd w:val="clear" w:color="auto" w:fill="auto"/>
            <w:noWrap/>
            <w:vAlign w:val="bottom"/>
            <w:hideMark/>
          </w:tcPr>
          <w:p w14:paraId="35DF968A" w14:textId="77777777" w:rsidR="00F47099" w:rsidRPr="00F47099" w:rsidRDefault="00F47099">
            <w:pPr>
              <w:rPr>
                <w:rFonts w:asciiTheme="majorHAnsi" w:hAnsiTheme="majorHAnsi" w:cstheme="majorHAnsi"/>
                <w:sz w:val="16"/>
                <w:szCs w:val="16"/>
              </w:rPr>
            </w:pPr>
            <w:r w:rsidRPr="00F47099">
              <w:rPr>
                <w:rFonts w:asciiTheme="majorHAnsi" w:hAnsiTheme="majorHAnsi" w:cstheme="majorHAnsi"/>
                <w:sz w:val="16"/>
                <w:szCs w:val="16"/>
              </w:rPr>
              <w:t xml:space="preserve">                                   -   </w:t>
            </w:r>
          </w:p>
        </w:tc>
        <w:tc>
          <w:tcPr>
            <w:tcW w:w="0" w:type="auto"/>
            <w:tcBorders>
              <w:top w:val="nil"/>
              <w:left w:val="nil"/>
              <w:bottom w:val="nil"/>
              <w:right w:val="single" w:sz="8" w:space="0" w:color="auto"/>
            </w:tcBorders>
            <w:shd w:val="clear" w:color="auto" w:fill="auto"/>
            <w:noWrap/>
            <w:vAlign w:val="bottom"/>
            <w:hideMark/>
          </w:tcPr>
          <w:p w14:paraId="5D9F0F7C" w14:textId="77777777" w:rsidR="00F47099" w:rsidRPr="00F47099" w:rsidRDefault="00F47099">
            <w:pPr>
              <w:rPr>
                <w:rFonts w:asciiTheme="majorHAnsi" w:hAnsiTheme="majorHAnsi" w:cstheme="majorHAnsi"/>
                <w:sz w:val="16"/>
                <w:szCs w:val="16"/>
              </w:rPr>
            </w:pPr>
            <w:r w:rsidRPr="00F47099">
              <w:rPr>
                <w:rFonts w:asciiTheme="majorHAnsi" w:hAnsiTheme="majorHAnsi" w:cstheme="majorHAnsi"/>
                <w:sz w:val="16"/>
                <w:szCs w:val="16"/>
              </w:rPr>
              <w:t xml:space="preserve">                                                   -   </w:t>
            </w:r>
          </w:p>
        </w:tc>
      </w:tr>
      <w:tr w:rsidR="00F47099" w:rsidRPr="00F47099" w14:paraId="351A4B11" w14:textId="77777777" w:rsidTr="00F47099">
        <w:trPr>
          <w:trHeight w:hRule="exact" w:val="227"/>
        </w:trPr>
        <w:tc>
          <w:tcPr>
            <w:tcW w:w="0" w:type="auto"/>
            <w:tcBorders>
              <w:top w:val="nil"/>
              <w:left w:val="single" w:sz="8" w:space="0" w:color="auto"/>
              <w:bottom w:val="nil"/>
              <w:right w:val="nil"/>
            </w:tcBorders>
            <w:shd w:val="clear" w:color="auto" w:fill="auto"/>
            <w:noWrap/>
            <w:vAlign w:val="bottom"/>
            <w:hideMark/>
          </w:tcPr>
          <w:p w14:paraId="45CE9A7E" w14:textId="77777777" w:rsidR="00F47099" w:rsidRPr="00F47099" w:rsidRDefault="00F47099">
            <w:pPr>
              <w:rPr>
                <w:rFonts w:asciiTheme="majorHAnsi" w:hAnsiTheme="majorHAnsi" w:cstheme="majorHAnsi"/>
                <w:sz w:val="16"/>
                <w:szCs w:val="16"/>
              </w:rPr>
            </w:pPr>
            <w:r w:rsidRPr="00F47099">
              <w:rPr>
                <w:rFonts w:asciiTheme="majorHAnsi" w:hAnsiTheme="majorHAnsi" w:cstheme="majorHAnsi"/>
                <w:sz w:val="16"/>
                <w:szCs w:val="16"/>
              </w:rPr>
              <w:t>Adiantamento para Futuro Aumento de Capital</w:t>
            </w:r>
          </w:p>
        </w:tc>
        <w:tc>
          <w:tcPr>
            <w:tcW w:w="0" w:type="auto"/>
            <w:tcBorders>
              <w:top w:val="nil"/>
              <w:left w:val="single" w:sz="8" w:space="0" w:color="auto"/>
              <w:bottom w:val="single" w:sz="8" w:space="0" w:color="auto"/>
              <w:right w:val="single" w:sz="8" w:space="0" w:color="auto"/>
            </w:tcBorders>
            <w:shd w:val="clear" w:color="auto" w:fill="auto"/>
            <w:noWrap/>
            <w:vAlign w:val="bottom"/>
            <w:hideMark/>
          </w:tcPr>
          <w:p w14:paraId="2209AB38" w14:textId="77777777" w:rsidR="00F47099" w:rsidRPr="00F47099" w:rsidRDefault="00F47099">
            <w:pPr>
              <w:rPr>
                <w:rFonts w:asciiTheme="majorHAnsi" w:hAnsiTheme="majorHAnsi" w:cstheme="majorHAnsi"/>
                <w:sz w:val="16"/>
                <w:szCs w:val="16"/>
              </w:rPr>
            </w:pPr>
            <w:r w:rsidRPr="00F47099">
              <w:rPr>
                <w:rFonts w:asciiTheme="majorHAnsi" w:hAnsiTheme="majorHAnsi" w:cstheme="majorHAnsi"/>
                <w:sz w:val="16"/>
                <w:szCs w:val="16"/>
              </w:rPr>
              <w:t xml:space="preserve">                              -   </w:t>
            </w:r>
          </w:p>
        </w:tc>
        <w:tc>
          <w:tcPr>
            <w:tcW w:w="0" w:type="auto"/>
            <w:tcBorders>
              <w:top w:val="nil"/>
              <w:left w:val="nil"/>
              <w:bottom w:val="single" w:sz="8" w:space="0" w:color="auto"/>
              <w:right w:val="single" w:sz="8" w:space="0" w:color="auto"/>
            </w:tcBorders>
            <w:shd w:val="clear" w:color="auto" w:fill="auto"/>
            <w:noWrap/>
            <w:vAlign w:val="bottom"/>
            <w:hideMark/>
          </w:tcPr>
          <w:p w14:paraId="67FA35D8" w14:textId="77777777" w:rsidR="00F47099" w:rsidRPr="00F47099" w:rsidRDefault="00F47099">
            <w:pPr>
              <w:rPr>
                <w:rFonts w:asciiTheme="majorHAnsi" w:hAnsiTheme="majorHAnsi" w:cstheme="majorHAnsi"/>
                <w:sz w:val="16"/>
                <w:szCs w:val="16"/>
              </w:rPr>
            </w:pPr>
            <w:r w:rsidRPr="00F47099">
              <w:rPr>
                <w:rFonts w:asciiTheme="majorHAnsi" w:hAnsiTheme="majorHAnsi" w:cstheme="majorHAnsi"/>
                <w:sz w:val="16"/>
                <w:szCs w:val="16"/>
              </w:rPr>
              <w:t xml:space="preserve">                      125.817.833 </w:t>
            </w:r>
          </w:p>
        </w:tc>
        <w:tc>
          <w:tcPr>
            <w:tcW w:w="0" w:type="auto"/>
            <w:tcBorders>
              <w:top w:val="nil"/>
              <w:left w:val="nil"/>
              <w:bottom w:val="single" w:sz="8" w:space="0" w:color="auto"/>
              <w:right w:val="single" w:sz="8" w:space="0" w:color="auto"/>
            </w:tcBorders>
            <w:shd w:val="clear" w:color="auto" w:fill="auto"/>
            <w:noWrap/>
            <w:vAlign w:val="bottom"/>
            <w:hideMark/>
          </w:tcPr>
          <w:p w14:paraId="04F089A5" w14:textId="77777777" w:rsidR="00F47099" w:rsidRPr="00F47099" w:rsidRDefault="00F47099">
            <w:pPr>
              <w:rPr>
                <w:rFonts w:asciiTheme="majorHAnsi" w:hAnsiTheme="majorHAnsi" w:cstheme="majorHAnsi"/>
                <w:sz w:val="16"/>
                <w:szCs w:val="16"/>
              </w:rPr>
            </w:pPr>
            <w:r w:rsidRPr="00F47099">
              <w:rPr>
                <w:rFonts w:asciiTheme="majorHAnsi" w:hAnsiTheme="majorHAnsi" w:cstheme="majorHAnsi"/>
                <w:sz w:val="16"/>
                <w:szCs w:val="16"/>
              </w:rPr>
              <w:t xml:space="preserve">                                           -   </w:t>
            </w:r>
          </w:p>
        </w:tc>
        <w:tc>
          <w:tcPr>
            <w:tcW w:w="0" w:type="auto"/>
            <w:tcBorders>
              <w:top w:val="nil"/>
              <w:left w:val="nil"/>
              <w:bottom w:val="single" w:sz="8" w:space="0" w:color="auto"/>
              <w:right w:val="single" w:sz="8" w:space="0" w:color="auto"/>
            </w:tcBorders>
            <w:shd w:val="clear" w:color="auto" w:fill="auto"/>
            <w:noWrap/>
            <w:vAlign w:val="bottom"/>
            <w:hideMark/>
          </w:tcPr>
          <w:p w14:paraId="1ADD412E" w14:textId="77777777" w:rsidR="00F47099" w:rsidRPr="00F47099" w:rsidRDefault="00F47099">
            <w:pPr>
              <w:rPr>
                <w:rFonts w:asciiTheme="majorHAnsi" w:hAnsiTheme="majorHAnsi" w:cstheme="majorHAnsi"/>
                <w:sz w:val="16"/>
                <w:szCs w:val="16"/>
              </w:rPr>
            </w:pPr>
            <w:r w:rsidRPr="00F47099">
              <w:rPr>
                <w:rFonts w:asciiTheme="majorHAnsi" w:hAnsiTheme="majorHAnsi" w:cstheme="majorHAnsi"/>
                <w:sz w:val="16"/>
                <w:szCs w:val="16"/>
              </w:rPr>
              <w:t xml:space="preserve">                                   125.817.833 </w:t>
            </w:r>
          </w:p>
        </w:tc>
      </w:tr>
      <w:tr w:rsidR="00F47099" w:rsidRPr="00F47099" w14:paraId="6C346708" w14:textId="77777777" w:rsidTr="00F47099">
        <w:trPr>
          <w:trHeight w:hRule="exact" w:val="227"/>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CBE9E59" w14:textId="77777777" w:rsidR="00F47099" w:rsidRPr="00F47099" w:rsidRDefault="00F47099">
            <w:pPr>
              <w:rPr>
                <w:rFonts w:asciiTheme="majorHAnsi" w:hAnsiTheme="majorHAnsi" w:cstheme="majorHAnsi"/>
                <w:b/>
                <w:bCs/>
                <w:sz w:val="16"/>
                <w:szCs w:val="16"/>
              </w:rPr>
            </w:pPr>
            <w:r w:rsidRPr="00F47099">
              <w:rPr>
                <w:rFonts w:asciiTheme="majorHAnsi" w:hAnsiTheme="majorHAnsi" w:cstheme="majorHAnsi"/>
                <w:b/>
                <w:bCs/>
                <w:sz w:val="16"/>
                <w:szCs w:val="16"/>
              </w:rPr>
              <w:t>Saldo em 30 de junho de 2022</w:t>
            </w:r>
          </w:p>
        </w:tc>
        <w:tc>
          <w:tcPr>
            <w:tcW w:w="0" w:type="auto"/>
            <w:tcBorders>
              <w:top w:val="nil"/>
              <w:left w:val="nil"/>
              <w:bottom w:val="single" w:sz="8" w:space="0" w:color="auto"/>
              <w:right w:val="single" w:sz="8" w:space="0" w:color="auto"/>
            </w:tcBorders>
            <w:shd w:val="clear" w:color="auto" w:fill="auto"/>
            <w:noWrap/>
            <w:vAlign w:val="bottom"/>
            <w:hideMark/>
          </w:tcPr>
          <w:p w14:paraId="47CD87A3" w14:textId="77777777" w:rsidR="00F47099" w:rsidRPr="00F47099" w:rsidRDefault="00F47099">
            <w:pPr>
              <w:rPr>
                <w:rFonts w:asciiTheme="majorHAnsi" w:hAnsiTheme="majorHAnsi" w:cstheme="majorHAnsi"/>
                <w:b/>
                <w:bCs/>
                <w:sz w:val="16"/>
                <w:szCs w:val="16"/>
              </w:rPr>
            </w:pPr>
            <w:r w:rsidRPr="00F47099">
              <w:rPr>
                <w:rFonts w:asciiTheme="majorHAnsi" w:hAnsiTheme="majorHAnsi" w:cstheme="majorHAnsi"/>
                <w:b/>
                <w:bCs/>
                <w:sz w:val="16"/>
                <w:szCs w:val="16"/>
              </w:rPr>
              <w:t xml:space="preserve">    23.517.549.307 </w:t>
            </w:r>
          </w:p>
        </w:tc>
        <w:tc>
          <w:tcPr>
            <w:tcW w:w="0" w:type="auto"/>
            <w:tcBorders>
              <w:top w:val="nil"/>
              <w:left w:val="nil"/>
              <w:bottom w:val="single" w:sz="8" w:space="0" w:color="auto"/>
              <w:right w:val="nil"/>
            </w:tcBorders>
            <w:shd w:val="clear" w:color="auto" w:fill="auto"/>
            <w:noWrap/>
            <w:vAlign w:val="bottom"/>
            <w:hideMark/>
          </w:tcPr>
          <w:p w14:paraId="32D940BF" w14:textId="77777777" w:rsidR="00F47099" w:rsidRPr="00F47099" w:rsidRDefault="00F47099">
            <w:pPr>
              <w:rPr>
                <w:rFonts w:asciiTheme="majorHAnsi" w:hAnsiTheme="majorHAnsi" w:cstheme="majorHAnsi"/>
                <w:b/>
                <w:bCs/>
                <w:sz w:val="16"/>
                <w:szCs w:val="16"/>
              </w:rPr>
            </w:pPr>
            <w:r w:rsidRPr="00F47099">
              <w:rPr>
                <w:rFonts w:asciiTheme="majorHAnsi" w:hAnsiTheme="majorHAnsi" w:cstheme="majorHAnsi"/>
                <w:b/>
                <w:bCs/>
                <w:sz w:val="16"/>
                <w:szCs w:val="16"/>
              </w:rPr>
              <w:t xml:space="preserve">                      130.412.142 </w:t>
            </w:r>
          </w:p>
        </w:tc>
        <w:tc>
          <w:tcPr>
            <w:tcW w:w="0" w:type="auto"/>
            <w:tcBorders>
              <w:top w:val="nil"/>
              <w:left w:val="single" w:sz="8" w:space="0" w:color="auto"/>
              <w:bottom w:val="single" w:sz="8" w:space="0" w:color="auto"/>
              <w:right w:val="nil"/>
            </w:tcBorders>
            <w:shd w:val="clear" w:color="auto" w:fill="auto"/>
            <w:noWrap/>
            <w:vAlign w:val="bottom"/>
            <w:hideMark/>
          </w:tcPr>
          <w:p w14:paraId="5395B2A2" w14:textId="77777777" w:rsidR="00F47099" w:rsidRPr="00F47099" w:rsidRDefault="00F47099">
            <w:pPr>
              <w:rPr>
                <w:rFonts w:asciiTheme="majorHAnsi" w:hAnsiTheme="majorHAnsi" w:cstheme="majorHAnsi"/>
                <w:b/>
                <w:bCs/>
                <w:sz w:val="16"/>
                <w:szCs w:val="16"/>
              </w:rPr>
            </w:pPr>
            <w:r w:rsidRPr="00F47099">
              <w:rPr>
                <w:rFonts w:asciiTheme="majorHAnsi" w:hAnsiTheme="majorHAnsi" w:cstheme="majorHAnsi"/>
                <w:b/>
                <w:bCs/>
                <w:sz w:val="16"/>
                <w:szCs w:val="16"/>
              </w:rPr>
              <w:t xml:space="preserve">              (21.451.431.138)</w:t>
            </w:r>
          </w:p>
        </w:tc>
        <w:tc>
          <w:tcPr>
            <w:tcW w:w="0" w:type="auto"/>
            <w:tcBorders>
              <w:top w:val="nil"/>
              <w:left w:val="single" w:sz="8" w:space="0" w:color="auto"/>
              <w:bottom w:val="single" w:sz="8" w:space="0" w:color="auto"/>
              <w:right w:val="single" w:sz="8" w:space="0" w:color="auto"/>
            </w:tcBorders>
            <w:shd w:val="clear" w:color="auto" w:fill="auto"/>
            <w:noWrap/>
            <w:vAlign w:val="bottom"/>
            <w:hideMark/>
          </w:tcPr>
          <w:p w14:paraId="30F2C320" w14:textId="77777777" w:rsidR="00F47099" w:rsidRPr="00F47099" w:rsidRDefault="00F47099">
            <w:pPr>
              <w:jc w:val="right"/>
              <w:rPr>
                <w:rFonts w:asciiTheme="majorHAnsi" w:hAnsiTheme="majorHAnsi" w:cstheme="majorHAnsi"/>
                <w:b/>
                <w:bCs/>
                <w:sz w:val="16"/>
                <w:szCs w:val="16"/>
              </w:rPr>
            </w:pPr>
            <w:r w:rsidRPr="00F47099">
              <w:rPr>
                <w:rFonts w:asciiTheme="majorHAnsi" w:hAnsiTheme="majorHAnsi" w:cstheme="majorHAnsi"/>
                <w:b/>
                <w:bCs/>
                <w:sz w:val="16"/>
                <w:szCs w:val="16"/>
              </w:rPr>
              <w:t>2.196.530.311</w:t>
            </w:r>
          </w:p>
        </w:tc>
      </w:tr>
      <w:tr w:rsidR="00F47099" w:rsidRPr="00F47099" w14:paraId="5EBB1390" w14:textId="77777777" w:rsidTr="00F47099">
        <w:trPr>
          <w:trHeight w:hRule="exact" w:val="227"/>
        </w:trPr>
        <w:tc>
          <w:tcPr>
            <w:tcW w:w="0" w:type="auto"/>
            <w:tcBorders>
              <w:top w:val="nil"/>
              <w:left w:val="nil"/>
              <w:bottom w:val="nil"/>
              <w:right w:val="nil"/>
            </w:tcBorders>
            <w:shd w:val="clear" w:color="auto" w:fill="auto"/>
            <w:noWrap/>
            <w:vAlign w:val="bottom"/>
            <w:hideMark/>
          </w:tcPr>
          <w:p w14:paraId="316197E4" w14:textId="77777777" w:rsidR="00F47099" w:rsidRPr="00F47099" w:rsidRDefault="00F47099">
            <w:pPr>
              <w:jc w:val="right"/>
              <w:rPr>
                <w:rFonts w:asciiTheme="majorHAnsi" w:hAnsiTheme="majorHAnsi" w:cstheme="majorHAnsi"/>
                <w:b/>
                <w:bCs/>
                <w:sz w:val="16"/>
                <w:szCs w:val="16"/>
              </w:rPr>
            </w:pPr>
          </w:p>
        </w:tc>
        <w:tc>
          <w:tcPr>
            <w:tcW w:w="0" w:type="auto"/>
            <w:tcBorders>
              <w:top w:val="nil"/>
              <w:left w:val="nil"/>
              <w:bottom w:val="nil"/>
              <w:right w:val="nil"/>
            </w:tcBorders>
            <w:shd w:val="clear" w:color="auto" w:fill="auto"/>
            <w:noWrap/>
            <w:vAlign w:val="bottom"/>
            <w:hideMark/>
          </w:tcPr>
          <w:p w14:paraId="080CD495" w14:textId="77777777" w:rsidR="00F47099" w:rsidRPr="00F47099" w:rsidRDefault="00F47099">
            <w:pPr>
              <w:rPr>
                <w:rFonts w:asciiTheme="majorHAnsi" w:hAnsiTheme="majorHAnsi" w:cstheme="majorHAnsi"/>
                <w:sz w:val="16"/>
                <w:szCs w:val="16"/>
              </w:rPr>
            </w:pPr>
          </w:p>
        </w:tc>
        <w:tc>
          <w:tcPr>
            <w:tcW w:w="0" w:type="auto"/>
            <w:tcBorders>
              <w:top w:val="nil"/>
              <w:left w:val="nil"/>
              <w:bottom w:val="nil"/>
              <w:right w:val="nil"/>
            </w:tcBorders>
            <w:shd w:val="clear" w:color="auto" w:fill="auto"/>
            <w:noWrap/>
            <w:vAlign w:val="bottom"/>
            <w:hideMark/>
          </w:tcPr>
          <w:p w14:paraId="6F4407EE" w14:textId="77777777" w:rsidR="00F47099" w:rsidRPr="00F47099" w:rsidRDefault="00F47099">
            <w:pPr>
              <w:jc w:val="right"/>
              <w:rPr>
                <w:rFonts w:asciiTheme="majorHAnsi" w:hAnsiTheme="majorHAnsi" w:cstheme="majorHAnsi"/>
                <w:sz w:val="16"/>
                <w:szCs w:val="16"/>
              </w:rPr>
            </w:pPr>
          </w:p>
        </w:tc>
        <w:tc>
          <w:tcPr>
            <w:tcW w:w="0" w:type="auto"/>
            <w:tcBorders>
              <w:top w:val="nil"/>
              <w:left w:val="nil"/>
              <w:bottom w:val="nil"/>
              <w:right w:val="nil"/>
            </w:tcBorders>
            <w:shd w:val="clear" w:color="auto" w:fill="auto"/>
            <w:noWrap/>
            <w:vAlign w:val="bottom"/>
            <w:hideMark/>
          </w:tcPr>
          <w:p w14:paraId="1FF13152" w14:textId="77777777" w:rsidR="00F47099" w:rsidRPr="00F47099" w:rsidRDefault="00F47099">
            <w:pPr>
              <w:jc w:val="right"/>
              <w:rPr>
                <w:rFonts w:asciiTheme="majorHAnsi" w:hAnsiTheme="majorHAnsi" w:cstheme="majorHAnsi"/>
                <w:sz w:val="16"/>
                <w:szCs w:val="16"/>
              </w:rPr>
            </w:pPr>
          </w:p>
        </w:tc>
        <w:tc>
          <w:tcPr>
            <w:tcW w:w="0" w:type="auto"/>
            <w:tcBorders>
              <w:top w:val="nil"/>
              <w:left w:val="nil"/>
              <w:bottom w:val="nil"/>
              <w:right w:val="nil"/>
            </w:tcBorders>
            <w:shd w:val="clear" w:color="auto" w:fill="auto"/>
            <w:noWrap/>
            <w:vAlign w:val="bottom"/>
            <w:hideMark/>
          </w:tcPr>
          <w:p w14:paraId="02FDD402" w14:textId="77777777" w:rsidR="00F47099" w:rsidRPr="00F47099" w:rsidRDefault="00F47099">
            <w:pPr>
              <w:jc w:val="right"/>
              <w:rPr>
                <w:rFonts w:asciiTheme="majorHAnsi" w:hAnsiTheme="majorHAnsi" w:cstheme="majorHAnsi"/>
                <w:sz w:val="16"/>
                <w:szCs w:val="16"/>
              </w:rPr>
            </w:pPr>
          </w:p>
        </w:tc>
      </w:tr>
      <w:tr w:rsidR="00F47099" w:rsidRPr="00F47099" w14:paraId="7EC1EC8C" w14:textId="77777777" w:rsidTr="00F47099">
        <w:trPr>
          <w:trHeight w:hRule="exact" w:val="227"/>
        </w:trPr>
        <w:tc>
          <w:tcPr>
            <w:tcW w:w="0" w:type="auto"/>
            <w:gridSpan w:val="5"/>
            <w:tcBorders>
              <w:top w:val="nil"/>
              <w:left w:val="nil"/>
              <w:bottom w:val="nil"/>
              <w:right w:val="nil"/>
            </w:tcBorders>
            <w:shd w:val="clear" w:color="auto" w:fill="auto"/>
            <w:noWrap/>
            <w:vAlign w:val="bottom"/>
            <w:hideMark/>
          </w:tcPr>
          <w:p w14:paraId="10C55E5E" w14:textId="77777777" w:rsidR="00F47099" w:rsidRPr="00F47099" w:rsidRDefault="00F47099">
            <w:pPr>
              <w:jc w:val="center"/>
              <w:rPr>
                <w:rFonts w:asciiTheme="majorHAnsi" w:hAnsiTheme="majorHAnsi" w:cstheme="majorHAnsi"/>
                <w:sz w:val="16"/>
                <w:szCs w:val="16"/>
              </w:rPr>
            </w:pPr>
            <w:r w:rsidRPr="00F47099">
              <w:rPr>
                <w:rFonts w:asciiTheme="majorHAnsi" w:hAnsiTheme="majorHAnsi" w:cstheme="majorHAnsi"/>
                <w:sz w:val="16"/>
                <w:szCs w:val="16"/>
              </w:rPr>
              <w:t>(As Notas Explicativas são parte integrante das demonstrações contábeis intermediárias)</w:t>
            </w:r>
          </w:p>
        </w:tc>
      </w:tr>
    </w:tbl>
    <w:p w14:paraId="2CEBFDA5" w14:textId="746E6E77" w:rsidR="00F47099" w:rsidRDefault="00F47099" w:rsidP="00591E10"/>
    <w:p w14:paraId="4B90CF07" w14:textId="545EA5AA" w:rsidR="00F47099" w:rsidRDefault="00F47099" w:rsidP="00591E10"/>
    <w:p w14:paraId="4E063E01" w14:textId="60857EA2" w:rsidR="00F47099" w:rsidRDefault="00F47099" w:rsidP="00591E10"/>
    <w:p w14:paraId="7C57F79F" w14:textId="55C388BE" w:rsidR="00F47099" w:rsidRDefault="00F47099" w:rsidP="00591E10"/>
    <w:p w14:paraId="4961D623" w14:textId="4960D2E2" w:rsidR="00F47099" w:rsidRDefault="00F47099" w:rsidP="00591E10"/>
    <w:p w14:paraId="2286FD99" w14:textId="2FBB93BA" w:rsidR="00F47099" w:rsidRDefault="00F47099" w:rsidP="00591E10"/>
    <w:p w14:paraId="4A1F0270" w14:textId="22AD618D" w:rsidR="00F47099" w:rsidRDefault="00F47099" w:rsidP="00591E10"/>
    <w:p w14:paraId="7084100C" w14:textId="1568948C" w:rsidR="00F47099" w:rsidRDefault="00F47099" w:rsidP="00591E10"/>
    <w:p w14:paraId="68177FD2" w14:textId="688F87A2" w:rsidR="00F47099" w:rsidRDefault="00F47099" w:rsidP="00591E10"/>
    <w:p w14:paraId="655344B7" w14:textId="46800BC7" w:rsidR="00F47099" w:rsidRDefault="00F47099" w:rsidP="00591E10"/>
    <w:p w14:paraId="3950AF54" w14:textId="676301C7" w:rsidR="00F47099" w:rsidRDefault="00F47099" w:rsidP="00591E10"/>
    <w:p w14:paraId="5C482E72" w14:textId="582AAE9E" w:rsidR="00F47099" w:rsidRDefault="00F47099" w:rsidP="00591E10"/>
    <w:p w14:paraId="7879D01E" w14:textId="7431FE3D" w:rsidR="00F47099" w:rsidRDefault="00F47099" w:rsidP="00591E10"/>
    <w:p w14:paraId="3CF3675E" w14:textId="60D148B4" w:rsidR="00F47099" w:rsidRDefault="00F47099" w:rsidP="00591E10"/>
    <w:p w14:paraId="57DF0D23" w14:textId="2307D933" w:rsidR="00F47099" w:rsidRDefault="00F47099" w:rsidP="00591E10"/>
    <w:p w14:paraId="7F243910" w14:textId="013BF1BF" w:rsidR="00F47099" w:rsidRDefault="00F47099" w:rsidP="00591E10"/>
    <w:p w14:paraId="73B5D1FF" w14:textId="77777777" w:rsidR="00486CAC" w:rsidRDefault="00486CAC" w:rsidP="00591E10"/>
    <w:p w14:paraId="517D3821" w14:textId="4BDF3523" w:rsidR="00F47099" w:rsidRDefault="00F47099" w:rsidP="00591E10"/>
    <w:p w14:paraId="4D064FD0" w14:textId="0630BF13" w:rsidR="00F47099" w:rsidRDefault="00F47099" w:rsidP="00591E10"/>
    <w:p w14:paraId="171EED95" w14:textId="188D3104" w:rsidR="00F47099" w:rsidRDefault="00F47099" w:rsidP="00591E10"/>
    <w:p w14:paraId="7B9E2FA8" w14:textId="7E972BA0" w:rsidR="00F47099" w:rsidRDefault="00F47099" w:rsidP="00591E10"/>
    <w:p w14:paraId="08719309" w14:textId="08228821" w:rsidR="00F47099" w:rsidRDefault="00F47099" w:rsidP="00591E10"/>
    <w:p w14:paraId="2FCD14E2" w14:textId="69A6F319" w:rsidR="00F47099" w:rsidRDefault="00F47099" w:rsidP="00591E10"/>
    <w:p w14:paraId="44C8ED7C" w14:textId="6B4B7AFF" w:rsidR="00F47099" w:rsidRDefault="00F47099" w:rsidP="00591E10"/>
    <w:p w14:paraId="49BA7761" w14:textId="1182B010" w:rsidR="00F47099" w:rsidRDefault="00F47099" w:rsidP="00591E10"/>
    <w:p w14:paraId="5DA917E6" w14:textId="3B06B456" w:rsidR="00F47099" w:rsidRDefault="00F47099" w:rsidP="00591E10"/>
    <w:p w14:paraId="0B4122A9" w14:textId="5CDB5195" w:rsidR="00F47099" w:rsidRDefault="00F47099" w:rsidP="00591E10"/>
    <w:p w14:paraId="64D5B710" w14:textId="75DCDD44" w:rsidR="00F47099" w:rsidRDefault="00F47099" w:rsidP="00591E10"/>
    <w:p w14:paraId="35216E98" w14:textId="5E9C7E7B" w:rsidR="00F47099" w:rsidRDefault="00F47099" w:rsidP="00591E10"/>
    <w:p w14:paraId="34AD168A" w14:textId="6F468E83" w:rsidR="00F47099" w:rsidRDefault="00F47099" w:rsidP="00591E10"/>
    <w:tbl>
      <w:tblPr>
        <w:tblW w:w="5000" w:type="pct"/>
        <w:tblCellMar>
          <w:left w:w="70" w:type="dxa"/>
          <w:right w:w="70" w:type="dxa"/>
        </w:tblCellMar>
        <w:tblLook w:val="04A0" w:firstRow="1" w:lastRow="0" w:firstColumn="1" w:lastColumn="0" w:noHBand="0" w:noVBand="1"/>
      </w:tblPr>
      <w:tblGrid>
        <w:gridCol w:w="6730"/>
        <w:gridCol w:w="1698"/>
        <w:gridCol w:w="2039"/>
      </w:tblGrid>
      <w:tr w:rsidR="00F47099" w:rsidRPr="00F47099" w14:paraId="3B6DBA06" w14:textId="77777777" w:rsidTr="00F47099">
        <w:trPr>
          <w:trHeight w:hRule="exact" w:val="227"/>
        </w:trPr>
        <w:tc>
          <w:tcPr>
            <w:tcW w:w="5000" w:type="pct"/>
            <w:gridSpan w:val="3"/>
            <w:tcBorders>
              <w:top w:val="nil"/>
              <w:left w:val="nil"/>
              <w:bottom w:val="nil"/>
              <w:right w:val="nil"/>
            </w:tcBorders>
            <w:shd w:val="clear" w:color="000000" w:fill="FFFFFF"/>
            <w:noWrap/>
            <w:vAlign w:val="bottom"/>
            <w:hideMark/>
          </w:tcPr>
          <w:p w14:paraId="172D2EEB" w14:textId="77777777" w:rsidR="00F47099" w:rsidRPr="00F47099" w:rsidRDefault="00F47099">
            <w:pPr>
              <w:jc w:val="center"/>
              <w:rPr>
                <w:rFonts w:asciiTheme="majorHAnsi" w:hAnsiTheme="majorHAnsi" w:cstheme="majorHAnsi"/>
                <w:b/>
                <w:bCs/>
                <w:sz w:val="16"/>
                <w:szCs w:val="16"/>
              </w:rPr>
            </w:pPr>
            <w:r w:rsidRPr="00F47099">
              <w:rPr>
                <w:rFonts w:asciiTheme="majorHAnsi" w:hAnsiTheme="majorHAnsi" w:cstheme="majorHAnsi"/>
                <w:b/>
                <w:bCs/>
                <w:sz w:val="16"/>
                <w:szCs w:val="16"/>
              </w:rPr>
              <w:t>VALEC ENGENHARIA, CONSTRUÇÕES E FERROVIAS S/A</w:t>
            </w:r>
          </w:p>
        </w:tc>
      </w:tr>
      <w:tr w:rsidR="00F47099" w:rsidRPr="00F47099" w14:paraId="69FA0783" w14:textId="77777777" w:rsidTr="00F47099">
        <w:trPr>
          <w:trHeight w:hRule="exact" w:val="227"/>
        </w:trPr>
        <w:tc>
          <w:tcPr>
            <w:tcW w:w="5000" w:type="pct"/>
            <w:gridSpan w:val="3"/>
            <w:tcBorders>
              <w:top w:val="nil"/>
              <w:left w:val="nil"/>
              <w:bottom w:val="nil"/>
              <w:right w:val="nil"/>
            </w:tcBorders>
            <w:shd w:val="clear" w:color="000000" w:fill="FFFFFF"/>
            <w:noWrap/>
            <w:vAlign w:val="bottom"/>
            <w:hideMark/>
          </w:tcPr>
          <w:p w14:paraId="7B864B0C" w14:textId="77777777" w:rsidR="00F47099" w:rsidRPr="00F47099" w:rsidRDefault="00F47099">
            <w:pPr>
              <w:jc w:val="center"/>
              <w:rPr>
                <w:rFonts w:asciiTheme="majorHAnsi" w:hAnsiTheme="majorHAnsi" w:cstheme="majorHAnsi"/>
                <w:b/>
                <w:bCs/>
                <w:sz w:val="16"/>
                <w:szCs w:val="16"/>
              </w:rPr>
            </w:pPr>
            <w:r w:rsidRPr="00F47099">
              <w:rPr>
                <w:rFonts w:asciiTheme="majorHAnsi" w:hAnsiTheme="majorHAnsi" w:cstheme="majorHAnsi"/>
                <w:b/>
                <w:bCs/>
                <w:sz w:val="16"/>
                <w:szCs w:val="16"/>
              </w:rPr>
              <w:t>DEMONSTRAÇÕES DO FLUXO DE CAIXA</w:t>
            </w:r>
          </w:p>
        </w:tc>
      </w:tr>
      <w:tr w:rsidR="00F47099" w:rsidRPr="00F47099" w14:paraId="53497AB6" w14:textId="77777777" w:rsidTr="00F47099">
        <w:trPr>
          <w:trHeight w:hRule="exact" w:val="227"/>
        </w:trPr>
        <w:tc>
          <w:tcPr>
            <w:tcW w:w="5000" w:type="pct"/>
            <w:gridSpan w:val="3"/>
            <w:tcBorders>
              <w:top w:val="nil"/>
              <w:left w:val="nil"/>
              <w:bottom w:val="nil"/>
              <w:right w:val="nil"/>
            </w:tcBorders>
            <w:shd w:val="clear" w:color="auto" w:fill="auto"/>
            <w:noWrap/>
            <w:vAlign w:val="bottom"/>
            <w:hideMark/>
          </w:tcPr>
          <w:p w14:paraId="37FF2C0B" w14:textId="77777777" w:rsidR="00F47099" w:rsidRPr="00F47099" w:rsidRDefault="00F47099">
            <w:pPr>
              <w:jc w:val="center"/>
              <w:rPr>
                <w:rFonts w:asciiTheme="majorHAnsi" w:hAnsiTheme="majorHAnsi" w:cstheme="majorHAnsi"/>
                <w:b/>
                <w:bCs/>
                <w:sz w:val="16"/>
                <w:szCs w:val="16"/>
              </w:rPr>
            </w:pPr>
            <w:r w:rsidRPr="00F47099">
              <w:rPr>
                <w:rFonts w:asciiTheme="majorHAnsi" w:hAnsiTheme="majorHAnsi" w:cstheme="majorHAnsi"/>
                <w:b/>
                <w:bCs/>
                <w:sz w:val="16"/>
                <w:szCs w:val="16"/>
              </w:rPr>
              <w:t>2º TRIMESTRE 2022</w:t>
            </w:r>
          </w:p>
        </w:tc>
      </w:tr>
      <w:tr w:rsidR="00F47099" w:rsidRPr="00F47099" w14:paraId="177D918A" w14:textId="77777777" w:rsidTr="00F47099">
        <w:trPr>
          <w:trHeight w:hRule="exact" w:val="227"/>
        </w:trPr>
        <w:tc>
          <w:tcPr>
            <w:tcW w:w="5000" w:type="pct"/>
            <w:gridSpan w:val="3"/>
            <w:tcBorders>
              <w:top w:val="nil"/>
              <w:left w:val="nil"/>
              <w:bottom w:val="nil"/>
              <w:right w:val="nil"/>
            </w:tcBorders>
            <w:shd w:val="clear" w:color="000000" w:fill="FFFFFF"/>
            <w:noWrap/>
            <w:vAlign w:val="bottom"/>
            <w:hideMark/>
          </w:tcPr>
          <w:p w14:paraId="44F5745B" w14:textId="77777777" w:rsidR="00F47099" w:rsidRPr="00F47099" w:rsidRDefault="00F47099">
            <w:pPr>
              <w:jc w:val="center"/>
              <w:rPr>
                <w:rFonts w:asciiTheme="majorHAnsi" w:hAnsiTheme="majorHAnsi" w:cstheme="majorHAnsi"/>
                <w:b/>
                <w:bCs/>
                <w:sz w:val="16"/>
                <w:szCs w:val="16"/>
              </w:rPr>
            </w:pPr>
            <w:r w:rsidRPr="00F47099">
              <w:rPr>
                <w:rFonts w:asciiTheme="majorHAnsi" w:hAnsiTheme="majorHAnsi" w:cstheme="majorHAnsi"/>
                <w:b/>
                <w:bCs/>
                <w:sz w:val="16"/>
                <w:szCs w:val="16"/>
              </w:rPr>
              <w:t xml:space="preserve"> Em R$ 1 </w:t>
            </w:r>
          </w:p>
        </w:tc>
      </w:tr>
      <w:tr w:rsidR="00F47099" w:rsidRPr="00F47099" w14:paraId="26724143" w14:textId="77777777" w:rsidTr="00F47099">
        <w:trPr>
          <w:trHeight w:hRule="exact" w:val="227"/>
        </w:trPr>
        <w:tc>
          <w:tcPr>
            <w:tcW w:w="3215" w:type="pct"/>
            <w:tcBorders>
              <w:top w:val="nil"/>
              <w:left w:val="nil"/>
              <w:bottom w:val="nil"/>
              <w:right w:val="nil"/>
            </w:tcBorders>
            <w:shd w:val="clear" w:color="000000" w:fill="FFFFFF"/>
            <w:noWrap/>
            <w:vAlign w:val="bottom"/>
            <w:hideMark/>
          </w:tcPr>
          <w:p w14:paraId="535DB785" w14:textId="77777777" w:rsidR="00F47099" w:rsidRPr="00F47099" w:rsidRDefault="00F47099">
            <w:pPr>
              <w:rPr>
                <w:rFonts w:asciiTheme="majorHAnsi" w:hAnsiTheme="majorHAnsi" w:cstheme="majorHAnsi"/>
                <w:sz w:val="16"/>
                <w:szCs w:val="16"/>
              </w:rPr>
            </w:pPr>
            <w:r w:rsidRPr="00F47099">
              <w:rPr>
                <w:rFonts w:asciiTheme="majorHAnsi" w:hAnsiTheme="majorHAnsi" w:cstheme="majorHAnsi"/>
                <w:sz w:val="16"/>
                <w:szCs w:val="16"/>
              </w:rPr>
              <w:t> </w:t>
            </w:r>
          </w:p>
        </w:tc>
        <w:tc>
          <w:tcPr>
            <w:tcW w:w="811" w:type="pct"/>
            <w:tcBorders>
              <w:top w:val="nil"/>
              <w:left w:val="nil"/>
              <w:bottom w:val="nil"/>
              <w:right w:val="nil"/>
            </w:tcBorders>
            <w:shd w:val="clear" w:color="auto" w:fill="auto"/>
            <w:vAlign w:val="bottom"/>
            <w:hideMark/>
          </w:tcPr>
          <w:p w14:paraId="4D5654FD" w14:textId="77777777" w:rsidR="00F47099" w:rsidRPr="00F47099" w:rsidRDefault="00F47099">
            <w:pPr>
              <w:jc w:val="right"/>
              <w:rPr>
                <w:rFonts w:asciiTheme="majorHAnsi" w:hAnsiTheme="majorHAnsi" w:cstheme="majorHAnsi"/>
                <w:b/>
                <w:bCs/>
                <w:sz w:val="16"/>
                <w:szCs w:val="16"/>
              </w:rPr>
            </w:pPr>
            <w:r w:rsidRPr="00F47099">
              <w:rPr>
                <w:rFonts w:asciiTheme="majorHAnsi" w:hAnsiTheme="majorHAnsi" w:cstheme="majorHAnsi"/>
                <w:b/>
                <w:bCs/>
                <w:sz w:val="16"/>
                <w:szCs w:val="16"/>
              </w:rPr>
              <w:t>01/01/2022</w:t>
            </w:r>
          </w:p>
        </w:tc>
        <w:tc>
          <w:tcPr>
            <w:tcW w:w="974" w:type="pct"/>
            <w:tcBorders>
              <w:top w:val="nil"/>
              <w:left w:val="nil"/>
              <w:bottom w:val="nil"/>
              <w:right w:val="nil"/>
            </w:tcBorders>
            <w:shd w:val="clear" w:color="auto" w:fill="auto"/>
            <w:noWrap/>
            <w:vAlign w:val="bottom"/>
            <w:hideMark/>
          </w:tcPr>
          <w:p w14:paraId="0407486D" w14:textId="77777777" w:rsidR="00F47099" w:rsidRPr="00F47099" w:rsidRDefault="00F47099">
            <w:pPr>
              <w:jc w:val="right"/>
              <w:rPr>
                <w:rFonts w:asciiTheme="majorHAnsi" w:hAnsiTheme="majorHAnsi" w:cstheme="majorHAnsi"/>
                <w:b/>
                <w:bCs/>
                <w:sz w:val="16"/>
                <w:szCs w:val="16"/>
              </w:rPr>
            </w:pPr>
            <w:r w:rsidRPr="00F47099">
              <w:rPr>
                <w:rFonts w:asciiTheme="majorHAnsi" w:hAnsiTheme="majorHAnsi" w:cstheme="majorHAnsi"/>
                <w:b/>
                <w:bCs/>
                <w:sz w:val="16"/>
                <w:szCs w:val="16"/>
              </w:rPr>
              <w:t>01/01/2021</w:t>
            </w:r>
          </w:p>
        </w:tc>
      </w:tr>
      <w:tr w:rsidR="00F47099" w:rsidRPr="00F47099" w14:paraId="00E2BBEB" w14:textId="77777777" w:rsidTr="00F47099">
        <w:trPr>
          <w:trHeight w:hRule="exact" w:val="227"/>
        </w:trPr>
        <w:tc>
          <w:tcPr>
            <w:tcW w:w="3215" w:type="pct"/>
            <w:tcBorders>
              <w:top w:val="nil"/>
              <w:left w:val="nil"/>
              <w:bottom w:val="nil"/>
              <w:right w:val="nil"/>
            </w:tcBorders>
            <w:shd w:val="clear" w:color="000000" w:fill="FFFFFF"/>
            <w:noWrap/>
            <w:vAlign w:val="bottom"/>
            <w:hideMark/>
          </w:tcPr>
          <w:p w14:paraId="083E5BA5" w14:textId="77777777" w:rsidR="00F47099" w:rsidRPr="00F47099" w:rsidRDefault="00F47099">
            <w:pPr>
              <w:rPr>
                <w:rFonts w:asciiTheme="majorHAnsi" w:hAnsiTheme="majorHAnsi" w:cstheme="majorHAnsi"/>
                <w:sz w:val="16"/>
                <w:szCs w:val="16"/>
              </w:rPr>
            </w:pPr>
            <w:r w:rsidRPr="00F47099">
              <w:rPr>
                <w:rFonts w:asciiTheme="majorHAnsi" w:hAnsiTheme="majorHAnsi" w:cstheme="majorHAnsi"/>
                <w:sz w:val="16"/>
                <w:szCs w:val="16"/>
              </w:rPr>
              <w:t> </w:t>
            </w:r>
          </w:p>
        </w:tc>
        <w:tc>
          <w:tcPr>
            <w:tcW w:w="811" w:type="pct"/>
            <w:tcBorders>
              <w:top w:val="nil"/>
              <w:left w:val="nil"/>
              <w:bottom w:val="nil"/>
              <w:right w:val="nil"/>
            </w:tcBorders>
            <w:shd w:val="clear" w:color="auto" w:fill="auto"/>
            <w:noWrap/>
            <w:vAlign w:val="bottom"/>
            <w:hideMark/>
          </w:tcPr>
          <w:p w14:paraId="5B4E742C" w14:textId="77777777" w:rsidR="00F47099" w:rsidRPr="00F47099" w:rsidRDefault="00F47099">
            <w:pPr>
              <w:jc w:val="right"/>
              <w:rPr>
                <w:rFonts w:asciiTheme="majorHAnsi" w:hAnsiTheme="majorHAnsi" w:cstheme="majorHAnsi"/>
                <w:b/>
                <w:bCs/>
                <w:sz w:val="16"/>
                <w:szCs w:val="16"/>
              </w:rPr>
            </w:pPr>
            <w:r w:rsidRPr="00F47099">
              <w:rPr>
                <w:rFonts w:asciiTheme="majorHAnsi" w:hAnsiTheme="majorHAnsi" w:cstheme="majorHAnsi"/>
                <w:b/>
                <w:bCs/>
                <w:sz w:val="16"/>
                <w:szCs w:val="16"/>
              </w:rPr>
              <w:t xml:space="preserve"> a 30/06/2022</w:t>
            </w:r>
          </w:p>
        </w:tc>
        <w:tc>
          <w:tcPr>
            <w:tcW w:w="974" w:type="pct"/>
            <w:tcBorders>
              <w:top w:val="nil"/>
              <w:left w:val="nil"/>
              <w:bottom w:val="nil"/>
              <w:right w:val="nil"/>
            </w:tcBorders>
            <w:shd w:val="clear" w:color="auto" w:fill="auto"/>
            <w:noWrap/>
            <w:vAlign w:val="bottom"/>
            <w:hideMark/>
          </w:tcPr>
          <w:p w14:paraId="6BCBB4C4" w14:textId="77777777" w:rsidR="00F47099" w:rsidRPr="00F47099" w:rsidRDefault="00F47099">
            <w:pPr>
              <w:jc w:val="right"/>
              <w:rPr>
                <w:rFonts w:asciiTheme="majorHAnsi" w:hAnsiTheme="majorHAnsi" w:cstheme="majorHAnsi"/>
                <w:b/>
                <w:bCs/>
                <w:sz w:val="16"/>
                <w:szCs w:val="16"/>
              </w:rPr>
            </w:pPr>
            <w:r w:rsidRPr="00F47099">
              <w:rPr>
                <w:rFonts w:asciiTheme="majorHAnsi" w:hAnsiTheme="majorHAnsi" w:cstheme="majorHAnsi"/>
                <w:b/>
                <w:bCs/>
                <w:sz w:val="16"/>
                <w:szCs w:val="16"/>
              </w:rPr>
              <w:t xml:space="preserve"> a 30/06/2021</w:t>
            </w:r>
          </w:p>
        </w:tc>
      </w:tr>
      <w:tr w:rsidR="00F47099" w:rsidRPr="00F47099" w14:paraId="65461A0E" w14:textId="77777777" w:rsidTr="00F47099">
        <w:trPr>
          <w:trHeight w:hRule="exact" w:val="227"/>
        </w:trPr>
        <w:tc>
          <w:tcPr>
            <w:tcW w:w="3215" w:type="pct"/>
            <w:tcBorders>
              <w:top w:val="nil"/>
              <w:left w:val="nil"/>
              <w:bottom w:val="nil"/>
              <w:right w:val="nil"/>
            </w:tcBorders>
            <w:shd w:val="clear" w:color="000000" w:fill="FFFFFF"/>
            <w:noWrap/>
            <w:vAlign w:val="bottom"/>
            <w:hideMark/>
          </w:tcPr>
          <w:p w14:paraId="154FCB77" w14:textId="77777777" w:rsidR="00F47099" w:rsidRPr="00F47099" w:rsidRDefault="00F47099">
            <w:pPr>
              <w:rPr>
                <w:rFonts w:asciiTheme="majorHAnsi" w:hAnsiTheme="majorHAnsi" w:cstheme="majorHAnsi"/>
                <w:sz w:val="16"/>
                <w:szCs w:val="16"/>
              </w:rPr>
            </w:pPr>
            <w:r w:rsidRPr="00F47099">
              <w:rPr>
                <w:rFonts w:asciiTheme="majorHAnsi" w:hAnsiTheme="majorHAnsi" w:cstheme="majorHAnsi"/>
                <w:sz w:val="16"/>
                <w:szCs w:val="16"/>
              </w:rPr>
              <w:t> </w:t>
            </w:r>
          </w:p>
        </w:tc>
        <w:tc>
          <w:tcPr>
            <w:tcW w:w="811" w:type="pct"/>
            <w:tcBorders>
              <w:top w:val="nil"/>
              <w:left w:val="nil"/>
              <w:bottom w:val="nil"/>
              <w:right w:val="nil"/>
            </w:tcBorders>
            <w:shd w:val="clear" w:color="000000" w:fill="FFFFFF"/>
            <w:noWrap/>
            <w:vAlign w:val="bottom"/>
            <w:hideMark/>
          </w:tcPr>
          <w:p w14:paraId="313D4456" w14:textId="77777777" w:rsidR="00F47099" w:rsidRPr="00F47099" w:rsidRDefault="00F47099">
            <w:pPr>
              <w:jc w:val="right"/>
              <w:rPr>
                <w:rFonts w:asciiTheme="majorHAnsi" w:hAnsiTheme="majorHAnsi" w:cstheme="majorHAnsi"/>
                <w:b/>
                <w:bCs/>
                <w:sz w:val="16"/>
                <w:szCs w:val="16"/>
              </w:rPr>
            </w:pPr>
            <w:r w:rsidRPr="00F47099">
              <w:rPr>
                <w:rFonts w:asciiTheme="majorHAnsi" w:hAnsiTheme="majorHAnsi" w:cstheme="majorHAnsi"/>
                <w:b/>
                <w:bCs/>
                <w:sz w:val="16"/>
                <w:szCs w:val="16"/>
              </w:rPr>
              <w:t> </w:t>
            </w:r>
          </w:p>
        </w:tc>
        <w:tc>
          <w:tcPr>
            <w:tcW w:w="974" w:type="pct"/>
            <w:tcBorders>
              <w:top w:val="nil"/>
              <w:left w:val="nil"/>
              <w:bottom w:val="nil"/>
              <w:right w:val="nil"/>
            </w:tcBorders>
            <w:shd w:val="clear" w:color="000000" w:fill="FFFFFF"/>
            <w:noWrap/>
            <w:vAlign w:val="bottom"/>
            <w:hideMark/>
          </w:tcPr>
          <w:p w14:paraId="16736DC0" w14:textId="77777777" w:rsidR="00F47099" w:rsidRPr="00F47099" w:rsidRDefault="00F47099">
            <w:pPr>
              <w:jc w:val="right"/>
              <w:rPr>
                <w:rFonts w:asciiTheme="majorHAnsi" w:hAnsiTheme="majorHAnsi" w:cstheme="majorHAnsi"/>
                <w:b/>
                <w:bCs/>
                <w:sz w:val="16"/>
                <w:szCs w:val="16"/>
              </w:rPr>
            </w:pPr>
            <w:r w:rsidRPr="00F47099">
              <w:rPr>
                <w:rFonts w:asciiTheme="majorHAnsi" w:hAnsiTheme="majorHAnsi" w:cstheme="majorHAnsi"/>
                <w:b/>
                <w:bCs/>
                <w:sz w:val="16"/>
                <w:szCs w:val="16"/>
              </w:rPr>
              <w:t> </w:t>
            </w:r>
          </w:p>
        </w:tc>
      </w:tr>
      <w:tr w:rsidR="00F47099" w:rsidRPr="00F47099" w14:paraId="3FE9A50E" w14:textId="77777777" w:rsidTr="00F47099">
        <w:trPr>
          <w:trHeight w:hRule="exact" w:val="227"/>
        </w:trPr>
        <w:tc>
          <w:tcPr>
            <w:tcW w:w="5000" w:type="pct"/>
            <w:gridSpan w:val="3"/>
            <w:tcBorders>
              <w:top w:val="nil"/>
              <w:left w:val="nil"/>
              <w:bottom w:val="nil"/>
              <w:right w:val="nil"/>
            </w:tcBorders>
            <w:shd w:val="clear" w:color="000000" w:fill="FFFFFF"/>
            <w:noWrap/>
            <w:vAlign w:val="bottom"/>
            <w:hideMark/>
          </w:tcPr>
          <w:p w14:paraId="653F13DB" w14:textId="77777777" w:rsidR="00F47099" w:rsidRPr="00F47099" w:rsidRDefault="00F47099">
            <w:pPr>
              <w:jc w:val="center"/>
              <w:rPr>
                <w:rFonts w:asciiTheme="majorHAnsi" w:hAnsiTheme="majorHAnsi" w:cstheme="majorHAnsi"/>
                <w:b/>
                <w:bCs/>
                <w:sz w:val="16"/>
                <w:szCs w:val="16"/>
              </w:rPr>
            </w:pPr>
            <w:r w:rsidRPr="00F47099">
              <w:rPr>
                <w:rFonts w:asciiTheme="majorHAnsi" w:hAnsiTheme="majorHAnsi" w:cstheme="majorHAnsi"/>
                <w:b/>
                <w:bCs/>
                <w:sz w:val="16"/>
                <w:szCs w:val="16"/>
              </w:rPr>
              <w:t xml:space="preserve"> FLUXOS DE CAIXA DAS ATIVIDADES OPERACIONAIS </w:t>
            </w:r>
          </w:p>
        </w:tc>
      </w:tr>
      <w:tr w:rsidR="00F47099" w:rsidRPr="00F47099" w14:paraId="4A1D6477" w14:textId="77777777" w:rsidTr="00F47099">
        <w:trPr>
          <w:trHeight w:hRule="exact" w:val="227"/>
        </w:trPr>
        <w:tc>
          <w:tcPr>
            <w:tcW w:w="3215" w:type="pct"/>
            <w:tcBorders>
              <w:top w:val="nil"/>
              <w:left w:val="nil"/>
              <w:bottom w:val="nil"/>
              <w:right w:val="nil"/>
            </w:tcBorders>
            <w:shd w:val="clear" w:color="000000" w:fill="FFFFFF"/>
            <w:noWrap/>
            <w:vAlign w:val="bottom"/>
            <w:hideMark/>
          </w:tcPr>
          <w:p w14:paraId="016DE487" w14:textId="77777777" w:rsidR="00F47099" w:rsidRPr="00F47099" w:rsidRDefault="00F47099">
            <w:pPr>
              <w:jc w:val="center"/>
              <w:rPr>
                <w:rFonts w:asciiTheme="majorHAnsi" w:hAnsiTheme="majorHAnsi" w:cstheme="majorHAnsi"/>
                <w:b/>
                <w:bCs/>
                <w:sz w:val="16"/>
                <w:szCs w:val="16"/>
              </w:rPr>
            </w:pPr>
            <w:r w:rsidRPr="00F47099">
              <w:rPr>
                <w:rFonts w:asciiTheme="majorHAnsi" w:hAnsiTheme="majorHAnsi" w:cstheme="majorHAnsi"/>
                <w:b/>
                <w:bCs/>
                <w:sz w:val="16"/>
                <w:szCs w:val="16"/>
              </w:rPr>
              <w:t> </w:t>
            </w:r>
          </w:p>
        </w:tc>
        <w:tc>
          <w:tcPr>
            <w:tcW w:w="811" w:type="pct"/>
            <w:tcBorders>
              <w:top w:val="nil"/>
              <w:left w:val="nil"/>
              <w:bottom w:val="nil"/>
              <w:right w:val="nil"/>
            </w:tcBorders>
            <w:shd w:val="clear" w:color="000000" w:fill="FFFFFF"/>
            <w:noWrap/>
            <w:vAlign w:val="bottom"/>
            <w:hideMark/>
          </w:tcPr>
          <w:p w14:paraId="6FE4CBBB" w14:textId="77777777" w:rsidR="00F47099" w:rsidRPr="00F47099" w:rsidRDefault="00F47099">
            <w:pPr>
              <w:jc w:val="center"/>
              <w:rPr>
                <w:rFonts w:asciiTheme="majorHAnsi" w:hAnsiTheme="majorHAnsi" w:cstheme="majorHAnsi"/>
                <w:b/>
                <w:bCs/>
                <w:sz w:val="16"/>
                <w:szCs w:val="16"/>
              </w:rPr>
            </w:pPr>
            <w:r w:rsidRPr="00F47099">
              <w:rPr>
                <w:rFonts w:asciiTheme="majorHAnsi" w:hAnsiTheme="majorHAnsi" w:cstheme="majorHAnsi"/>
                <w:b/>
                <w:bCs/>
                <w:sz w:val="16"/>
                <w:szCs w:val="16"/>
              </w:rPr>
              <w:t> </w:t>
            </w:r>
          </w:p>
        </w:tc>
        <w:tc>
          <w:tcPr>
            <w:tcW w:w="974" w:type="pct"/>
            <w:tcBorders>
              <w:top w:val="nil"/>
              <w:left w:val="nil"/>
              <w:bottom w:val="nil"/>
              <w:right w:val="nil"/>
            </w:tcBorders>
            <w:shd w:val="clear" w:color="auto" w:fill="auto"/>
            <w:noWrap/>
            <w:vAlign w:val="bottom"/>
            <w:hideMark/>
          </w:tcPr>
          <w:p w14:paraId="3768CA15" w14:textId="77777777" w:rsidR="00F47099" w:rsidRPr="00F47099" w:rsidRDefault="00F47099">
            <w:pPr>
              <w:jc w:val="center"/>
              <w:rPr>
                <w:rFonts w:asciiTheme="majorHAnsi" w:hAnsiTheme="majorHAnsi" w:cstheme="majorHAnsi"/>
                <w:b/>
                <w:bCs/>
                <w:sz w:val="16"/>
                <w:szCs w:val="16"/>
              </w:rPr>
            </w:pPr>
          </w:p>
        </w:tc>
      </w:tr>
      <w:tr w:rsidR="00F47099" w:rsidRPr="00F47099" w14:paraId="28A9D06E" w14:textId="77777777" w:rsidTr="00F47099">
        <w:trPr>
          <w:trHeight w:hRule="exact" w:val="227"/>
        </w:trPr>
        <w:tc>
          <w:tcPr>
            <w:tcW w:w="3215" w:type="pct"/>
            <w:tcBorders>
              <w:top w:val="nil"/>
              <w:left w:val="nil"/>
              <w:bottom w:val="nil"/>
              <w:right w:val="nil"/>
            </w:tcBorders>
            <w:shd w:val="clear" w:color="000000" w:fill="FFFFFF"/>
            <w:noWrap/>
            <w:vAlign w:val="bottom"/>
            <w:hideMark/>
          </w:tcPr>
          <w:p w14:paraId="64A40517" w14:textId="77777777" w:rsidR="00F47099" w:rsidRPr="00F47099" w:rsidRDefault="00F47099">
            <w:pPr>
              <w:rPr>
                <w:rFonts w:asciiTheme="majorHAnsi" w:hAnsiTheme="majorHAnsi" w:cstheme="majorHAnsi"/>
                <w:b/>
                <w:bCs/>
                <w:sz w:val="16"/>
                <w:szCs w:val="16"/>
              </w:rPr>
            </w:pPr>
            <w:r w:rsidRPr="00F47099">
              <w:rPr>
                <w:rFonts w:asciiTheme="majorHAnsi" w:hAnsiTheme="majorHAnsi" w:cstheme="majorHAnsi"/>
                <w:b/>
                <w:bCs/>
                <w:sz w:val="16"/>
                <w:szCs w:val="16"/>
              </w:rPr>
              <w:t xml:space="preserve"> Resultado do Exercício </w:t>
            </w:r>
          </w:p>
        </w:tc>
        <w:tc>
          <w:tcPr>
            <w:tcW w:w="811" w:type="pct"/>
            <w:tcBorders>
              <w:top w:val="nil"/>
              <w:left w:val="nil"/>
              <w:bottom w:val="nil"/>
              <w:right w:val="nil"/>
            </w:tcBorders>
            <w:shd w:val="clear" w:color="000000" w:fill="FFFFFF"/>
            <w:noWrap/>
            <w:vAlign w:val="bottom"/>
            <w:hideMark/>
          </w:tcPr>
          <w:p w14:paraId="036437B9" w14:textId="77777777" w:rsidR="00F47099" w:rsidRPr="00F47099" w:rsidRDefault="00F47099" w:rsidP="00F47099">
            <w:pPr>
              <w:jc w:val="right"/>
              <w:rPr>
                <w:rFonts w:asciiTheme="majorHAnsi" w:hAnsiTheme="majorHAnsi" w:cstheme="majorHAnsi"/>
                <w:b/>
                <w:bCs/>
                <w:sz w:val="16"/>
                <w:szCs w:val="16"/>
              </w:rPr>
            </w:pPr>
            <w:r w:rsidRPr="00F47099">
              <w:rPr>
                <w:rFonts w:asciiTheme="majorHAnsi" w:hAnsiTheme="majorHAnsi" w:cstheme="majorHAnsi"/>
                <w:b/>
                <w:bCs/>
                <w:sz w:val="16"/>
                <w:szCs w:val="16"/>
              </w:rPr>
              <w:t xml:space="preserve">            32.831.052 </w:t>
            </w:r>
          </w:p>
        </w:tc>
        <w:tc>
          <w:tcPr>
            <w:tcW w:w="974" w:type="pct"/>
            <w:tcBorders>
              <w:top w:val="nil"/>
              <w:left w:val="nil"/>
              <w:bottom w:val="nil"/>
              <w:right w:val="nil"/>
            </w:tcBorders>
            <w:shd w:val="clear" w:color="000000" w:fill="FFFFFF"/>
            <w:noWrap/>
            <w:vAlign w:val="bottom"/>
            <w:hideMark/>
          </w:tcPr>
          <w:p w14:paraId="36BA6B0E" w14:textId="77777777" w:rsidR="00F47099" w:rsidRPr="00F47099" w:rsidRDefault="00F47099" w:rsidP="00F47099">
            <w:pPr>
              <w:jc w:val="right"/>
              <w:rPr>
                <w:rFonts w:asciiTheme="majorHAnsi" w:hAnsiTheme="majorHAnsi" w:cstheme="majorHAnsi"/>
                <w:b/>
                <w:bCs/>
                <w:sz w:val="16"/>
                <w:szCs w:val="16"/>
              </w:rPr>
            </w:pPr>
            <w:r w:rsidRPr="00F47099">
              <w:rPr>
                <w:rFonts w:asciiTheme="majorHAnsi" w:hAnsiTheme="majorHAnsi" w:cstheme="majorHAnsi"/>
                <w:b/>
                <w:bCs/>
                <w:sz w:val="16"/>
                <w:szCs w:val="16"/>
              </w:rPr>
              <w:t xml:space="preserve">                 (59.096.532)</w:t>
            </w:r>
          </w:p>
        </w:tc>
      </w:tr>
      <w:tr w:rsidR="00F47099" w:rsidRPr="00F47099" w14:paraId="0DFE38CF" w14:textId="77777777" w:rsidTr="00F47099">
        <w:trPr>
          <w:trHeight w:hRule="exact" w:val="227"/>
        </w:trPr>
        <w:tc>
          <w:tcPr>
            <w:tcW w:w="3215" w:type="pct"/>
            <w:tcBorders>
              <w:top w:val="nil"/>
              <w:left w:val="nil"/>
              <w:bottom w:val="nil"/>
              <w:right w:val="nil"/>
            </w:tcBorders>
            <w:shd w:val="clear" w:color="000000" w:fill="FFFFFF"/>
            <w:noWrap/>
            <w:vAlign w:val="bottom"/>
            <w:hideMark/>
          </w:tcPr>
          <w:p w14:paraId="15ADC55C" w14:textId="1432C9BA" w:rsidR="00F47099" w:rsidRPr="00F47099" w:rsidRDefault="00F47099">
            <w:pPr>
              <w:rPr>
                <w:rFonts w:asciiTheme="majorHAnsi" w:hAnsiTheme="majorHAnsi" w:cstheme="majorHAnsi"/>
                <w:sz w:val="16"/>
                <w:szCs w:val="16"/>
              </w:rPr>
            </w:pPr>
            <w:r w:rsidRPr="00F47099">
              <w:rPr>
                <w:rFonts w:asciiTheme="majorHAnsi" w:hAnsiTheme="majorHAnsi" w:cstheme="majorHAnsi"/>
                <w:sz w:val="16"/>
                <w:szCs w:val="16"/>
              </w:rPr>
              <w:t xml:space="preserve"> Ajustes do resultado do período </w:t>
            </w:r>
          </w:p>
        </w:tc>
        <w:tc>
          <w:tcPr>
            <w:tcW w:w="811" w:type="pct"/>
            <w:tcBorders>
              <w:top w:val="nil"/>
              <w:left w:val="nil"/>
              <w:bottom w:val="nil"/>
              <w:right w:val="nil"/>
            </w:tcBorders>
            <w:shd w:val="clear" w:color="000000" w:fill="FFFFFF"/>
            <w:noWrap/>
            <w:vAlign w:val="bottom"/>
            <w:hideMark/>
          </w:tcPr>
          <w:p w14:paraId="46791324" w14:textId="77777777" w:rsidR="00F47099" w:rsidRPr="00F47099" w:rsidRDefault="00F47099" w:rsidP="00F47099">
            <w:pPr>
              <w:jc w:val="right"/>
              <w:rPr>
                <w:rFonts w:asciiTheme="majorHAnsi" w:hAnsiTheme="majorHAnsi" w:cstheme="majorHAnsi"/>
                <w:sz w:val="16"/>
                <w:szCs w:val="16"/>
              </w:rPr>
            </w:pPr>
            <w:r w:rsidRPr="00F47099">
              <w:rPr>
                <w:rFonts w:asciiTheme="majorHAnsi" w:hAnsiTheme="majorHAnsi" w:cstheme="majorHAnsi"/>
                <w:sz w:val="16"/>
                <w:szCs w:val="16"/>
              </w:rPr>
              <w:t xml:space="preserve">        (107.690.983)</w:t>
            </w:r>
          </w:p>
        </w:tc>
        <w:tc>
          <w:tcPr>
            <w:tcW w:w="974" w:type="pct"/>
            <w:tcBorders>
              <w:top w:val="nil"/>
              <w:left w:val="nil"/>
              <w:bottom w:val="nil"/>
              <w:right w:val="nil"/>
            </w:tcBorders>
            <w:shd w:val="clear" w:color="000000" w:fill="FFFFFF"/>
            <w:noWrap/>
            <w:vAlign w:val="bottom"/>
            <w:hideMark/>
          </w:tcPr>
          <w:p w14:paraId="2DE0392D" w14:textId="77777777" w:rsidR="00F47099" w:rsidRPr="00F47099" w:rsidRDefault="00F47099" w:rsidP="00F47099">
            <w:pPr>
              <w:jc w:val="right"/>
              <w:rPr>
                <w:rFonts w:asciiTheme="majorHAnsi" w:hAnsiTheme="majorHAnsi" w:cstheme="majorHAnsi"/>
                <w:sz w:val="16"/>
                <w:szCs w:val="16"/>
              </w:rPr>
            </w:pPr>
            <w:r w:rsidRPr="00F47099">
              <w:rPr>
                <w:rFonts w:asciiTheme="majorHAnsi" w:hAnsiTheme="majorHAnsi" w:cstheme="majorHAnsi"/>
                <w:sz w:val="16"/>
                <w:szCs w:val="16"/>
              </w:rPr>
              <w:t xml:space="preserve">                   (9.877.333)</w:t>
            </w:r>
          </w:p>
        </w:tc>
      </w:tr>
      <w:tr w:rsidR="00F47099" w:rsidRPr="00F47099" w14:paraId="111DAE78" w14:textId="77777777" w:rsidTr="00F47099">
        <w:trPr>
          <w:trHeight w:hRule="exact" w:val="227"/>
        </w:trPr>
        <w:tc>
          <w:tcPr>
            <w:tcW w:w="3215" w:type="pct"/>
            <w:tcBorders>
              <w:top w:val="nil"/>
              <w:left w:val="nil"/>
              <w:bottom w:val="nil"/>
              <w:right w:val="nil"/>
            </w:tcBorders>
            <w:shd w:val="clear" w:color="000000" w:fill="FFFFFF"/>
            <w:noWrap/>
            <w:vAlign w:val="bottom"/>
            <w:hideMark/>
          </w:tcPr>
          <w:p w14:paraId="6CD61F49" w14:textId="77777777" w:rsidR="00F47099" w:rsidRPr="00F47099" w:rsidRDefault="00F47099">
            <w:pPr>
              <w:rPr>
                <w:rFonts w:asciiTheme="majorHAnsi" w:hAnsiTheme="majorHAnsi" w:cstheme="majorHAnsi"/>
                <w:sz w:val="16"/>
                <w:szCs w:val="16"/>
              </w:rPr>
            </w:pPr>
            <w:r w:rsidRPr="00F47099">
              <w:rPr>
                <w:rFonts w:asciiTheme="majorHAnsi" w:hAnsiTheme="majorHAnsi" w:cstheme="majorHAnsi"/>
                <w:sz w:val="16"/>
                <w:szCs w:val="16"/>
              </w:rPr>
              <w:t xml:space="preserve">      Depreciação e Amortização </w:t>
            </w:r>
          </w:p>
        </w:tc>
        <w:tc>
          <w:tcPr>
            <w:tcW w:w="811" w:type="pct"/>
            <w:tcBorders>
              <w:top w:val="nil"/>
              <w:left w:val="nil"/>
              <w:bottom w:val="nil"/>
              <w:right w:val="nil"/>
            </w:tcBorders>
            <w:shd w:val="clear" w:color="000000" w:fill="FFFFFF"/>
            <w:noWrap/>
            <w:vAlign w:val="bottom"/>
            <w:hideMark/>
          </w:tcPr>
          <w:p w14:paraId="6D7B154C" w14:textId="77777777" w:rsidR="00F47099" w:rsidRPr="00F47099" w:rsidRDefault="00F47099" w:rsidP="00F47099">
            <w:pPr>
              <w:jc w:val="right"/>
              <w:rPr>
                <w:rFonts w:asciiTheme="majorHAnsi" w:hAnsiTheme="majorHAnsi" w:cstheme="majorHAnsi"/>
                <w:sz w:val="16"/>
                <w:szCs w:val="16"/>
              </w:rPr>
            </w:pPr>
            <w:r w:rsidRPr="00F47099">
              <w:rPr>
                <w:rFonts w:asciiTheme="majorHAnsi" w:hAnsiTheme="majorHAnsi" w:cstheme="majorHAnsi"/>
                <w:sz w:val="16"/>
                <w:szCs w:val="16"/>
              </w:rPr>
              <w:t xml:space="preserve">              4.003.488 </w:t>
            </w:r>
          </w:p>
        </w:tc>
        <w:tc>
          <w:tcPr>
            <w:tcW w:w="974" w:type="pct"/>
            <w:tcBorders>
              <w:top w:val="nil"/>
              <w:left w:val="nil"/>
              <w:bottom w:val="nil"/>
              <w:right w:val="nil"/>
            </w:tcBorders>
            <w:shd w:val="clear" w:color="000000" w:fill="FFFFFF"/>
            <w:noWrap/>
            <w:vAlign w:val="bottom"/>
            <w:hideMark/>
          </w:tcPr>
          <w:p w14:paraId="25ED0676" w14:textId="77777777" w:rsidR="00F47099" w:rsidRPr="00F47099" w:rsidRDefault="00F47099" w:rsidP="00F47099">
            <w:pPr>
              <w:jc w:val="right"/>
              <w:rPr>
                <w:rFonts w:asciiTheme="majorHAnsi" w:hAnsiTheme="majorHAnsi" w:cstheme="majorHAnsi"/>
                <w:sz w:val="16"/>
                <w:szCs w:val="16"/>
              </w:rPr>
            </w:pPr>
            <w:r w:rsidRPr="00F47099">
              <w:rPr>
                <w:rFonts w:asciiTheme="majorHAnsi" w:hAnsiTheme="majorHAnsi" w:cstheme="majorHAnsi"/>
                <w:sz w:val="16"/>
                <w:szCs w:val="16"/>
              </w:rPr>
              <w:t xml:space="preserve">                     5.585.451 </w:t>
            </w:r>
          </w:p>
        </w:tc>
      </w:tr>
      <w:tr w:rsidR="00F47099" w:rsidRPr="00F47099" w14:paraId="5E1CC0E0" w14:textId="77777777" w:rsidTr="00F47099">
        <w:trPr>
          <w:trHeight w:hRule="exact" w:val="227"/>
        </w:trPr>
        <w:tc>
          <w:tcPr>
            <w:tcW w:w="3215" w:type="pct"/>
            <w:tcBorders>
              <w:top w:val="nil"/>
              <w:left w:val="nil"/>
              <w:bottom w:val="nil"/>
              <w:right w:val="nil"/>
            </w:tcBorders>
            <w:shd w:val="clear" w:color="000000" w:fill="FFFFFF"/>
            <w:noWrap/>
            <w:vAlign w:val="bottom"/>
            <w:hideMark/>
          </w:tcPr>
          <w:p w14:paraId="3ABADDA7" w14:textId="77777777" w:rsidR="00F47099" w:rsidRPr="00F47099" w:rsidRDefault="00F47099">
            <w:pPr>
              <w:rPr>
                <w:rFonts w:asciiTheme="majorHAnsi" w:hAnsiTheme="majorHAnsi" w:cstheme="majorHAnsi"/>
                <w:sz w:val="16"/>
                <w:szCs w:val="16"/>
              </w:rPr>
            </w:pPr>
            <w:r w:rsidRPr="00F47099">
              <w:rPr>
                <w:rFonts w:asciiTheme="majorHAnsi" w:hAnsiTheme="majorHAnsi" w:cstheme="majorHAnsi"/>
                <w:sz w:val="16"/>
                <w:szCs w:val="16"/>
              </w:rPr>
              <w:t xml:space="preserve">      Resultado na Baixa de Ativos Imobilizados / Intangíveis </w:t>
            </w:r>
          </w:p>
        </w:tc>
        <w:tc>
          <w:tcPr>
            <w:tcW w:w="811" w:type="pct"/>
            <w:tcBorders>
              <w:top w:val="nil"/>
              <w:left w:val="nil"/>
              <w:bottom w:val="nil"/>
              <w:right w:val="nil"/>
            </w:tcBorders>
            <w:shd w:val="clear" w:color="000000" w:fill="FFFFFF"/>
            <w:noWrap/>
            <w:vAlign w:val="bottom"/>
            <w:hideMark/>
          </w:tcPr>
          <w:p w14:paraId="2DD62204" w14:textId="77777777" w:rsidR="00F47099" w:rsidRPr="00F47099" w:rsidRDefault="00F47099" w:rsidP="00F47099">
            <w:pPr>
              <w:jc w:val="right"/>
              <w:rPr>
                <w:rFonts w:asciiTheme="majorHAnsi" w:hAnsiTheme="majorHAnsi" w:cstheme="majorHAnsi"/>
                <w:sz w:val="16"/>
                <w:szCs w:val="16"/>
              </w:rPr>
            </w:pPr>
            <w:r w:rsidRPr="00F47099">
              <w:rPr>
                <w:rFonts w:asciiTheme="majorHAnsi" w:hAnsiTheme="majorHAnsi" w:cstheme="majorHAnsi"/>
                <w:sz w:val="16"/>
                <w:szCs w:val="16"/>
              </w:rPr>
              <w:t xml:space="preserve">              6.075.789 </w:t>
            </w:r>
          </w:p>
        </w:tc>
        <w:tc>
          <w:tcPr>
            <w:tcW w:w="974" w:type="pct"/>
            <w:tcBorders>
              <w:top w:val="nil"/>
              <w:left w:val="nil"/>
              <w:bottom w:val="nil"/>
              <w:right w:val="nil"/>
            </w:tcBorders>
            <w:shd w:val="clear" w:color="000000" w:fill="FFFFFF"/>
            <w:noWrap/>
            <w:vAlign w:val="bottom"/>
            <w:hideMark/>
          </w:tcPr>
          <w:p w14:paraId="0AE3BED6" w14:textId="77777777" w:rsidR="00F47099" w:rsidRPr="00F47099" w:rsidRDefault="00F47099" w:rsidP="00F47099">
            <w:pPr>
              <w:jc w:val="right"/>
              <w:rPr>
                <w:rFonts w:asciiTheme="majorHAnsi" w:hAnsiTheme="majorHAnsi" w:cstheme="majorHAnsi"/>
                <w:sz w:val="16"/>
                <w:szCs w:val="16"/>
              </w:rPr>
            </w:pPr>
            <w:r w:rsidRPr="00F47099">
              <w:rPr>
                <w:rFonts w:asciiTheme="majorHAnsi" w:hAnsiTheme="majorHAnsi" w:cstheme="majorHAnsi"/>
                <w:sz w:val="16"/>
                <w:szCs w:val="16"/>
              </w:rPr>
              <w:t xml:space="preserve">                          45.904 </w:t>
            </w:r>
          </w:p>
        </w:tc>
      </w:tr>
      <w:tr w:rsidR="00F47099" w:rsidRPr="00F47099" w14:paraId="3BE5A67F" w14:textId="77777777" w:rsidTr="00F47099">
        <w:trPr>
          <w:trHeight w:hRule="exact" w:val="227"/>
        </w:trPr>
        <w:tc>
          <w:tcPr>
            <w:tcW w:w="3215" w:type="pct"/>
            <w:tcBorders>
              <w:top w:val="nil"/>
              <w:left w:val="nil"/>
              <w:bottom w:val="nil"/>
              <w:right w:val="nil"/>
            </w:tcBorders>
            <w:shd w:val="clear" w:color="000000" w:fill="FFFFFF"/>
            <w:noWrap/>
            <w:vAlign w:val="bottom"/>
            <w:hideMark/>
          </w:tcPr>
          <w:p w14:paraId="102046DE" w14:textId="77777777" w:rsidR="00F47099" w:rsidRPr="00F47099" w:rsidRDefault="00F47099">
            <w:pPr>
              <w:rPr>
                <w:rFonts w:asciiTheme="majorHAnsi" w:hAnsiTheme="majorHAnsi" w:cstheme="majorHAnsi"/>
                <w:sz w:val="16"/>
                <w:szCs w:val="16"/>
              </w:rPr>
            </w:pPr>
            <w:r w:rsidRPr="00F47099">
              <w:rPr>
                <w:rFonts w:asciiTheme="majorHAnsi" w:hAnsiTheme="majorHAnsi" w:cstheme="majorHAnsi"/>
                <w:sz w:val="16"/>
                <w:szCs w:val="16"/>
              </w:rPr>
              <w:t xml:space="preserve">      Atualização Monetária Ativa </w:t>
            </w:r>
          </w:p>
        </w:tc>
        <w:tc>
          <w:tcPr>
            <w:tcW w:w="811" w:type="pct"/>
            <w:tcBorders>
              <w:top w:val="nil"/>
              <w:left w:val="nil"/>
              <w:bottom w:val="nil"/>
              <w:right w:val="nil"/>
            </w:tcBorders>
            <w:shd w:val="clear" w:color="000000" w:fill="FFFFFF"/>
            <w:noWrap/>
            <w:vAlign w:val="bottom"/>
            <w:hideMark/>
          </w:tcPr>
          <w:p w14:paraId="414B5EEE" w14:textId="77777777" w:rsidR="00F47099" w:rsidRPr="00F47099" w:rsidRDefault="00F47099" w:rsidP="00F47099">
            <w:pPr>
              <w:jc w:val="right"/>
              <w:rPr>
                <w:rFonts w:asciiTheme="majorHAnsi" w:hAnsiTheme="majorHAnsi" w:cstheme="majorHAnsi"/>
                <w:sz w:val="16"/>
                <w:szCs w:val="16"/>
              </w:rPr>
            </w:pPr>
            <w:r w:rsidRPr="00F47099">
              <w:rPr>
                <w:rFonts w:asciiTheme="majorHAnsi" w:hAnsiTheme="majorHAnsi" w:cstheme="majorHAnsi"/>
                <w:sz w:val="16"/>
                <w:szCs w:val="16"/>
              </w:rPr>
              <w:t xml:space="preserve">            (3.411.660)</w:t>
            </w:r>
          </w:p>
        </w:tc>
        <w:tc>
          <w:tcPr>
            <w:tcW w:w="974" w:type="pct"/>
            <w:tcBorders>
              <w:top w:val="nil"/>
              <w:left w:val="nil"/>
              <w:bottom w:val="nil"/>
              <w:right w:val="nil"/>
            </w:tcBorders>
            <w:shd w:val="clear" w:color="000000" w:fill="FFFFFF"/>
            <w:noWrap/>
            <w:vAlign w:val="bottom"/>
            <w:hideMark/>
          </w:tcPr>
          <w:p w14:paraId="0385B7B7" w14:textId="77777777" w:rsidR="00F47099" w:rsidRPr="00F47099" w:rsidRDefault="00F47099" w:rsidP="00F47099">
            <w:pPr>
              <w:jc w:val="right"/>
              <w:rPr>
                <w:rFonts w:asciiTheme="majorHAnsi" w:hAnsiTheme="majorHAnsi" w:cstheme="majorHAnsi"/>
                <w:sz w:val="16"/>
                <w:szCs w:val="16"/>
              </w:rPr>
            </w:pPr>
            <w:r w:rsidRPr="00F47099">
              <w:rPr>
                <w:rFonts w:asciiTheme="majorHAnsi" w:hAnsiTheme="majorHAnsi" w:cstheme="majorHAnsi"/>
                <w:sz w:val="16"/>
                <w:szCs w:val="16"/>
              </w:rPr>
              <w:t xml:space="preserve">                   (3.372.510)</w:t>
            </w:r>
          </w:p>
        </w:tc>
      </w:tr>
      <w:tr w:rsidR="00F47099" w:rsidRPr="00F47099" w14:paraId="3604D26A" w14:textId="77777777" w:rsidTr="00F47099">
        <w:trPr>
          <w:trHeight w:hRule="exact" w:val="227"/>
        </w:trPr>
        <w:tc>
          <w:tcPr>
            <w:tcW w:w="3215" w:type="pct"/>
            <w:tcBorders>
              <w:top w:val="nil"/>
              <w:left w:val="nil"/>
              <w:bottom w:val="nil"/>
              <w:right w:val="nil"/>
            </w:tcBorders>
            <w:shd w:val="clear" w:color="000000" w:fill="FFFFFF"/>
            <w:noWrap/>
            <w:vAlign w:val="bottom"/>
            <w:hideMark/>
          </w:tcPr>
          <w:p w14:paraId="743126C2" w14:textId="77777777" w:rsidR="00F47099" w:rsidRPr="00F47099" w:rsidRDefault="00F47099">
            <w:pPr>
              <w:rPr>
                <w:rFonts w:asciiTheme="majorHAnsi" w:hAnsiTheme="majorHAnsi" w:cstheme="majorHAnsi"/>
                <w:sz w:val="16"/>
                <w:szCs w:val="16"/>
              </w:rPr>
            </w:pPr>
            <w:r w:rsidRPr="00F47099">
              <w:rPr>
                <w:rFonts w:asciiTheme="majorHAnsi" w:hAnsiTheme="majorHAnsi" w:cstheme="majorHAnsi"/>
                <w:sz w:val="16"/>
                <w:szCs w:val="16"/>
              </w:rPr>
              <w:t xml:space="preserve">      Despesas Líquidas de Provisões para Contingências </w:t>
            </w:r>
          </w:p>
        </w:tc>
        <w:tc>
          <w:tcPr>
            <w:tcW w:w="811" w:type="pct"/>
            <w:tcBorders>
              <w:top w:val="nil"/>
              <w:left w:val="nil"/>
              <w:bottom w:val="nil"/>
              <w:right w:val="nil"/>
            </w:tcBorders>
            <w:shd w:val="clear" w:color="000000" w:fill="FFFFFF"/>
            <w:noWrap/>
            <w:vAlign w:val="bottom"/>
            <w:hideMark/>
          </w:tcPr>
          <w:p w14:paraId="1CA8CB67" w14:textId="77777777" w:rsidR="00F47099" w:rsidRPr="00F47099" w:rsidRDefault="00F47099" w:rsidP="00F47099">
            <w:pPr>
              <w:jc w:val="right"/>
              <w:rPr>
                <w:rFonts w:asciiTheme="majorHAnsi" w:hAnsiTheme="majorHAnsi" w:cstheme="majorHAnsi"/>
                <w:sz w:val="16"/>
                <w:szCs w:val="16"/>
              </w:rPr>
            </w:pPr>
            <w:r w:rsidRPr="00F47099">
              <w:rPr>
                <w:rFonts w:asciiTheme="majorHAnsi" w:hAnsiTheme="majorHAnsi" w:cstheme="majorHAnsi"/>
                <w:sz w:val="16"/>
                <w:szCs w:val="16"/>
              </w:rPr>
              <w:t xml:space="preserve">          (47.759.862)</w:t>
            </w:r>
          </w:p>
        </w:tc>
        <w:tc>
          <w:tcPr>
            <w:tcW w:w="974" w:type="pct"/>
            <w:tcBorders>
              <w:top w:val="nil"/>
              <w:left w:val="nil"/>
              <w:bottom w:val="nil"/>
              <w:right w:val="nil"/>
            </w:tcBorders>
            <w:shd w:val="clear" w:color="000000" w:fill="FFFFFF"/>
            <w:noWrap/>
            <w:vAlign w:val="bottom"/>
            <w:hideMark/>
          </w:tcPr>
          <w:p w14:paraId="128FE9B0" w14:textId="77777777" w:rsidR="00F47099" w:rsidRPr="00F47099" w:rsidRDefault="00F47099" w:rsidP="00F47099">
            <w:pPr>
              <w:jc w:val="right"/>
              <w:rPr>
                <w:rFonts w:asciiTheme="majorHAnsi" w:hAnsiTheme="majorHAnsi" w:cstheme="majorHAnsi"/>
                <w:sz w:val="16"/>
                <w:szCs w:val="16"/>
              </w:rPr>
            </w:pPr>
            <w:r w:rsidRPr="00F47099">
              <w:rPr>
                <w:rFonts w:asciiTheme="majorHAnsi" w:hAnsiTheme="majorHAnsi" w:cstheme="majorHAnsi"/>
                <w:sz w:val="16"/>
                <w:szCs w:val="16"/>
              </w:rPr>
              <w:t xml:space="preserve">                   45.591.521 </w:t>
            </w:r>
          </w:p>
        </w:tc>
      </w:tr>
      <w:tr w:rsidR="00F47099" w:rsidRPr="00F47099" w14:paraId="4EA57047" w14:textId="77777777" w:rsidTr="00F47099">
        <w:trPr>
          <w:trHeight w:hRule="exact" w:val="227"/>
        </w:trPr>
        <w:tc>
          <w:tcPr>
            <w:tcW w:w="3215" w:type="pct"/>
            <w:tcBorders>
              <w:top w:val="nil"/>
              <w:left w:val="nil"/>
              <w:bottom w:val="nil"/>
              <w:right w:val="nil"/>
            </w:tcBorders>
            <w:shd w:val="clear" w:color="000000" w:fill="FFFFFF"/>
            <w:noWrap/>
            <w:vAlign w:val="bottom"/>
            <w:hideMark/>
          </w:tcPr>
          <w:p w14:paraId="7208FF4D" w14:textId="77777777" w:rsidR="00F47099" w:rsidRPr="00F47099" w:rsidRDefault="00F47099">
            <w:pPr>
              <w:rPr>
                <w:rFonts w:asciiTheme="majorHAnsi" w:hAnsiTheme="majorHAnsi" w:cstheme="majorHAnsi"/>
                <w:sz w:val="16"/>
                <w:szCs w:val="16"/>
              </w:rPr>
            </w:pPr>
            <w:r w:rsidRPr="00F47099">
              <w:rPr>
                <w:rFonts w:asciiTheme="majorHAnsi" w:hAnsiTheme="majorHAnsi" w:cstheme="majorHAnsi"/>
                <w:sz w:val="16"/>
                <w:szCs w:val="16"/>
              </w:rPr>
              <w:t xml:space="preserve">      Provisão p/ 13º Salário, Férias e Encargos </w:t>
            </w:r>
          </w:p>
        </w:tc>
        <w:tc>
          <w:tcPr>
            <w:tcW w:w="811" w:type="pct"/>
            <w:tcBorders>
              <w:top w:val="nil"/>
              <w:left w:val="nil"/>
              <w:bottom w:val="nil"/>
              <w:right w:val="nil"/>
            </w:tcBorders>
            <w:shd w:val="clear" w:color="000000" w:fill="FFFFFF"/>
            <w:noWrap/>
            <w:vAlign w:val="bottom"/>
            <w:hideMark/>
          </w:tcPr>
          <w:p w14:paraId="5E372229" w14:textId="77777777" w:rsidR="00F47099" w:rsidRPr="00F47099" w:rsidRDefault="00F47099" w:rsidP="00F47099">
            <w:pPr>
              <w:jc w:val="right"/>
              <w:rPr>
                <w:rFonts w:asciiTheme="majorHAnsi" w:hAnsiTheme="majorHAnsi" w:cstheme="majorHAnsi"/>
                <w:sz w:val="16"/>
                <w:szCs w:val="16"/>
              </w:rPr>
            </w:pPr>
            <w:r w:rsidRPr="00F47099">
              <w:rPr>
                <w:rFonts w:asciiTheme="majorHAnsi" w:hAnsiTheme="majorHAnsi" w:cstheme="majorHAnsi"/>
                <w:sz w:val="16"/>
                <w:szCs w:val="16"/>
              </w:rPr>
              <w:t xml:space="preserve">              3.418.389 </w:t>
            </w:r>
          </w:p>
        </w:tc>
        <w:tc>
          <w:tcPr>
            <w:tcW w:w="974" w:type="pct"/>
            <w:tcBorders>
              <w:top w:val="nil"/>
              <w:left w:val="nil"/>
              <w:bottom w:val="nil"/>
              <w:right w:val="nil"/>
            </w:tcBorders>
            <w:shd w:val="clear" w:color="000000" w:fill="FFFFFF"/>
            <w:noWrap/>
            <w:vAlign w:val="bottom"/>
            <w:hideMark/>
          </w:tcPr>
          <w:p w14:paraId="04265C09" w14:textId="77777777" w:rsidR="00F47099" w:rsidRPr="00F47099" w:rsidRDefault="00F47099" w:rsidP="00F47099">
            <w:pPr>
              <w:jc w:val="right"/>
              <w:rPr>
                <w:rFonts w:asciiTheme="majorHAnsi" w:hAnsiTheme="majorHAnsi" w:cstheme="majorHAnsi"/>
                <w:sz w:val="16"/>
                <w:szCs w:val="16"/>
              </w:rPr>
            </w:pPr>
            <w:r w:rsidRPr="00F47099">
              <w:rPr>
                <w:rFonts w:asciiTheme="majorHAnsi" w:hAnsiTheme="majorHAnsi" w:cstheme="majorHAnsi"/>
                <w:sz w:val="16"/>
                <w:szCs w:val="16"/>
              </w:rPr>
              <w:t xml:space="preserve">                     3.036.979 </w:t>
            </w:r>
          </w:p>
        </w:tc>
      </w:tr>
      <w:tr w:rsidR="00F47099" w:rsidRPr="00F47099" w14:paraId="5B61AAEF" w14:textId="77777777" w:rsidTr="00F47099">
        <w:trPr>
          <w:trHeight w:hRule="exact" w:val="227"/>
        </w:trPr>
        <w:tc>
          <w:tcPr>
            <w:tcW w:w="3215" w:type="pct"/>
            <w:tcBorders>
              <w:top w:val="nil"/>
              <w:left w:val="nil"/>
              <w:bottom w:val="nil"/>
              <w:right w:val="nil"/>
            </w:tcBorders>
            <w:shd w:val="clear" w:color="000000" w:fill="FFFFFF"/>
            <w:noWrap/>
            <w:vAlign w:val="bottom"/>
            <w:hideMark/>
          </w:tcPr>
          <w:p w14:paraId="3BD137AC" w14:textId="77777777" w:rsidR="00F47099" w:rsidRPr="00F47099" w:rsidRDefault="00F47099">
            <w:pPr>
              <w:rPr>
                <w:rFonts w:asciiTheme="majorHAnsi" w:hAnsiTheme="majorHAnsi" w:cstheme="majorHAnsi"/>
                <w:sz w:val="16"/>
                <w:szCs w:val="16"/>
              </w:rPr>
            </w:pPr>
            <w:r w:rsidRPr="00F47099">
              <w:rPr>
                <w:rFonts w:asciiTheme="majorHAnsi" w:hAnsiTheme="majorHAnsi" w:cstheme="majorHAnsi"/>
                <w:sz w:val="16"/>
                <w:szCs w:val="16"/>
              </w:rPr>
              <w:t xml:space="preserve">      Resultado de Equivalência Patrimonial </w:t>
            </w:r>
          </w:p>
        </w:tc>
        <w:tc>
          <w:tcPr>
            <w:tcW w:w="811" w:type="pct"/>
            <w:tcBorders>
              <w:top w:val="nil"/>
              <w:left w:val="nil"/>
              <w:bottom w:val="nil"/>
              <w:right w:val="nil"/>
            </w:tcBorders>
            <w:shd w:val="clear" w:color="000000" w:fill="FFFFFF"/>
            <w:noWrap/>
            <w:vAlign w:val="bottom"/>
            <w:hideMark/>
          </w:tcPr>
          <w:p w14:paraId="6451A031" w14:textId="77777777" w:rsidR="00F47099" w:rsidRPr="00F47099" w:rsidRDefault="00F47099" w:rsidP="00F47099">
            <w:pPr>
              <w:jc w:val="right"/>
              <w:rPr>
                <w:rFonts w:asciiTheme="majorHAnsi" w:hAnsiTheme="majorHAnsi" w:cstheme="majorHAnsi"/>
                <w:sz w:val="16"/>
                <w:szCs w:val="16"/>
              </w:rPr>
            </w:pPr>
            <w:r w:rsidRPr="00F47099">
              <w:rPr>
                <w:rFonts w:asciiTheme="majorHAnsi" w:hAnsiTheme="majorHAnsi" w:cstheme="majorHAnsi"/>
                <w:sz w:val="16"/>
                <w:szCs w:val="16"/>
              </w:rPr>
              <w:t xml:space="preserve">            13.131.344 </w:t>
            </w:r>
          </w:p>
        </w:tc>
        <w:tc>
          <w:tcPr>
            <w:tcW w:w="974" w:type="pct"/>
            <w:tcBorders>
              <w:top w:val="nil"/>
              <w:left w:val="nil"/>
              <w:bottom w:val="nil"/>
              <w:right w:val="nil"/>
            </w:tcBorders>
            <w:shd w:val="clear" w:color="000000" w:fill="FFFFFF"/>
            <w:noWrap/>
            <w:vAlign w:val="bottom"/>
            <w:hideMark/>
          </w:tcPr>
          <w:p w14:paraId="2A7B686B" w14:textId="77777777" w:rsidR="00F47099" w:rsidRPr="00F47099" w:rsidRDefault="00F47099" w:rsidP="00F47099">
            <w:pPr>
              <w:jc w:val="right"/>
              <w:rPr>
                <w:rFonts w:asciiTheme="majorHAnsi" w:hAnsiTheme="majorHAnsi" w:cstheme="majorHAnsi"/>
                <w:sz w:val="16"/>
                <w:szCs w:val="16"/>
              </w:rPr>
            </w:pPr>
            <w:r w:rsidRPr="00F47099">
              <w:rPr>
                <w:rFonts w:asciiTheme="majorHAnsi" w:hAnsiTheme="majorHAnsi" w:cstheme="majorHAnsi"/>
                <w:sz w:val="16"/>
                <w:szCs w:val="16"/>
              </w:rPr>
              <w:t xml:space="preserve">                   16.277.330 </w:t>
            </w:r>
          </w:p>
        </w:tc>
      </w:tr>
      <w:tr w:rsidR="00F47099" w:rsidRPr="00F47099" w14:paraId="5C626D64" w14:textId="77777777" w:rsidTr="00F47099">
        <w:trPr>
          <w:trHeight w:hRule="exact" w:val="227"/>
        </w:trPr>
        <w:tc>
          <w:tcPr>
            <w:tcW w:w="3215" w:type="pct"/>
            <w:tcBorders>
              <w:top w:val="nil"/>
              <w:left w:val="nil"/>
              <w:bottom w:val="nil"/>
              <w:right w:val="nil"/>
            </w:tcBorders>
            <w:shd w:val="clear" w:color="000000" w:fill="FFFFFF"/>
            <w:noWrap/>
            <w:vAlign w:val="bottom"/>
            <w:hideMark/>
          </w:tcPr>
          <w:p w14:paraId="4CE77967" w14:textId="77777777" w:rsidR="00F47099" w:rsidRPr="00F47099" w:rsidRDefault="00F47099">
            <w:pPr>
              <w:rPr>
                <w:rFonts w:asciiTheme="majorHAnsi" w:hAnsiTheme="majorHAnsi" w:cstheme="majorHAnsi"/>
                <w:sz w:val="16"/>
                <w:szCs w:val="16"/>
              </w:rPr>
            </w:pPr>
            <w:r w:rsidRPr="00F47099">
              <w:rPr>
                <w:rFonts w:asciiTheme="majorHAnsi" w:hAnsiTheme="majorHAnsi" w:cstheme="majorHAnsi"/>
                <w:sz w:val="16"/>
                <w:szCs w:val="16"/>
              </w:rPr>
              <w:t xml:space="preserve">      Prescrição do crédito previdenciário </w:t>
            </w:r>
          </w:p>
        </w:tc>
        <w:tc>
          <w:tcPr>
            <w:tcW w:w="811" w:type="pct"/>
            <w:tcBorders>
              <w:top w:val="nil"/>
              <w:left w:val="nil"/>
              <w:bottom w:val="nil"/>
              <w:right w:val="nil"/>
            </w:tcBorders>
            <w:shd w:val="clear" w:color="000000" w:fill="FFFFFF"/>
            <w:noWrap/>
            <w:vAlign w:val="bottom"/>
            <w:hideMark/>
          </w:tcPr>
          <w:p w14:paraId="67293171" w14:textId="77777777" w:rsidR="00F47099" w:rsidRPr="00F47099" w:rsidRDefault="00F47099" w:rsidP="00F47099">
            <w:pPr>
              <w:jc w:val="right"/>
              <w:rPr>
                <w:rFonts w:asciiTheme="majorHAnsi" w:hAnsiTheme="majorHAnsi" w:cstheme="majorHAnsi"/>
                <w:sz w:val="16"/>
                <w:szCs w:val="16"/>
              </w:rPr>
            </w:pPr>
            <w:r w:rsidRPr="00F47099">
              <w:rPr>
                <w:rFonts w:asciiTheme="majorHAnsi" w:hAnsiTheme="majorHAnsi" w:cstheme="majorHAnsi"/>
                <w:sz w:val="16"/>
                <w:szCs w:val="16"/>
              </w:rPr>
              <w:t xml:space="preserve">                  330.424 </w:t>
            </w:r>
          </w:p>
        </w:tc>
        <w:tc>
          <w:tcPr>
            <w:tcW w:w="974" w:type="pct"/>
            <w:tcBorders>
              <w:top w:val="nil"/>
              <w:left w:val="nil"/>
              <w:bottom w:val="nil"/>
              <w:right w:val="nil"/>
            </w:tcBorders>
            <w:shd w:val="clear" w:color="000000" w:fill="FFFFFF"/>
            <w:noWrap/>
            <w:vAlign w:val="bottom"/>
            <w:hideMark/>
          </w:tcPr>
          <w:p w14:paraId="325AB1C4" w14:textId="77777777" w:rsidR="00F47099" w:rsidRPr="00F47099" w:rsidRDefault="00F47099" w:rsidP="00F47099">
            <w:pPr>
              <w:jc w:val="right"/>
              <w:rPr>
                <w:rFonts w:asciiTheme="majorHAnsi" w:hAnsiTheme="majorHAnsi" w:cstheme="majorHAnsi"/>
                <w:sz w:val="16"/>
                <w:szCs w:val="16"/>
              </w:rPr>
            </w:pPr>
            <w:r w:rsidRPr="00F47099">
              <w:rPr>
                <w:rFonts w:asciiTheme="majorHAnsi" w:hAnsiTheme="majorHAnsi" w:cstheme="majorHAnsi"/>
                <w:sz w:val="16"/>
                <w:szCs w:val="16"/>
              </w:rPr>
              <w:t xml:space="preserve">                                   -   </w:t>
            </w:r>
          </w:p>
        </w:tc>
      </w:tr>
      <w:tr w:rsidR="00F47099" w:rsidRPr="00F47099" w14:paraId="7ADD6247" w14:textId="77777777" w:rsidTr="00F47099">
        <w:trPr>
          <w:trHeight w:hRule="exact" w:val="227"/>
        </w:trPr>
        <w:tc>
          <w:tcPr>
            <w:tcW w:w="3215" w:type="pct"/>
            <w:tcBorders>
              <w:top w:val="nil"/>
              <w:left w:val="nil"/>
              <w:bottom w:val="nil"/>
              <w:right w:val="nil"/>
            </w:tcBorders>
            <w:shd w:val="clear" w:color="000000" w:fill="FFFFFF"/>
            <w:noWrap/>
            <w:vAlign w:val="bottom"/>
            <w:hideMark/>
          </w:tcPr>
          <w:p w14:paraId="470B7037" w14:textId="77777777" w:rsidR="00F47099" w:rsidRPr="00F47099" w:rsidRDefault="00F47099">
            <w:pPr>
              <w:rPr>
                <w:rFonts w:asciiTheme="majorHAnsi" w:hAnsiTheme="majorHAnsi" w:cstheme="majorHAnsi"/>
                <w:sz w:val="16"/>
                <w:szCs w:val="16"/>
              </w:rPr>
            </w:pPr>
            <w:r w:rsidRPr="00F47099">
              <w:rPr>
                <w:rFonts w:asciiTheme="majorHAnsi" w:hAnsiTheme="majorHAnsi" w:cstheme="majorHAnsi"/>
                <w:sz w:val="16"/>
                <w:szCs w:val="16"/>
              </w:rPr>
              <w:t xml:space="preserve">      Receitas reconhecidas pelo diferimento de contratos </w:t>
            </w:r>
          </w:p>
        </w:tc>
        <w:tc>
          <w:tcPr>
            <w:tcW w:w="811" w:type="pct"/>
            <w:tcBorders>
              <w:top w:val="nil"/>
              <w:left w:val="nil"/>
              <w:bottom w:val="nil"/>
              <w:right w:val="nil"/>
            </w:tcBorders>
            <w:shd w:val="clear" w:color="000000" w:fill="FFFFFF"/>
            <w:noWrap/>
            <w:vAlign w:val="bottom"/>
            <w:hideMark/>
          </w:tcPr>
          <w:p w14:paraId="1CDCD47C" w14:textId="77777777" w:rsidR="00F47099" w:rsidRPr="00F47099" w:rsidRDefault="00F47099" w:rsidP="00F47099">
            <w:pPr>
              <w:jc w:val="right"/>
              <w:rPr>
                <w:rFonts w:asciiTheme="majorHAnsi" w:hAnsiTheme="majorHAnsi" w:cstheme="majorHAnsi"/>
                <w:sz w:val="16"/>
                <w:szCs w:val="16"/>
              </w:rPr>
            </w:pPr>
            <w:r w:rsidRPr="00F47099">
              <w:rPr>
                <w:rFonts w:asciiTheme="majorHAnsi" w:hAnsiTheme="majorHAnsi" w:cstheme="majorHAnsi"/>
                <w:sz w:val="16"/>
                <w:szCs w:val="16"/>
              </w:rPr>
              <w:t xml:space="preserve">            (2.857.900)</w:t>
            </w:r>
          </w:p>
        </w:tc>
        <w:tc>
          <w:tcPr>
            <w:tcW w:w="974" w:type="pct"/>
            <w:tcBorders>
              <w:top w:val="nil"/>
              <w:left w:val="nil"/>
              <w:bottom w:val="nil"/>
              <w:right w:val="nil"/>
            </w:tcBorders>
            <w:shd w:val="clear" w:color="000000" w:fill="FFFFFF"/>
            <w:noWrap/>
            <w:vAlign w:val="bottom"/>
            <w:hideMark/>
          </w:tcPr>
          <w:p w14:paraId="5ED05F1A" w14:textId="77777777" w:rsidR="00F47099" w:rsidRPr="00F47099" w:rsidRDefault="00F47099" w:rsidP="00F47099">
            <w:pPr>
              <w:jc w:val="right"/>
              <w:rPr>
                <w:rFonts w:asciiTheme="majorHAnsi" w:hAnsiTheme="majorHAnsi" w:cstheme="majorHAnsi"/>
                <w:sz w:val="16"/>
                <w:szCs w:val="16"/>
              </w:rPr>
            </w:pPr>
            <w:r w:rsidRPr="00F47099">
              <w:rPr>
                <w:rFonts w:asciiTheme="majorHAnsi" w:hAnsiTheme="majorHAnsi" w:cstheme="majorHAnsi"/>
                <w:sz w:val="16"/>
                <w:szCs w:val="16"/>
              </w:rPr>
              <w:t xml:space="preserve">                   (1.196.191)</w:t>
            </w:r>
          </w:p>
        </w:tc>
      </w:tr>
      <w:tr w:rsidR="00F47099" w:rsidRPr="00F47099" w14:paraId="36D06FC0" w14:textId="77777777" w:rsidTr="00F47099">
        <w:trPr>
          <w:trHeight w:hRule="exact" w:val="227"/>
        </w:trPr>
        <w:tc>
          <w:tcPr>
            <w:tcW w:w="3215" w:type="pct"/>
            <w:tcBorders>
              <w:top w:val="nil"/>
              <w:left w:val="nil"/>
              <w:bottom w:val="nil"/>
              <w:right w:val="nil"/>
            </w:tcBorders>
            <w:shd w:val="clear" w:color="000000" w:fill="FFFFFF"/>
            <w:noWrap/>
            <w:vAlign w:val="bottom"/>
            <w:hideMark/>
          </w:tcPr>
          <w:p w14:paraId="1A1024F9" w14:textId="77777777" w:rsidR="00F47099" w:rsidRPr="00F47099" w:rsidRDefault="00F47099">
            <w:pPr>
              <w:rPr>
                <w:rFonts w:asciiTheme="majorHAnsi" w:hAnsiTheme="majorHAnsi" w:cstheme="majorHAnsi"/>
                <w:sz w:val="16"/>
                <w:szCs w:val="16"/>
              </w:rPr>
            </w:pPr>
            <w:r w:rsidRPr="00F47099">
              <w:rPr>
                <w:rFonts w:asciiTheme="majorHAnsi" w:hAnsiTheme="majorHAnsi" w:cstheme="majorHAnsi"/>
                <w:sz w:val="16"/>
                <w:szCs w:val="16"/>
              </w:rPr>
              <w:t xml:space="preserve">     Ajuste na contabilização dos contratos de arrendamento </w:t>
            </w:r>
          </w:p>
        </w:tc>
        <w:tc>
          <w:tcPr>
            <w:tcW w:w="811" w:type="pct"/>
            <w:tcBorders>
              <w:top w:val="nil"/>
              <w:left w:val="nil"/>
              <w:bottom w:val="nil"/>
              <w:right w:val="nil"/>
            </w:tcBorders>
            <w:shd w:val="clear" w:color="000000" w:fill="FFFFFF"/>
            <w:noWrap/>
            <w:vAlign w:val="bottom"/>
            <w:hideMark/>
          </w:tcPr>
          <w:p w14:paraId="78671C93" w14:textId="77777777" w:rsidR="00F47099" w:rsidRPr="00F47099" w:rsidRDefault="00F47099" w:rsidP="00F47099">
            <w:pPr>
              <w:jc w:val="right"/>
              <w:rPr>
                <w:rFonts w:asciiTheme="majorHAnsi" w:hAnsiTheme="majorHAnsi" w:cstheme="majorHAnsi"/>
                <w:sz w:val="16"/>
                <w:szCs w:val="16"/>
              </w:rPr>
            </w:pPr>
            <w:r w:rsidRPr="00F47099">
              <w:rPr>
                <w:rFonts w:asciiTheme="majorHAnsi" w:hAnsiTheme="majorHAnsi" w:cstheme="majorHAnsi"/>
                <w:sz w:val="16"/>
                <w:szCs w:val="16"/>
              </w:rPr>
              <w:t xml:space="preserve">            (5.625.788)</w:t>
            </w:r>
          </w:p>
        </w:tc>
        <w:tc>
          <w:tcPr>
            <w:tcW w:w="974" w:type="pct"/>
            <w:tcBorders>
              <w:top w:val="nil"/>
              <w:left w:val="nil"/>
              <w:bottom w:val="nil"/>
              <w:right w:val="nil"/>
            </w:tcBorders>
            <w:shd w:val="clear" w:color="000000" w:fill="FFFFFF"/>
            <w:noWrap/>
            <w:vAlign w:val="bottom"/>
            <w:hideMark/>
          </w:tcPr>
          <w:p w14:paraId="26C0357B" w14:textId="77777777" w:rsidR="00F47099" w:rsidRPr="00F47099" w:rsidRDefault="00F47099" w:rsidP="00F47099">
            <w:pPr>
              <w:jc w:val="right"/>
              <w:rPr>
                <w:rFonts w:asciiTheme="majorHAnsi" w:hAnsiTheme="majorHAnsi" w:cstheme="majorHAnsi"/>
                <w:sz w:val="16"/>
                <w:szCs w:val="16"/>
              </w:rPr>
            </w:pPr>
            <w:r w:rsidRPr="00F47099">
              <w:rPr>
                <w:rFonts w:asciiTheme="majorHAnsi" w:hAnsiTheme="majorHAnsi" w:cstheme="majorHAnsi"/>
                <w:sz w:val="16"/>
                <w:szCs w:val="16"/>
              </w:rPr>
              <w:t xml:space="preserve">                                   -   </w:t>
            </w:r>
          </w:p>
        </w:tc>
      </w:tr>
      <w:tr w:rsidR="00F47099" w:rsidRPr="00F47099" w14:paraId="638AF808" w14:textId="77777777" w:rsidTr="00F47099">
        <w:trPr>
          <w:trHeight w:hRule="exact" w:val="227"/>
        </w:trPr>
        <w:tc>
          <w:tcPr>
            <w:tcW w:w="3215" w:type="pct"/>
            <w:tcBorders>
              <w:top w:val="nil"/>
              <w:left w:val="nil"/>
              <w:bottom w:val="nil"/>
              <w:right w:val="nil"/>
            </w:tcBorders>
            <w:shd w:val="clear" w:color="000000" w:fill="FFFFFF"/>
            <w:noWrap/>
            <w:vAlign w:val="bottom"/>
            <w:hideMark/>
          </w:tcPr>
          <w:p w14:paraId="755BD7D6" w14:textId="77777777" w:rsidR="00F47099" w:rsidRPr="00F47099" w:rsidRDefault="00F47099">
            <w:pPr>
              <w:rPr>
                <w:rFonts w:asciiTheme="majorHAnsi" w:hAnsiTheme="majorHAnsi" w:cstheme="majorHAnsi"/>
                <w:sz w:val="16"/>
                <w:szCs w:val="16"/>
              </w:rPr>
            </w:pPr>
            <w:r w:rsidRPr="00F47099">
              <w:rPr>
                <w:rFonts w:asciiTheme="majorHAnsi" w:hAnsiTheme="majorHAnsi" w:cstheme="majorHAnsi"/>
                <w:sz w:val="16"/>
                <w:szCs w:val="16"/>
              </w:rPr>
              <w:t xml:space="preserve">      Baixa de depósito retido de fornecedores </w:t>
            </w:r>
          </w:p>
        </w:tc>
        <w:tc>
          <w:tcPr>
            <w:tcW w:w="811" w:type="pct"/>
            <w:tcBorders>
              <w:top w:val="nil"/>
              <w:left w:val="nil"/>
              <w:bottom w:val="nil"/>
              <w:right w:val="nil"/>
            </w:tcBorders>
            <w:shd w:val="clear" w:color="000000" w:fill="FFFFFF"/>
            <w:noWrap/>
            <w:vAlign w:val="bottom"/>
            <w:hideMark/>
          </w:tcPr>
          <w:p w14:paraId="5F742AB2" w14:textId="77777777" w:rsidR="00F47099" w:rsidRPr="00F47099" w:rsidRDefault="00F47099" w:rsidP="00F47099">
            <w:pPr>
              <w:jc w:val="right"/>
              <w:rPr>
                <w:rFonts w:asciiTheme="majorHAnsi" w:hAnsiTheme="majorHAnsi" w:cstheme="majorHAnsi"/>
                <w:sz w:val="16"/>
                <w:szCs w:val="16"/>
              </w:rPr>
            </w:pPr>
            <w:r w:rsidRPr="00F47099">
              <w:rPr>
                <w:rFonts w:asciiTheme="majorHAnsi" w:hAnsiTheme="majorHAnsi" w:cstheme="majorHAnsi"/>
                <w:sz w:val="16"/>
                <w:szCs w:val="16"/>
              </w:rPr>
              <w:t xml:space="preserve">                             -   </w:t>
            </w:r>
          </w:p>
        </w:tc>
        <w:tc>
          <w:tcPr>
            <w:tcW w:w="974" w:type="pct"/>
            <w:tcBorders>
              <w:top w:val="nil"/>
              <w:left w:val="nil"/>
              <w:bottom w:val="nil"/>
              <w:right w:val="nil"/>
            </w:tcBorders>
            <w:shd w:val="clear" w:color="000000" w:fill="FFFFFF"/>
            <w:noWrap/>
            <w:vAlign w:val="bottom"/>
            <w:hideMark/>
          </w:tcPr>
          <w:p w14:paraId="0696D58B" w14:textId="77777777" w:rsidR="00F47099" w:rsidRPr="00F47099" w:rsidRDefault="00F47099" w:rsidP="00F47099">
            <w:pPr>
              <w:jc w:val="right"/>
              <w:rPr>
                <w:rFonts w:asciiTheme="majorHAnsi" w:hAnsiTheme="majorHAnsi" w:cstheme="majorHAnsi"/>
                <w:sz w:val="16"/>
                <w:szCs w:val="16"/>
              </w:rPr>
            </w:pPr>
            <w:r w:rsidRPr="00F47099">
              <w:rPr>
                <w:rFonts w:asciiTheme="majorHAnsi" w:hAnsiTheme="majorHAnsi" w:cstheme="majorHAnsi"/>
                <w:sz w:val="16"/>
                <w:szCs w:val="16"/>
              </w:rPr>
              <w:t xml:space="preserve">                           (4.628)</w:t>
            </w:r>
          </w:p>
        </w:tc>
      </w:tr>
      <w:tr w:rsidR="00F47099" w:rsidRPr="00F47099" w14:paraId="7061CA26" w14:textId="77777777" w:rsidTr="00F47099">
        <w:trPr>
          <w:trHeight w:hRule="exact" w:val="227"/>
        </w:trPr>
        <w:tc>
          <w:tcPr>
            <w:tcW w:w="3215" w:type="pct"/>
            <w:tcBorders>
              <w:top w:val="nil"/>
              <w:left w:val="nil"/>
              <w:bottom w:val="nil"/>
              <w:right w:val="nil"/>
            </w:tcBorders>
            <w:shd w:val="clear" w:color="000000" w:fill="FFFFFF"/>
            <w:noWrap/>
            <w:vAlign w:val="bottom"/>
            <w:hideMark/>
          </w:tcPr>
          <w:p w14:paraId="655A3022" w14:textId="77777777" w:rsidR="00F47099" w:rsidRPr="00F47099" w:rsidRDefault="00F47099">
            <w:pPr>
              <w:rPr>
                <w:rFonts w:asciiTheme="majorHAnsi" w:hAnsiTheme="majorHAnsi" w:cstheme="majorHAnsi"/>
                <w:sz w:val="16"/>
                <w:szCs w:val="16"/>
              </w:rPr>
            </w:pPr>
            <w:r w:rsidRPr="00F47099">
              <w:rPr>
                <w:rFonts w:asciiTheme="majorHAnsi" w:hAnsiTheme="majorHAnsi" w:cstheme="majorHAnsi"/>
                <w:sz w:val="16"/>
                <w:szCs w:val="16"/>
              </w:rPr>
              <w:t xml:space="preserve">      Subvenção do Tesouro Nacional - repasse para custeio/pessoal </w:t>
            </w:r>
          </w:p>
        </w:tc>
        <w:tc>
          <w:tcPr>
            <w:tcW w:w="811" w:type="pct"/>
            <w:tcBorders>
              <w:top w:val="nil"/>
              <w:left w:val="nil"/>
              <w:bottom w:val="nil"/>
              <w:right w:val="nil"/>
            </w:tcBorders>
            <w:shd w:val="clear" w:color="000000" w:fill="FFFFFF"/>
            <w:noWrap/>
            <w:vAlign w:val="bottom"/>
            <w:hideMark/>
          </w:tcPr>
          <w:p w14:paraId="4FF57166" w14:textId="77777777" w:rsidR="00F47099" w:rsidRPr="00F47099" w:rsidRDefault="00F47099" w:rsidP="00F47099">
            <w:pPr>
              <w:jc w:val="right"/>
              <w:rPr>
                <w:rFonts w:asciiTheme="majorHAnsi" w:hAnsiTheme="majorHAnsi" w:cstheme="majorHAnsi"/>
                <w:sz w:val="16"/>
                <w:szCs w:val="16"/>
              </w:rPr>
            </w:pPr>
            <w:r w:rsidRPr="00F47099">
              <w:rPr>
                <w:rFonts w:asciiTheme="majorHAnsi" w:hAnsiTheme="majorHAnsi" w:cstheme="majorHAnsi"/>
                <w:sz w:val="16"/>
                <w:szCs w:val="16"/>
              </w:rPr>
              <w:t xml:space="preserve">          (74.995.207)</w:t>
            </w:r>
          </w:p>
        </w:tc>
        <w:tc>
          <w:tcPr>
            <w:tcW w:w="974" w:type="pct"/>
            <w:tcBorders>
              <w:top w:val="nil"/>
              <w:left w:val="nil"/>
              <w:bottom w:val="nil"/>
              <w:right w:val="nil"/>
            </w:tcBorders>
            <w:shd w:val="clear" w:color="000000" w:fill="FFFFFF"/>
            <w:noWrap/>
            <w:vAlign w:val="bottom"/>
            <w:hideMark/>
          </w:tcPr>
          <w:p w14:paraId="160C4939" w14:textId="77777777" w:rsidR="00F47099" w:rsidRPr="00F47099" w:rsidRDefault="00F47099" w:rsidP="00F47099">
            <w:pPr>
              <w:jc w:val="right"/>
              <w:rPr>
                <w:rFonts w:asciiTheme="majorHAnsi" w:hAnsiTheme="majorHAnsi" w:cstheme="majorHAnsi"/>
                <w:sz w:val="16"/>
                <w:szCs w:val="16"/>
              </w:rPr>
            </w:pPr>
            <w:r w:rsidRPr="00F47099">
              <w:rPr>
                <w:rFonts w:asciiTheme="majorHAnsi" w:hAnsiTheme="majorHAnsi" w:cstheme="majorHAnsi"/>
                <w:sz w:val="16"/>
                <w:szCs w:val="16"/>
              </w:rPr>
              <w:t xml:space="preserve">                 (75.841.189)</w:t>
            </w:r>
          </w:p>
        </w:tc>
      </w:tr>
      <w:tr w:rsidR="00F47099" w:rsidRPr="00F47099" w14:paraId="71C41825" w14:textId="77777777" w:rsidTr="00F47099">
        <w:trPr>
          <w:trHeight w:hRule="exact" w:val="227"/>
        </w:trPr>
        <w:tc>
          <w:tcPr>
            <w:tcW w:w="3215" w:type="pct"/>
            <w:tcBorders>
              <w:top w:val="nil"/>
              <w:left w:val="nil"/>
              <w:bottom w:val="nil"/>
              <w:right w:val="nil"/>
            </w:tcBorders>
            <w:shd w:val="clear" w:color="000000" w:fill="FFFFFF"/>
            <w:noWrap/>
            <w:vAlign w:val="bottom"/>
            <w:hideMark/>
          </w:tcPr>
          <w:p w14:paraId="729507B7" w14:textId="77777777" w:rsidR="00F47099" w:rsidRPr="00F47099" w:rsidRDefault="00F47099">
            <w:pPr>
              <w:rPr>
                <w:rFonts w:asciiTheme="majorHAnsi" w:hAnsiTheme="majorHAnsi" w:cstheme="majorHAnsi"/>
                <w:b/>
                <w:bCs/>
                <w:sz w:val="16"/>
                <w:szCs w:val="16"/>
              </w:rPr>
            </w:pPr>
            <w:r w:rsidRPr="00F47099">
              <w:rPr>
                <w:rFonts w:asciiTheme="majorHAnsi" w:hAnsiTheme="majorHAnsi" w:cstheme="majorHAnsi"/>
                <w:b/>
                <w:bCs/>
                <w:sz w:val="16"/>
                <w:szCs w:val="16"/>
              </w:rPr>
              <w:t xml:space="preserve"> Resultado do Exercício Ajustado </w:t>
            </w:r>
          </w:p>
        </w:tc>
        <w:tc>
          <w:tcPr>
            <w:tcW w:w="811" w:type="pct"/>
            <w:tcBorders>
              <w:top w:val="nil"/>
              <w:left w:val="nil"/>
              <w:bottom w:val="nil"/>
              <w:right w:val="nil"/>
            </w:tcBorders>
            <w:shd w:val="clear" w:color="000000" w:fill="FFFFFF"/>
            <w:noWrap/>
            <w:vAlign w:val="bottom"/>
            <w:hideMark/>
          </w:tcPr>
          <w:p w14:paraId="5A55F7AE" w14:textId="77777777" w:rsidR="00F47099" w:rsidRPr="00F47099" w:rsidRDefault="00F47099" w:rsidP="00F47099">
            <w:pPr>
              <w:jc w:val="right"/>
              <w:rPr>
                <w:rFonts w:asciiTheme="majorHAnsi" w:hAnsiTheme="majorHAnsi" w:cstheme="majorHAnsi"/>
                <w:b/>
                <w:bCs/>
                <w:sz w:val="16"/>
                <w:szCs w:val="16"/>
              </w:rPr>
            </w:pPr>
            <w:r w:rsidRPr="00F47099">
              <w:rPr>
                <w:rFonts w:asciiTheme="majorHAnsi" w:hAnsiTheme="majorHAnsi" w:cstheme="majorHAnsi"/>
                <w:b/>
                <w:bCs/>
                <w:sz w:val="16"/>
                <w:szCs w:val="16"/>
              </w:rPr>
              <w:t xml:space="preserve">          (74.859.931)</w:t>
            </w:r>
          </w:p>
        </w:tc>
        <w:tc>
          <w:tcPr>
            <w:tcW w:w="974" w:type="pct"/>
            <w:tcBorders>
              <w:top w:val="nil"/>
              <w:left w:val="nil"/>
              <w:bottom w:val="nil"/>
              <w:right w:val="nil"/>
            </w:tcBorders>
            <w:shd w:val="clear" w:color="000000" w:fill="FFFFFF"/>
            <w:noWrap/>
            <w:vAlign w:val="bottom"/>
            <w:hideMark/>
          </w:tcPr>
          <w:p w14:paraId="2F0BC653" w14:textId="77777777" w:rsidR="00F47099" w:rsidRPr="00F47099" w:rsidRDefault="00F47099" w:rsidP="00F47099">
            <w:pPr>
              <w:jc w:val="right"/>
              <w:rPr>
                <w:rFonts w:asciiTheme="majorHAnsi" w:hAnsiTheme="majorHAnsi" w:cstheme="majorHAnsi"/>
                <w:b/>
                <w:bCs/>
                <w:sz w:val="16"/>
                <w:szCs w:val="16"/>
              </w:rPr>
            </w:pPr>
            <w:r w:rsidRPr="00F47099">
              <w:rPr>
                <w:rFonts w:asciiTheme="majorHAnsi" w:hAnsiTheme="majorHAnsi" w:cstheme="majorHAnsi"/>
                <w:b/>
                <w:bCs/>
                <w:sz w:val="16"/>
                <w:szCs w:val="16"/>
              </w:rPr>
              <w:t xml:space="preserve">                 (68.973.865)</w:t>
            </w:r>
          </w:p>
        </w:tc>
      </w:tr>
      <w:tr w:rsidR="00F47099" w:rsidRPr="00F47099" w14:paraId="300E1522" w14:textId="77777777" w:rsidTr="00F47099">
        <w:trPr>
          <w:trHeight w:hRule="exact" w:val="227"/>
        </w:trPr>
        <w:tc>
          <w:tcPr>
            <w:tcW w:w="3215" w:type="pct"/>
            <w:tcBorders>
              <w:top w:val="nil"/>
              <w:left w:val="nil"/>
              <w:bottom w:val="nil"/>
              <w:right w:val="nil"/>
            </w:tcBorders>
            <w:shd w:val="clear" w:color="000000" w:fill="FFFFFF"/>
            <w:noWrap/>
            <w:vAlign w:val="bottom"/>
            <w:hideMark/>
          </w:tcPr>
          <w:p w14:paraId="0ADF33EA" w14:textId="77777777" w:rsidR="00F47099" w:rsidRPr="00F47099" w:rsidRDefault="00F47099">
            <w:pPr>
              <w:rPr>
                <w:rFonts w:asciiTheme="majorHAnsi" w:hAnsiTheme="majorHAnsi" w:cstheme="majorHAnsi"/>
                <w:b/>
                <w:bCs/>
                <w:sz w:val="16"/>
                <w:szCs w:val="16"/>
              </w:rPr>
            </w:pPr>
            <w:r w:rsidRPr="00F47099">
              <w:rPr>
                <w:rFonts w:asciiTheme="majorHAnsi" w:hAnsiTheme="majorHAnsi" w:cstheme="majorHAnsi"/>
                <w:b/>
                <w:bCs/>
                <w:sz w:val="16"/>
                <w:szCs w:val="16"/>
              </w:rPr>
              <w:t> </w:t>
            </w:r>
          </w:p>
        </w:tc>
        <w:tc>
          <w:tcPr>
            <w:tcW w:w="811" w:type="pct"/>
            <w:tcBorders>
              <w:top w:val="nil"/>
              <w:left w:val="nil"/>
              <w:bottom w:val="nil"/>
              <w:right w:val="nil"/>
            </w:tcBorders>
            <w:shd w:val="clear" w:color="000000" w:fill="FFFFFF"/>
            <w:noWrap/>
            <w:vAlign w:val="bottom"/>
            <w:hideMark/>
          </w:tcPr>
          <w:p w14:paraId="2FD73DD9" w14:textId="77777777" w:rsidR="00F47099" w:rsidRPr="00F47099" w:rsidRDefault="00F47099" w:rsidP="00F47099">
            <w:pPr>
              <w:jc w:val="right"/>
              <w:rPr>
                <w:rFonts w:asciiTheme="majorHAnsi" w:hAnsiTheme="majorHAnsi" w:cstheme="majorHAnsi"/>
                <w:b/>
                <w:bCs/>
                <w:sz w:val="16"/>
                <w:szCs w:val="16"/>
              </w:rPr>
            </w:pPr>
            <w:r w:rsidRPr="00F47099">
              <w:rPr>
                <w:rFonts w:asciiTheme="majorHAnsi" w:hAnsiTheme="majorHAnsi" w:cstheme="majorHAnsi"/>
                <w:b/>
                <w:bCs/>
                <w:sz w:val="16"/>
                <w:szCs w:val="16"/>
              </w:rPr>
              <w:t> </w:t>
            </w:r>
          </w:p>
        </w:tc>
        <w:tc>
          <w:tcPr>
            <w:tcW w:w="974" w:type="pct"/>
            <w:tcBorders>
              <w:top w:val="nil"/>
              <w:left w:val="nil"/>
              <w:bottom w:val="nil"/>
              <w:right w:val="nil"/>
            </w:tcBorders>
            <w:shd w:val="clear" w:color="auto" w:fill="auto"/>
            <w:noWrap/>
            <w:vAlign w:val="bottom"/>
            <w:hideMark/>
          </w:tcPr>
          <w:p w14:paraId="6F6C7D41" w14:textId="77777777" w:rsidR="00F47099" w:rsidRPr="00F47099" w:rsidRDefault="00F47099" w:rsidP="00F47099">
            <w:pPr>
              <w:jc w:val="right"/>
              <w:rPr>
                <w:rFonts w:asciiTheme="majorHAnsi" w:hAnsiTheme="majorHAnsi" w:cstheme="majorHAnsi"/>
                <w:b/>
                <w:bCs/>
                <w:sz w:val="16"/>
                <w:szCs w:val="16"/>
              </w:rPr>
            </w:pPr>
          </w:p>
        </w:tc>
      </w:tr>
      <w:tr w:rsidR="00F47099" w:rsidRPr="00F47099" w14:paraId="4F25DB72" w14:textId="77777777" w:rsidTr="00F47099">
        <w:trPr>
          <w:trHeight w:hRule="exact" w:val="227"/>
        </w:trPr>
        <w:tc>
          <w:tcPr>
            <w:tcW w:w="3215" w:type="pct"/>
            <w:tcBorders>
              <w:top w:val="nil"/>
              <w:left w:val="nil"/>
              <w:bottom w:val="nil"/>
              <w:right w:val="nil"/>
            </w:tcBorders>
            <w:shd w:val="clear" w:color="000000" w:fill="FFFFFF"/>
            <w:noWrap/>
            <w:vAlign w:val="bottom"/>
            <w:hideMark/>
          </w:tcPr>
          <w:p w14:paraId="274D9032" w14:textId="77777777" w:rsidR="00F47099" w:rsidRPr="00F47099" w:rsidRDefault="00F47099">
            <w:pPr>
              <w:rPr>
                <w:rFonts w:asciiTheme="majorHAnsi" w:hAnsiTheme="majorHAnsi" w:cstheme="majorHAnsi"/>
                <w:b/>
                <w:bCs/>
                <w:sz w:val="16"/>
                <w:szCs w:val="16"/>
              </w:rPr>
            </w:pPr>
            <w:r w:rsidRPr="00F47099">
              <w:rPr>
                <w:rFonts w:asciiTheme="majorHAnsi" w:hAnsiTheme="majorHAnsi" w:cstheme="majorHAnsi"/>
                <w:b/>
                <w:bCs/>
                <w:sz w:val="16"/>
                <w:szCs w:val="16"/>
              </w:rPr>
              <w:t xml:space="preserve"> Aumento ou Redução nos Ativos e Passivos Operacionais </w:t>
            </w:r>
          </w:p>
        </w:tc>
        <w:tc>
          <w:tcPr>
            <w:tcW w:w="811" w:type="pct"/>
            <w:tcBorders>
              <w:top w:val="nil"/>
              <w:left w:val="nil"/>
              <w:bottom w:val="nil"/>
              <w:right w:val="nil"/>
            </w:tcBorders>
            <w:shd w:val="clear" w:color="000000" w:fill="FFFFFF"/>
            <w:noWrap/>
            <w:vAlign w:val="bottom"/>
            <w:hideMark/>
          </w:tcPr>
          <w:p w14:paraId="65A195A5" w14:textId="77777777" w:rsidR="00F47099" w:rsidRPr="00F47099" w:rsidRDefault="00F47099" w:rsidP="00F47099">
            <w:pPr>
              <w:jc w:val="right"/>
              <w:rPr>
                <w:rFonts w:asciiTheme="majorHAnsi" w:hAnsiTheme="majorHAnsi" w:cstheme="majorHAnsi"/>
                <w:b/>
                <w:bCs/>
                <w:sz w:val="16"/>
                <w:szCs w:val="16"/>
              </w:rPr>
            </w:pPr>
            <w:r w:rsidRPr="00F47099">
              <w:rPr>
                <w:rFonts w:asciiTheme="majorHAnsi" w:hAnsiTheme="majorHAnsi" w:cstheme="majorHAnsi"/>
                <w:b/>
                <w:bCs/>
                <w:sz w:val="16"/>
                <w:szCs w:val="16"/>
              </w:rPr>
              <w:t xml:space="preserve">          191.187.519 </w:t>
            </w:r>
          </w:p>
        </w:tc>
        <w:tc>
          <w:tcPr>
            <w:tcW w:w="974" w:type="pct"/>
            <w:tcBorders>
              <w:top w:val="nil"/>
              <w:left w:val="nil"/>
              <w:bottom w:val="nil"/>
              <w:right w:val="nil"/>
            </w:tcBorders>
            <w:shd w:val="clear" w:color="000000" w:fill="FFFFFF"/>
            <w:noWrap/>
            <w:vAlign w:val="bottom"/>
            <w:hideMark/>
          </w:tcPr>
          <w:p w14:paraId="02F6BFB9" w14:textId="77777777" w:rsidR="00F47099" w:rsidRPr="00F47099" w:rsidRDefault="00F47099" w:rsidP="00F47099">
            <w:pPr>
              <w:jc w:val="right"/>
              <w:rPr>
                <w:rFonts w:asciiTheme="majorHAnsi" w:hAnsiTheme="majorHAnsi" w:cstheme="majorHAnsi"/>
                <w:b/>
                <w:bCs/>
                <w:sz w:val="16"/>
                <w:szCs w:val="16"/>
              </w:rPr>
            </w:pPr>
            <w:r w:rsidRPr="00F47099">
              <w:rPr>
                <w:rFonts w:asciiTheme="majorHAnsi" w:hAnsiTheme="majorHAnsi" w:cstheme="majorHAnsi"/>
                <w:b/>
                <w:bCs/>
                <w:sz w:val="16"/>
                <w:szCs w:val="16"/>
              </w:rPr>
              <w:t xml:space="preserve">                   (1.316.793)</w:t>
            </w:r>
          </w:p>
        </w:tc>
      </w:tr>
      <w:tr w:rsidR="00F47099" w:rsidRPr="00F47099" w14:paraId="793A36CD" w14:textId="77777777" w:rsidTr="00F47099">
        <w:trPr>
          <w:trHeight w:hRule="exact" w:val="227"/>
        </w:trPr>
        <w:tc>
          <w:tcPr>
            <w:tcW w:w="3215" w:type="pct"/>
            <w:tcBorders>
              <w:top w:val="nil"/>
              <w:left w:val="nil"/>
              <w:bottom w:val="nil"/>
              <w:right w:val="nil"/>
            </w:tcBorders>
            <w:shd w:val="clear" w:color="000000" w:fill="FFFFFF"/>
            <w:noWrap/>
            <w:vAlign w:val="bottom"/>
            <w:hideMark/>
          </w:tcPr>
          <w:p w14:paraId="7A6089F1" w14:textId="77777777" w:rsidR="00F47099" w:rsidRPr="00F47099" w:rsidRDefault="00F47099">
            <w:pPr>
              <w:rPr>
                <w:rFonts w:asciiTheme="majorHAnsi" w:hAnsiTheme="majorHAnsi" w:cstheme="majorHAnsi"/>
                <w:sz w:val="16"/>
                <w:szCs w:val="16"/>
              </w:rPr>
            </w:pPr>
            <w:r w:rsidRPr="00F47099">
              <w:rPr>
                <w:rFonts w:asciiTheme="majorHAnsi" w:hAnsiTheme="majorHAnsi" w:cstheme="majorHAnsi"/>
                <w:sz w:val="16"/>
                <w:szCs w:val="16"/>
              </w:rPr>
              <w:t xml:space="preserve">        Redução (Aumento) de Direitos Realizáveis Curto Prazo </w:t>
            </w:r>
          </w:p>
        </w:tc>
        <w:tc>
          <w:tcPr>
            <w:tcW w:w="811" w:type="pct"/>
            <w:tcBorders>
              <w:top w:val="nil"/>
              <w:left w:val="nil"/>
              <w:bottom w:val="nil"/>
              <w:right w:val="nil"/>
            </w:tcBorders>
            <w:shd w:val="clear" w:color="000000" w:fill="FFFFFF"/>
            <w:noWrap/>
            <w:vAlign w:val="bottom"/>
            <w:hideMark/>
          </w:tcPr>
          <w:p w14:paraId="6498D81D" w14:textId="77777777" w:rsidR="00F47099" w:rsidRPr="00F47099" w:rsidRDefault="00F47099" w:rsidP="00F47099">
            <w:pPr>
              <w:jc w:val="right"/>
              <w:rPr>
                <w:rFonts w:asciiTheme="majorHAnsi" w:hAnsiTheme="majorHAnsi" w:cstheme="majorHAnsi"/>
                <w:sz w:val="16"/>
                <w:szCs w:val="16"/>
              </w:rPr>
            </w:pPr>
            <w:r w:rsidRPr="00F47099">
              <w:rPr>
                <w:rFonts w:asciiTheme="majorHAnsi" w:hAnsiTheme="majorHAnsi" w:cstheme="majorHAnsi"/>
                <w:sz w:val="16"/>
                <w:szCs w:val="16"/>
              </w:rPr>
              <w:t xml:space="preserve">            (4.224.719)</w:t>
            </w:r>
          </w:p>
        </w:tc>
        <w:tc>
          <w:tcPr>
            <w:tcW w:w="974" w:type="pct"/>
            <w:tcBorders>
              <w:top w:val="nil"/>
              <w:left w:val="nil"/>
              <w:bottom w:val="nil"/>
              <w:right w:val="nil"/>
            </w:tcBorders>
            <w:shd w:val="clear" w:color="000000" w:fill="FFFFFF"/>
            <w:noWrap/>
            <w:vAlign w:val="bottom"/>
            <w:hideMark/>
          </w:tcPr>
          <w:p w14:paraId="56A7AA39" w14:textId="77777777" w:rsidR="00F47099" w:rsidRPr="00F47099" w:rsidRDefault="00F47099" w:rsidP="00F47099">
            <w:pPr>
              <w:jc w:val="right"/>
              <w:rPr>
                <w:rFonts w:asciiTheme="majorHAnsi" w:hAnsiTheme="majorHAnsi" w:cstheme="majorHAnsi"/>
                <w:sz w:val="16"/>
                <w:szCs w:val="16"/>
              </w:rPr>
            </w:pPr>
            <w:r w:rsidRPr="00F47099">
              <w:rPr>
                <w:rFonts w:asciiTheme="majorHAnsi" w:hAnsiTheme="majorHAnsi" w:cstheme="majorHAnsi"/>
                <w:sz w:val="16"/>
                <w:szCs w:val="16"/>
              </w:rPr>
              <w:t xml:space="preserve">                   (1.655.984)</w:t>
            </w:r>
          </w:p>
        </w:tc>
      </w:tr>
      <w:tr w:rsidR="00F47099" w:rsidRPr="00F47099" w14:paraId="426D141C" w14:textId="77777777" w:rsidTr="00F47099">
        <w:trPr>
          <w:trHeight w:hRule="exact" w:val="227"/>
        </w:trPr>
        <w:tc>
          <w:tcPr>
            <w:tcW w:w="3215" w:type="pct"/>
            <w:tcBorders>
              <w:top w:val="nil"/>
              <w:left w:val="nil"/>
              <w:bottom w:val="nil"/>
              <w:right w:val="nil"/>
            </w:tcBorders>
            <w:shd w:val="clear" w:color="000000" w:fill="FFFFFF"/>
            <w:noWrap/>
            <w:vAlign w:val="bottom"/>
            <w:hideMark/>
          </w:tcPr>
          <w:p w14:paraId="49555E78" w14:textId="77777777" w:rsidR="00F47099" w:rsidRPr="00F47099" w:rsidRDefault="00F47099">
            <w:pPr>
              <w:rPr>
                <w:rFonts w:asciiTheme="majorHAnsi" w:hAnsiTheme="majorHAnsi" w:cstheme="majorHAnsi"/>
                <w:sz w:val="16"/>
                <w:szCs w:val="16"/>
              </w:rPr>
            </w:pPr>
            <w:r w:rsidRPr="00F47099">
              <w:rPr>
                <w:rFonts w:asciiTheme="majorHAnsi" w:hAnsiTheme="majorHAnsi" w:cstheme="majorHAnsi"/>
                <w:sz w:val="16"/>
                <w:szCs w:val="16"/>
              </w:rPr>
              <w:t xml:space="preserve">        Redução (Aumento) de Direitos Realizáveis a Longo Prazo </w:t>
            </w:r>
          </w:p>
        </w:tc>
        <w:tc>
          <w:tcPr>
            <w:tcW w:w="811" w:type="pct"/>
            <w:tcBorders>
              <w:top w:val="nil"/>
              <w:left w:val="nil"/>
              <w:bottom w:val="nil"/>
              <w:right w:val="nil"/>
            </w:tcBorders>
            <w:shd w:val="clear" w:color="000000" w:fill="FFFFFF"/>
            <w:noWrap/>
            <w:vAlign w:val="bottom"/>
            <w:hideMark/>
          </w:tcPr>
          <w:p w14:paraId="6B15EF24" w14:textId="77777777" w:rsidR="00F47099" w:rsidRPr="00F47099" w:rsidRDefault="00F47099" w:rsidP="00F47099">
            <w:pPr>
              <w:jc w:val="right"/>
              <w:rPr>
                <w:rFonts w:asciiTheme="majorHAnsi" w:hAnsiTheme="majorHAnsi" w:cstheme="majorHAnsi"/>
                <w:sz w:val="16"/>
                <w:szCs w:val="16"/>
              </w:rPr>
            </w:pPr>
            <w:r w:rsidRPr="00F47099">
              <w:rPr>
                <w:rFonts w:asciiTheme="majorHAnsi" w:hAnsiTheme="majorHAnsi" w:cstheme="majorHAnsi"/>
                <w:sz w:val="16"/>
                <w:szCs w:val="16"/>
              </w:rPr>
              <w:t xml:space="preserve">            (6.220.183)</w:t>
            </w:r>
          </w:p>
        </w:tc>
        <w:tc>
          <w:tcPr>
            <w:tcW w:w="974" w:type="pct"/>
            <w:tcBorders>
              <w:top w:val="nil"/>
              <w:left w:val="nil"/>
              <w:bottom w:val="nil"/>
              <w:right w:val="nil"/>
            </w:tcBorders>
            <w:shd w:val="clear" w:color="000000" w:fill="FFFFFF"/>
            <w:noWrap/>
            <w:vAlign w:val="bottom"/>
            <w:hideMark/>
          </w:tcPr>
          <w:p w14:paraId="43843835" w14:textId="77777777" w:rsidR="00F47099" w:rsidRPr="00F47099" w:rsidRDefault="00F47099" w:rsidP="00F47099">
            <w:pPr>
              <w:jc w:val="right"/>
              <w:rPr>
                <w:rFonts w:asciiTheme="majorHAnsi" w:hAnsiTheme="majorHAnsi" w:cstheme="majorHAnsi"/>
                <w:sz w:val="16"/>
                <w:szCs w:val="16"/>
              </w:rPr>
            </w:pPr>
            <w:r w:rsidRPr="00F47099">
              <w:rPr>
                <w:rFonts w:asciiTheme="majorHAnsi" w:hAnsiTheme="majorHAnsi" w:cstheme="majorHAnsi"/>
                <w:sz w:val="16"/>
                <w:szCs w:val="16"/>
              </w:rPr>
              <w:t xml:space="preserve">                     1.490.174 </w:t>
            </w:r>
          </w:p>
        </w:tc>
      </w:tr>
      <w:tr w:rsidR="00F47099" w:rsidRPr="00F47099" w14:paraId="45E73B5D" w14:textId="77777777" w:rsidTr="00F47099">
        <w:trPr>
          <w:trHeight w:hRule="exact" w:val="227"/>
        </w:trPr>
        <w:tc>
          <w:tcPr>
            <w:tcW w:w="3215" w:type="pct"/>
            <w:tcBorders>
              <w:top w:val="nil"/>
              <w:left w:val="nil"/>
              <w:bottom w:val="nil"/>
              <w:right w:val="nil"/>
            </w:tcBorders>
            <w:shd w:val="clear" w:color="000000" w:fill="FFFFFF"/>
            <w:noWrap/>
            <w:vAlign w:val="bottom"/>
            <w:hideMark/>
          </w:tcPr>
          <w:p w14:paraId="6DA93B41" w14:textId="77777777" w:rsidR="00F47099" w:rsidRPr="00F47099" w:rsidRDefault="00F47099">
            <w:pPr>
              <w:outlineLvl w:val="0"/>
              <w:rPr>
                <w:rFonts w:asciiTheme="majorHAnsi" w:hAnsiTheme="majorHAnsi" w:cstheme="majorHAnsi"/>
                <w:sz w:val="16"/>
                <w:szCs w:val="16"/>
              </w:rPr>
            </w:pPr>
            <w:r w:rsidRPr="00F47099">
              <w:rPr>
                <w:rFonts w:asciiTheme="majorHAnsi" w:hAnsiTheme="majorHAnsi" w:cstheme="majorHAnsi"/>
                <w:sz w:val="16"/>
                <w:szCs w:val="16"/>
              </w:rPr>
              <w:t xml:space="preserve">        Aumento (Redução) de Fornecedores  </w:t>
            </w:r>
          </w:p>
        </w:tc>
        <w:tc>
          <w:tcPr>
            <w:tcW w:w="811" w:type="pct"/>
            <w:tcBorders>
              <w:top w:val="nil"/>
              <w:left w:val="nil"/>
              <w:bottom w:val="nil"/>
              <w:right w:val="nil"/>
            </w:tcBorders>
            <w:shd w:val="clear" w:color="000000" w:fill="FFFFFF"/>
            <w:noWrap/>
            <w:vAlign w:val="bottom"/>
            <w:hideMark/>
          </w:tcPr>
          <w:p w14:paraId="10531897" w14:textId="77777777" w:rsidR="00F47099" w:rsidRPr="00F47099" w:rsidRDefault="00F47099" w:rsidP="00F47099">
            <w:pPr>
              <w:jc w:val="right"/>
              <w:outlineLvl w:val="0"/>
              <w:rPr>
                <w:rFonts w:asciiTheme="majorHAnsi" w:hAnsiTheme="majorHAnsi" w:cstheme="majorHAnsi"/>
                <w:sz w:val="16"/>
                <w:szCs w:val="16"/>
              </w:rPr>
            </w:pPr>
            <w:r w:rsidRPr="00F47099">
              <w:rPr>
                <w:rFonts w:asciiTheme="majorHAnsi" w:hAnsiTheme="majorHAnsi" w:cstheme="majorHAnsi"/>
                <w:sz w:val="16"/>
                <w:szCs w:val="16"/>
              </w:rPr>
              <w:t xml:space="preserve">                  633.230 </w:t>
            </w:r>
          </w:p>
        </w:tc>
        <w:tc>
          <w:tcPr>
            <w:tcW w:w="974" w:type="pct"/>
            <w:tcBorders>
              <w:top w:val="nil"/>
              <w:left w:val="nil"/>
              <w:bottom w:val="nil"/>
              <w:right w:val="nil"/>
            </w:tcBorders>
            <w:shd w:val="clear" w:color="000000" w:fill="FFFFFF"/>
            <w:noWrap/>
            <w:vAlign w:val="bottom"/>
            <w:hideMark/>
          </w:tcPr>
          <w:p w14:paraId="5EE30297" w14:textId="77777777" w:rsidR="00F47099" w:rsidRPr="00F47099" w:rsidRDefault="00F47099" w:rsidP="00F47099">
            <w:pPr>
              <w:jc w:val="right"/>
              <w:outlineLvl w:val="0"/>
              <w:rPr>
                <w:rFonts w:asciiTheme="majorHAnsi" w:hAnsiTheme="majorHAnsi" w:cstheme="majorHAnsi"/>
                <w:sz w:val="16"/>
                <w:szCs w:val="16"/>
              </w:rPr>
            </w:pPr>
            <w:r w:rsidRPr="00F47099">
              <w:rPr>
                <w:rFonts w:asciiTheme="majorHAnsi" w:hAnsiTheme="majorHAnsi" w:cstheme="majorHAnsi"/>
                <w:sz w:val="16"/>
                <w:szCs w:val="16"/>
              </w:rPr>
              <w:t xml:space="preserve">                                   -   </w:t>
            </w:r>
          </w:p>
        </w:tc>
      </w:tr>
      <w:tr w:rsidR="00F47099" w:rsidRPr="00F47099" w14:paraId="2574D1DC" w14:textId="77777777" w:rsidTr="00F47099">
        <w:trPr>
          <w:trHeight w:hRule="exact" w:val="227"/>
        </w:trPr>
        <w:tc>
          <w:tcPr>
            <w:tcW w:w="3215" w:type="pct"/>
            <w:tcBorders>
              <w:top w:val="nil"/>
              <w:left w:val="nil"/>
              <w:bottom w:val="nil"/>
              <w:right w:val="nil"/>
            </w:tcBorders>
            <w:shd w:val="clear" w:color="000000" w:fill="FFFFFF"/>
            <w:noWrap/>
            <w:vAlign w:val="bottom"/>
            <w:hideMark/>
          </w:tcPr>
          <w:p w14:paraId="52DD36D3" w14:textId="77777777" w:rsidR="00F47099" w:rsidRPr="00F47099" w:rsidRDefault="00F47099">
            <w:pPr>
              <w:outlineLvl w:val="0"/>
              <w:rPr>
                <w:rFonts w:asciiTheme="majorHAnsi" w:hAnsiTheme="majorHAnsi" w:cstheme="majorHAnsi"/>
                <w:sz w:val="16"/>
                <w:szCs w:val="16"/>
              </w:rPr>
            </w:pPr>
            <w:r w:rsidRPr="00F47099">
              <w:rPr>
                <w:rFonts w:asciiTheme="majorHAnsi" w:hAnsiTheme="majorHAnsi" w:cstheme="majorHAnsi"/>
                <w:sz w:val="16"/>
                <w:szCs w:val="16"/>
              </w:rPr>
              <w:t xml:space="preserve">        Aumento (Redução) de Depósito retido de fornecedores </w:t>
            </w:r>
          </w:p>
        </w:tc>
        <w:tc>
          <w:tcPr>
            <w:tcW w:w="811" w:type="pct"/>
            <w:tcBorders>
              <w:top w:val="nil"/>
              <w:left w:val="nil"/>
              <w:bottom w:val="nil"/>
              <w:right w:val="nil"/>
            </w:tcBorders>
            <w:shd w:val="clear" w:color="000000" w:fill="FFFFFF"/>
            <w:noWrap/>
            <w:vAlign w:val="bottom"/>
            <w:hideMark/>
          </w:tcPr>
          <w:p w14:paraId="0B8D26E7" w14:textId="77777777" w:rsidR="00F47099" w:rsidRPr="00F47099" w:rsidRDefault="00F47099" w:rsidP="00F47099">
            <w:pPr>
              <w:jc w:val="right"/>
              <w:outlineLvl w:val="0"/>
              <w:rPr>
                <w:rFonts w:asciiTheme="majorHAnsi" w:hAnsiTheme="majorHAnsi" w:cstheme="majorHAnsi"/>
                <w:sz w:val="16"/>
                <w:szCs w:val="16"/>
              </w:rPr>
            </w:pPr>
            <w:r w:rsidRPr="00F47099">
              <w:rPr>
                <w:rFonts w:asciiTheme="majorHAnsi" w:hAnsiTheme="majorHAnsi" w:cstheme="majorHAnsi"/>
                <w:sz w:val="16"/>
                <w:szCs w:val="16"/>
              </w:rPr>
              <w:t xml:space="preserve">                             -   </w:t>
            </w:r>
          </w:p>
        </w:tc>
        <w:tc>
          <w:tcPr>
            <w:tcW w:w="974" w:type="pct"/>
            <w:tcBorders>
              <w:top w:val="nil"/>
              <w:left w:val="nil"/>
              <w:bottom w:val="nil"/>
              <w:right w:val="nil"/>
            </w:tcBorders>
            <w:shd w:val="clear" w:color="000000" w:fill="FFFFFF"/>
            <w:noWrap/>
            <w:vAlign w:val="bottom"/>
            <w:hideMark/>
          </w:tcPr>
          <w:p w14:paraId="411A3520" w14:textId="77777777" w:rsidR="00F47099" w:rsidRPr="00F47099" w:rsidRDefault="00F47099" w:rsidP="00F47099">
            <w:pPr>
              <w:jc w:val="right"/>
              <w:outlineLvl w:val="0"/>
              <w:rPr>
                <w:rFonts w:asciiTheme="majorHAnsi" w:hAnsiTheme="majorHAnsi" w:cstheme="majorHAnsi"/>
                <w:sz w:val="16"/>
                <w:szCs w:val="16"/>
              </w:rPr>
            </w:pPr>
            <w:r w:rsidRPr="00F47099">
              <w:rPr>
                <w:rFonts w:asciiTheme="majorHAnsi" w:hAnsiTheme="majorHAnsi" w:cstheme="majorHAnsi"/>
                <w:sz w:val="16"/>
                <w:szCs w:val="16"/>
              </w:rPr>
              <w:t xml:space="preserve">                   (1.150.983)</w:t>
            </w:r>
          </w:p>
        </w:tc>
      </w:tr>
      <w:tr w:rsidR="00F47099" w:rsidRPr="00F47099" w14:paraId="5116FC60" w14:textId="77777777" w:rsidTr="00F47099">
        <w:trPr>
          <w:trHeight w:hRule="exact" w:val="227"/>
        </w:trPr>
        <w:tc>
          <w:tcPr>
            <w:tcW w:w="3215" w:type="pct"/>
            <w:tcBorders>
              <w:top w:val="nil"/>
              <w:left w:val="nil"/>
              <w:bottom w:val="nil"/>
              <w:right w:val="nil"/>
            </w:tcBorders>
            <w:shd w:val="clear" w:color="000000" w:fill="FFFFFF"/>
            <w:noWrap/>
            <w:vAlign w:val="bottom"/>
            <w:hideMark/>
          </w:tcPr>
          <w:p w14:paraId="0DA3B878" w14:textId="77777777" w:rsidR="00F47099" w:rsidRPr="00F47099" w:rsidRDefault="00F47099">
            <w:pPr>
              <w:rPr>
                <w:rFonts w:asciiTheme="majorHAnsi" w:hAnsiTheme="majorHAnsi" w:cstheme="majorHAnsi"/>
                <w:sz w:val="16"/>
                <w:szCs w:val="16"/>
              </w:rPr>
            </w:pPr>
            <w:r w:rsidRPr="00F47099">
              <w:rPr>
                <w:rFonts w:asciiTheme="majorHAnsi" w:hAnsiTheme="majorHAnsi" w:cstheme="majorHAnsi"/>
                <w:sz w:val="16"/>
                <w:szCs w:val="16"/>
              </w:rPr>
              <w:t xml:space="preserve">        Aumento (Redução) de Contas a Pagar  </w:t>
            </w:r>
          </w:p>
        </w:tc>
        <w:tc>
          <w:tcPr>
            <w:tcW w:w="811" w:type="pct"/>
            <w:tcBorders>
              <w:top w:val="nil"/>
              <w:left w:val="nil"/>
              <w:bottom w:val="nil"/>
              <w:right w:val="nil"/>
            </w:tcBorders>
            <w:shd w:val="clear" w:color="000000" w:fill="FFFFFF"/>
            <w:noWrap/>
            <w:vAlign w:val="bottom"/>
            <w:hideMark/>
          </w:tcPr>
          <w:p w14:paraId="5CE89B60" w14:textId="77777777" w:rsidR="00F47099" w:rsidRPr="00F47099" w:rsidRDefault="00F47099" w:rsidP="00F47099">
            <w:pPr>
              <w:jc w:val="right"/>
              <w:rPr>
                <w:rFonts w:asciiTheme="majorHAnsi" w:hAnsiTheme="majorHAnsi" w:cstheme="majorHAnsi"/>
                <w:sz w:val="16"/>
                <w:szCs w:val="16"/>
              </w:rPr>
            </w:pPr>
            <w:r w:rsidRPr="00F47099">
              <w:rPr>
                <w:rFonts w:asciiTheme="majorHAnsi" w:hAnsiTheme="majorHAnsi" w:cstheme="majorHAnsi"/>
                <w:sz w:val="16"/>
                <w:szCs w:val="16"/>
              </w:rPr>
              <w:t xml:space="preserve">          200.999.191 </w:t>
            </w:r>
          </w:p>
        </w:tc>
        <w:tc>
          <w:tcPr>
            <w:tcW w:w="974" w:type="pct"/>
            <w:tcBorders>
              <w:top w:val="nil"/>
              <w:left w:val="nil"/>
              <w:bottom w:val="nil"/>
              <w:right w:val="nil"/>
            </w:tcBorders>
            <w:shd w:val="clear" w:color="000000" w:fill="FFFFFF"/>
            <w:noWrap/>
            <w:vAlign w:val="bottom"/>
            <w:hideMark/>
          </w:tcPr>
          <w:p w14:paraId="629D8C29" w14:textId="77777777" w:rsidR="00F47099" w:rsidRPr="00F47099" w:rsidRDefault="00F47099" w:rsidP="00F47099">
            <w:pPr>
              <w:jc w:val="right"/>
              <w:rPr>
                <w:rFonts w:asciiTheme="majorHAnsi" w:hAnsiTheme="majorHAnsi" w:cstheme="majorHAnsi"/>
                <w:sz w:val="16"/>
                <w:szCs w:val="16"/>
              </w:rPr>
            </w:pPr>
            <w:r w:rsidRPr="00F47099">
              <w:rPr>
                <w:rFonts w:asciiTheme="majorHAnsi" w:hAnsiTheme="majorHAnsi" w:cstheme="majorHAnsi"/>
                <w:sz w:val="16"/>
                <w:szCs w:val="16"/>
              </w:rPr>
              <w:t xml:space="preserve">                                   -   </w:t>
            </w:r>
          </w:p>
        </w:tc>
      </w:tr>
      <w:tr w:rsidR="00F47099" w:rsidRPr="00F47099" w14:paraId="7B9E0299" w14:textId="77777777" w:rsidTr="00F47099">
        <w:trPr>
          <w:trHeight w:hRule="exact" w:val="227"/>
        </w:trPr>
        <w:tc>
          <w:tcPr>
            <w:tcW w:w="3215" w:type="pct"/>
            <w:tcBorders>
              <w:top w:val="nil"/>
              <w:left w:val="nil"/>
              <w:bottom w:val="nil"/>
              <w:right w:val="nil"/>
            </w:tcBorders>
            <w:shd w:val="clear" w:color="000000" w:fill="FFFFFF"/>
            <w:noWrap/>
            <w:vAlign w:val="bottom"/>
            <w:hideMark/>
          </w:tcPr>
          <w:p w14:paraId="79DCD5E6" w14:textId="77777777" w:rsidR="00F47099" w:rsidRPr="00F47099" w:rsidRDefault="00F47099">
            <w:pPr>
              <w:rPr>
                <w:rFonts w:asciiTheme="majorHAnsi" w:hAnsiTheme="majorHAnsi" w:cstheme="majorHAnsi"/>
                <w:b/>
                <w:bCs/>
                <w:sz w:val="16"/>
                <w:szCs w:val="16"/>
              </w:rPr>
            </w:pPr>
            <w:r w:rsidRPr="00F47099">
              <w:rPr>
                <w:rFonts w:asciiTheme="majorHAnsi" w:hAnsiTheme="majorHAnsi" w:cstheme="majorHAnsi"/>
                <w:b/>
                <w:bCs/>
                <w:sz w:val="16"/>
                <w:szCs w:val="16"/>
              </w:rPr>
              <w:t xml:space="preserve">  = Caixa Líquido Gerado ou Consumido nas atividades operacionais </w:t>
            </w:r>
          </w:p>
        </w:tc>
        <w:tc>
          <w:tcPr>
            <w:tcW w:w="811" w:type="pct"/>
            <w:tcBorders>
              <w:top w:val="nil"/>
              <w:left w:val="nil"/>
              <w:bottom w:val="nil"/>
              <w:right w:val="nil"/>
            </w:tcBorders>
            <w:shd w:val="clear" w:color="000000" w:fill="FFFFFF"/>
            <w:noWrap/>
            <w:vAlign w:val="bottom"/>
            <w:hideMark/>
          </w:tcPr>
          <w:p w14:paraId="2806CF65" w14:textId="77777777" w:rsidR="00F47099" w:rsidRPr="00F47099" w:rsidRDefault="00F47099" w:rsidP="00F47099">
            <w:pPr>
              <w:jc w:val="right"/>
              <w:rPr>
                <w:rFonts w:asciiTheme="majorHAnsi" w:hAnsiTheme="majorHAnsi" w:cstheme="majorHAnsi"/>
                <w:b/>
                <w:bCs/>
                <w:sz w:val="16"/>
                <w:szCs w:val="16"/>
              </w:rPr>
            </w:pPr>
            <w:r w:rsidRPr="00F47099">
              <w:rPr>
                <w:rFonts w:asciiTheme="majorHAnsi" w:hAnsiTheme="majorHAnsi" w:cstheme="majorHAnsi"/>
                <w:b/>
                <w:bCs/>
                <w:sz w:val="16"/>
                <w:szCs w:val="16"/>
              </w:rPr>
              <w:t xml:space="preserve">          116.327.588 </w:t>
            </w:r>
          </w:p>
        </w:tc>
        <w:tc>
          <w:tcPr>
            <w:tcW w:w="974" w:type="pct"/>
            <w:tcBorders>
              <w:top w:val="nil"/>
              <w:left w:val="nil"/>
              <w:bottom w:val="nil"/>
              <w:right w:val="nil"/>
            </w:tcBorders>
            <w:shd w:val="clear" w:color="000000" w:fill="FFFFFF"/>
            <w:noWrap/>
            <w:vAlign w:val="bottom"/>
            <w:hideMark/>
          </w:tcPr>
          <w:p w14:paraId="284F0C77" w14:textId="77777777" w:rsidR="00F47099" w:rsidRPr="00F47099" w:rsidRDefault="00F47099" w:rsidP="00F47099">
            <w:pPr>
              <w:jc w:val="right"/>
              <w:rPr>
                <w:rFonts w:asciiTheme="majorHAnsi" w:hAnsiTheme="majorHAnsi" w:cstheme="majorHAnsi"/>
                <w:b/>
                <w:bCs/>
                <w:sz w:val="16"/>
                <w:szCs w:val="16"/>
              </w:rPr>
            </w:pPr>
            <w:r w:rsidRPr="00F47099">
              <w:rPr>
                <w:rFonts w:asciiTheme="majorHAnsi" w:hAnsiTheme="majorHAnsi" w:cstheme="majorHAnsi"/>
                <w:b/>
                <w:bCs/>
                <w:sz w:val="16"/>
                <w:szCs w:val="16"/>
              </w:rPr>
              <w:t xml:space="preserve">                 (70.290.658)</w:t>
            </w:r>
          </w:p>
        </w:tc>
      </w:tr>
      <w:tr w:rsidR="00F47099" w:rsidRPr="00F47099" w14:paraId="3F59CF76" w14:textId="77777777" w:rsidTr="00F47099">
        <w:trPr>
          <w:trHeight w:hRule="exact" w:val="227"/>
        </w:trPr>
        <w:tc>
          <w:tcPr>
            <w:tcW w:w="3215" w:type="pct"/>
            <w:tcBorders>
              <w:top w:val="nil"/>
              <w:left w:val="nil"/>
              <w:bottom w:val="nil"/>
              <w:right w:val="nil"/>
            </w:tcBorders>
            <w:shd w:val="clear" w:color="000000" w:fill="FFFFFF"/>
            <w:noWrap/>
            <w:vAlign w:val="bottom"/>
            <w:hideMark/>
          </w:tcPr>
          <w:p w14:paraId="77D6B1D2" w14:textId="77777777" w:rsidR="00F47099" w:rsidRPr="00F47099" w:rsidRDefault="00F47099">
            <w:pPr>
              <w:rPr>
                <w:rFonts w:asciiTheme="majorHAnsi" w:hAnsiTheme="majorHAnsi" w:cstheme="majorHAnsi"/>
                <w:sz w:val="16"/>
                <w:szCs w:val="16"/>
              </w:rPr>
            </w:pPr>
            <w:r w:rsidRPr="00F47099">
              <w:rPr>
                <w:rFonts w:asciiTheme="majorHAnsi" w:hAnsiTheme="majorHAnsi" w:cstheme="majorHAnsi"/>
                <w:sz w:val="16"/>
                <w:szCs w:val="16"/>
              </w:rPr>
              <w:t> </w:t>
            </w:r>
          </w:p>
        </w:tc>
        <w:tc>
          <w:tcPr>
            <w:tcW w:w="811" w:type="pct"/>
            <w:tcBorders>
              <w:top w:val="nil"/>
              <w:left w:val="nil"/>
              <w:bottom w:val="nil"/>
              <w:right w:val="nil"/>
            </w:tcBorders>
            <w:shd w:val="clear" w:color="000000" w:fill="FFFFFF"/>
            <w:noWrap/>
            <w:vAlign w:val="bottom"/>
            <w:hideMark/>
          </w:tcPr>
          <w:p w14:paraId="0270CA71" w14:textId="77777777" w:rsidR="00F47099" w:rsidRPr="00F47099" w:rsidRDefault="00F47099">
            <w:pPr>
              <w:rPr>
                <w:rFonts w:asciiTheme="majorHAnsi" w:hAnsiTheme="majorHAnsi" w:cstheme="majorHAnsi"/>
                <w:sz w:val="16"/>
                <w:szCs w:val="16"/>
              </w:rPr>
            </w:pPr>
            <w:r w:rsidRPr="00F47099">
              <w:rPr>
                <w:rFonts w:asciiTheme="majorHAnsi" w:hAnsiTheme="majorHAnsi" w:cstheme="majorHAnsi"/>
                <w:sz w:val="16"/>
                <w:szCs w:val="16"/>
              </w:rPr>
              <w:t> </w:t>
            </w:r>
          </w:p>
        </w:tc>
        <w:tc>
          <w:tcPr>
            <w:tcW w:w="974" w:type="pct"/>
            <w:tcBorders>
              <w:top w:val="nil"/>
              <w:left w:val="nil"/>
              <w:bottom w:val="nil"/>
              <w:right w:val="nil"/>
            </w:tcBorders>
            <w:shd w:val="clear" w:color="000000" w:fill="FFFFFF"/>
            <w:noWrap/>
            <w:vAlign w:val="bottom"/>
            <w:hideMark/>
          </w:tcPr>
          <w:p w14:paraId="3C12FBFC" w14:textId="77777777" w:rsidR="00F47099" w:rsidRPr="00F47099" w:rsidRDefault="00F47099">
            <w:pPr>
              <w:rPr>
                <w:rFonts w:asciiTheme="majorHAnsi" w:hAnsiTheme="majorHAnsi" w:cstheme="majorHAnsi"/>
                <w:sz w:val="16"/>
                <w:szCs w:val="16"/>
              </w:rPr>
            </w:pPr>
            <w:r w:rsidRPr="00F47099">
              <w:rPr>
                <w:rFonts w:asciiTheme="majorHAnsi" w:hAnsiTheme="majorHAnsi" w:cstheme="majorHAnsi"/>
                <w:sz w:val="16"/>
                <w:szCs w:val="16"/>
              </w:rPr>
              <w:t> </w:t>
            </w:r>
          </w:p>
        </w:tc>
      </w:tr>
      <w:tr w:rsidR="00F47099" w:rsidRPr="00F47099" w14:paraId="04098CDA" w14:textId="77777777" w:rsidTr="00F47099">
        <w:trPr>
          <w:trHeight w:hRule="exact" w:val="227"/>
        </w:trPr>
        <w:tc>
          <w:tcPr>
            <w:tcW w:w="3215" w:type="pct"/>
            <w:tcBorders>
              <w:top w:val="nil"/>
              <w:left w:val="nil"/>
              <w:bottom w:val="nil"/>
              <w:right w:val="nil"/>
            </w:tcBorders>
            <w:shd w:val="clear" w:color="000000" w:fill="FFFFFF"/>
            <w:noWrap/>
            <w:vAlign w:val="bottom"/>
            <w:hideMark/>
          </w:tcPr>
          <w:p w14:paraId="7378B556" w14:textId="77777777" w:rsidR="00F47099" w:rsidRPr="00F47099" w:rsidRDefault="00F47099">
            <w:pPr>
              <w:rPr>
                <w:rFonts w:asciiTheme="majorHAnsi" w:hAnsiTheme="majorHAnsi" w:cstheme="majorHAnsi"/>
                <w:sz w:val="16"/>
                <w:szCs w:val="16"/>
              </w:rPr>
            </w:pPr>
            <w:r w:rsidRPr="00F47099">
              <w:rPr>
                <w:rFonts w:asciiTheme="majorHAnsi" w:hAnsiTheme="majorHAnsi" w:cstheme="majorHAnsi"/>
                <w:sz w:val="16"/>
                <w:szCs w:val="16"/>
              </w:rPr>
              <w:t> </w:t>
            </w:r>
          </w:p>
        </w:tc>
        <w:tc>
          <w:tcPr>
            <w:tcW w:w="811" w:type="pct"/>
            <w:tcBorders>
              <w:top w:val="nil"/>
              <w:left w:val="nil"/>
              <w:bottom w:val="nil"/>
              <w:right w:val="nil"/>
            </w:tcBorders>
            <w:shd w:val="clear" w:color="000000" w:fill="FFFFFF"/>
            <w:noWrap/>
            <w:vAlign w:val="bottom"/>
            <w:hideMark/>
          </w:tcPr>
          <w:p w14:paraId="78D18B6A" w14:textId="77777777" w:rsidR="00F47099" w:rsidRPr="00F47099" w:rsidRDefault="00F47099">
            <w:pPr>
              <w:rPr>
                <w:rFonts w:asciiTheme="majorHAnsi" w:hAnsiTheme="majorHAnsi" w:cstheme="majorHAnsi"/>
                <w:sz w:val="16"/>
                <w:szCs w:val="16"/>
              </w:rPr>
            </w:pPr>
            <w:r w:rsidRPr="00F47099">
              <w:rPr>
                <w:rFonts w:asciiTheme="majorHAnsi" w:hAnsiTheme="majorHAnsi" w:cstheme="majorHAnsi"/>
                <w:sz w:val="16"/>
                <w:szCs w:val="16"/>
              </w:rPr>
              <w:t> </w:t>
            </w:r>
          </w:p>
        </w:tc>
        <w:tc>
          <w:tcPr>
            <w:tcW w:w="974" w:type="pct"/>
            <w:tcBorders>
              <w:top w:val="nil"/>
              <w:left w:val="nil"/>
              <w:bottom w:val="nil"/>
              <w:right w:val="nil"/>
            </w:tcBorders>
            <w:shd w:val="clear" w:color="000000" w:fill="FFFFFF"/>
            <w:noWrap/>
            <w:vAlign w:val="bottom"/>
            <w:hideMark/>
          </w:tcPr>
          <w:p w14:paraId="19DE665C" w14:textId="77777777" w:rsidR="00F47099" w:rsidRPr="00F47099" w:rsidRDefault="00F47099">
            <w:pPr>
              <w:rPr>
                <w:rFonts w:asciiTheme="majorHAnsi" w:hAnsiTheme="majorHAnsi" w:cstheme="majorHAnsi"/>
                <w:sz w:val="16"/>
                <w:szCs w:val="16"/>
              </w:rPr>
            </w:pPr>
            <w:r w:rsidRPr="00F47099">
              <w:rPr>
                <w:rFonts w:asciiTheme="majorHAnsi" w:hAnsiTheme="majorHAnsi" w:cstheme="majorHAnsi"/>
                <w:sz w:val="16"/>
                <w:szCs w:val="16"/>
              </w:rPr>
              <w:t> </w:t>
            </w:r>
          </w:p>
        </w:tc>
      </w:tr>
      <w:tr w:rsidR="00F47099" w:rsidRPr="00F47099" w14:paraId="5F9F2A9E" w14:textId="77777777" w:rsidTr="00F47099">
        <w:trPr>
          <w:trHeight w:hRule="exact" w:val="227"/>
        </w:trPr>
        <w:tc>
          <w:tcPr>
            <w:tcW w:w="5000" w:type="pct"/>
            <w:gridSpan w:val="3"/>
            <w:tcBorders>
              <w:top w:val="nil"/>
              <w:left w:val="nil"/>
              <w:bottom w:val="nil"/>
              <w:right w:val="nil"/>
            </w:tcBorders>
            <w:shd w:val="clear" w:color="000000" w:fill="FFFFFF"/>
            <w:noWrap/>
            <w:vAlign w:val="bottom"/>
            <w:hideMark/>
          </w:tcPr>
          <w:p w14:paraId="7D6D27DC" w14:textId="77777777" w:rsidR="00F47099" w:rsidRPr="00F47099" w:rsidRDefault="00F47099">
            <w:pPr>
              <w:jc w:val="center"/>
              <w:rPr>
                <w:rFonts w:asciiTheme="majorHAnsi" w:hAnsiTheme="majorHAnsi" w:cstheme="majorHAnsi"/>
                <w:b/>
                <w:bCs/>
                <w:sz w:val="16"/>
                <w:szCs w:val="16"/>
              </w:rPr>
            </w:pPr>
            <w:r w:rsidRPr="00F47099">
              <w:rPr>
                <w:rFonts w:asciiTheme="majorHAnsi" w:hAnsiTheme="majorHAnsi" w:cstheme="majorHAnsi"/>
                <w:b/>
                <w:bCs/>
                <w:sz w:val="16"/>
                <w:szCs w:val="16"/>
              </w:rPr>
              <w:t xml:space="preserve"> FLUXOS DE CAIXA DAS ATIVIDADES DE INVESTIMENTOS </w:t>
            </w:r>
          </w:p>
        </w:tc>
      </w:tr>
      <w:tr w:rsidR="00F47099" w:rsidRPr="00F47099" w14:paraId="46880CAB" w14:textId="77777777" w:rsidTr="00F47099">
        <w:trPr>
          <w:trHeight w:hRule="exact" w:val="227"/>
        </w:trPr>
        <w:tc>
          <w:tcPr>
            <w:tcW w:w="3215" w:type="pct"/>
            <w:tcBorders>
              <w:top w:val="nil"/>
              <w:left w:val="nil"/>
              <w:bottom w:val="nil"/>
              <w:right w:val="nil"/>
            </w:tcBorders>
            <w:shd w:val="clear" w:color="000000" w:fill="FFFFFF"/>
            <w:noWrap/>
            <w:vAlign w:val="bottom"/>
            <w:hideMark/>
          </w:tcPr>
          <w:p w14:paraId="7832C770" w14:textId="77777777" w:rsidR="00F47099" w:rsidRPr="00F47099" w:rsidRDefault="00F47099">
            <w:pPr>
              <w:jc w:val="center"/>
              <w:rPr>
                <w:rFonts w:asciiTheme="majorHAnsi" w:hAnsiTheme="majorHAnsi" w:cstheme="majorHAnsi"/>
                <w:b/>
                <w:bCs/>
                <w:sz w:val="16"/>
                <w:szCs w:val="16"/>
              </w:rPr>
            </w:pPr>
            <w:r w:rsidRPr="00F47099">
              <w:rPr>
                <w:rFonts w:asciiTheme="majorHAnsi" w:hAnsiTheme="majorHAnsi" w:cstheme="majorHAnsi"/>
                <w:b/>
                <w:bCs/>
                <w:sz w:val="16"/>
                <w:szCs w:val="16"/>
              </w:rPr>
              <w:t> </w:t>
            </w:r>
          </w:p>
        </w:tc>
        <w:tc>
          <w:tcPr>
            <w:tcW w:w="811" w:type="pct"/>
            <w:tcBorders>
              <w:top w:val="nil"/>
              <w:left w:val="nil"/>
              <w:bottom w:val="nil"/>
              <w:right w:val="nil"/>
            </w:tcBorders>
            <w:shd w:val="clear" w:color="000000" w:fill="FFFFFF"/>
            <w:noWrap/>
            <w:vAlign w:val="bottom"/>
            <w:hideMark/>
          </w:tcPr>
          <w:p w14:paraId="4F19FDEF" w14:textId="77777777" w:rsidR="00F47099" w:rsidRPr="00F47099" w:rsidRDefault="00F47099">
            <w:pPr>
              <w:rPr>
                <w:rFonts w:asciiTheme="majorHAnsi" w:hAnsiTheme="majorHAnsi" w:cstheme="majorHAnsi"/>
                <w:sz w:val="16"/>
                <w:szCs w:val="16"/>
              </w:rPr>
            </w:pPr>
            <w:r w:rsidRPr="00F47099">
              <w:rPr>
                <w:rFonts w:asciiTheme="majorHAnsi" w:hAnsiTheme="majorHAnsi" w:cstheme="majorHAnsi"/>
                <w:sz w:val="16"/>
                <w:szCs w:val="16"/>
              </w:rPr>
              <w:t> </w:t>
            </w:r>
          </w:p>
        </w:tc>
        <w:tc>
          <w:tcPr>
            <w:tcW w:w="974" w:type="pct"/>
            <w:tcBorders>
              <w:top w:val="nil"/>
              <w:left w:val="nil"/>
              <w:bottom w:val="nil"/>
              <w:right w:val="nil"/>
            </w:tcBorders>
            <w:shd w:val="clear" w:color="000000" w:fill="FFFFFF"/>
            <w:noWrap/>
            <w:vAlign w:val="bottom"/>
            <w:hideMark/>
          </w:tcPr>
          <w:p w14:paraId="332FA98B" w14:textId="77777777" w:rsidR="00F47099" w:rsidRPr="00F47099" w:rsidRDefault="00F47099">
            <w:pPr>
              <w:jc w:val="center"/>
              <w:rPr>
                <w:rFonts w:asciiTheme="majorHAnsi" w:hAnsiTheme="majorHAnsi" w:cstheme="majorHAnsi"/>
                <w:b/>
                <w:bCs/>
                <w:sz w:val="16"/>
                <w:szCs w:val="16"/>
              </w:rPr>
            </w:pPr>
            <w:r w:rsidRPr="00F47099">
              <w:rPr>
                <w:rFonts w:asciiTheme="majorHAnsi" w:hAnsiTheme="majorHAnsi" w:cstheme="majorHAnsi"/>
                <w:b/>
                <w:bCs/>
                <w:sz w:val="16"/>
                <w:szCs w:val="16"/>
              </w:rPr>
              <w:t> </w:t>
            </w:r>
          </w:p>
        </w:tc>
      </w:tr>
      <w:tr w:rsidR="00F47099" w:rsidRPr="00F47099" w14:paraId="4D08D225" w14:textId="77777777" w:rsidTr="00F47099">
        <w:trPr>
          <w:trHeight w:hRule="exact" w:val="227"/>
        </w:trPr>
        <w:tc>
          <w:tcPr>
            <w:tcW w:w="3215" w:type="pct"/>
            <w:tcBorders>
              <w:top w:val="nil"/>
              <w:left w:val="nil"/>
              <w:bottom w:val="nil"/>
              <w:right w:val="nil"/>
            </w:tcBorders>
            <w:shd w:val="clear" w:color="000000" w:fill="FFFFFF"/>
            <w:noWrap/>
            <w:vAlign w:val="bottom"/>
            <w:hideMark/>
          </w:tcPr>
          <w:p w14:paraId="6C5AC76C" w14:textId="77777777" w:rsidR="00F47099" w:rsidRPr="00F47099" w:rsidRDefault="00F47099">
            <w:pPr>
              <w:outlineLvl w:val="0"/>
              <w:rPr>
                <w:rFonts w:asciiTheme="majorHAnsi" w:hAnsiTheme="majorHAnsi" w:cstheme="majorHAnsi"/>
                <w:sz w:val="16"/>
                <w:szCs w:val="16"/>
              </w:rPr>
            </w:pPr>
            <w:r w:rsidRPr="00F47099">
              <w:rPr>
                <w:rFonts w:asciiTheme="majorHAnsi" w:hAnsiTheme="majorHAnsi" w:cstheme="majorHAnsi"/>
                <w:sz w:val="16"/>
                <w:szCs w:val="16"/>
              </w:rPr>
              <w:t xml:space="preserve"> Aquisição de Imobilizado/Intangível </w:t>
            </w:r>
          </w:p>
        </w:tc>
        <w:tc>
          <w:tcPr>
            <w:tcW w:w="811" w:type="pct"/>
            <w:tcBorders>
              <w:top w:val="nil"/>
              <w:left w:val="nil"/>
              <w:bottom w:val="nil"/>
              <w:right w:val="nil"/>
            </w:tcBorders>
            <w:shd w:val="clear" w:color="000000" w:fill="FFFFFF"/>
            <w:noWrap/>
            <w:vAlign w:val="bottom"/>
            <w:hideMark/>
          </w:tcPr>
          <w:p w14:paraId="71A16920" w14:textId="77777777" w:rsidR="00F47099" w:rsidRPr="00F47099" w:rsidRDefault="00F47099" w:rsidP="00F47099">
            <w:pPr>
              <w:jc w:val="right"/>
              <w:outlineLvl w:val="0"/>
              <w:rPr>
                <w:rFonts w:asciiTheme="majorHAnsi" w:hAnsiTheme="majorHAnsi" w:cstheme="majorHAnsi"/>
                <w:sz w:val="16"/>
                <w:szCs w:val="16"/>
              </w:rPr>
            </w:pPr>
            <w:r w:rsidRPr="00F47099">
              <w:rPr>
                <w:rFonts w:asciiTheme="majorHAnsi" w:hAnsiTheme="majorHAnsi" w:cstheme="majorHAnsi"/>
                <w:sz w:val="16"/>
                <w:szCs w:val="16"/>
              </w:rPr>
              <w:t xml:space="preserve">        (309.968.911)</w:t>
            </w:r>
          </w:p>
        </w:tc>
        <w:tc>
          <w:tcPr>
            <w:tcW w:w="974" w:type="pct"/>
            <w:tcBorders>
              <w:top w:val="nil"/>
              <w:left w:val="nil"/>
              <w:bottom w:val="nil"/>
              <w:right w:val="nil"/>
            </w:tcBorders>
            <w:shd w:val="clear" w:color="000000" w:fill="FFFFFF"/>
            <w:noWrap/>
            <w:vAlign w:val="bottom"/>
            <w:hideMark/>
          </w:tcPr>
          <w:p w14:paraId="584AEA3C" w14:textId="77777777" w:rsidR="00F47099" w:rsidRPr="00F47099" w:rsidRDefault="00F47099" w:rsidP="00F47099">
            <w:pPr>
              <w:jc w:val="right"/>
              <w:outlineLvl w:val="0"/>
              <w:rPr>
                <w:rFonts w:asciiTheme="majorHAnsi" w:hAnsiTheme="majorHAnsi" w:cstheme="majorHAnsi"/>
                <w:sz w:val="16"/>
                <w:szCs w:val="16"/>
              </w:rPr>
            </w:pPr>
            <w:r w:rsidRPr="00F47099">
              <w:rPr>
                <w:rFonts w:asciiTheme="majorHAnsi" w:hAnsiTheme="majorHAnsi" w:cstheme="majorHAnsi"/>
                <w:sz w:val="16"/>
                <w:szCs w:val="16"/>
              </w:rPr>
              <w:t xml:space="preserve">               (150.885.356)</w:t>
            </w:r>
          </w:p>
        </w:tc>
      </w:tr>
      <w:tr w:rsidR="00F47099" w:rsidRPr="00F47099" w14:paraId="4B2A70DF" w14:textId="77777777" w:rsidTr="00F47099">
        <w:trPr>
          <w:trHeight w:hRule="exact" w:val="227"/>
        </w:trPr>
        <w:tc>
          <w:tcPr>
            <w:tcW w:w="3215" w:type="pct"/>
            <w:tcBorders>
              <w:top w:val="nil"/>
              <w:left w:val="nil"/>
              <w:bottom w:val="nil"/>
              <w:right w:val="nil"/>
            </w:tcBorders>
            <w:shd w:val="clear" w:color="000000" w:fill="FFFFFF"/>
            <w:noWrap/>
            <w:vAlign w:val="bottom"/>
            <w:hideMark/>
          </w:tcPr>
          <w:p w14:paraId="6672A0D1" w14:textId="77777777" w:rsidR="00F47099" w:rsidRPr="00F47099" w:rsidRDefault="00F47099">
            <w:pPr>
              <w:rPr>
                <w:rFonts w:asciiTheme="majorHAnsi" w:hAnsiTheme="majorHAnsi" w:cstheme="majorHAnsi"/>
                <w:sz w:val="16"/>
                <w:szCs w:val="16"/>
              </w:rPr>
            </w:pPr>
            <w:r w:rsidRPr="00F47099">
              <w:rPr>
                <w:rFonts w:asciiTheme="majorHAnsi" w:hAnsiTheme="majorHAnsi" w:cstheme="majorHAnsi"/>
                <w:sz w:val="16"/>
                <w:szCs w:val="16"/>
              </w:rPr>
              <w:t xml:space="preserve"> Aumento (Redução) de passivo do Imobilizado/Intangível </w:t>
            </w:r>
          </w:p>
        </w:tc>
        <w:tc>
          <w:tcPr>
            <w:tcW w:w="811" w:type="pct"/>
            <w:tcBorders>
              <w:top w:val="nil"/>
              <w:left w:val="nil"/>
              <w:bottom w:val="nil"/>
              <w:right w:val="nil"/>
            </w:tcBorders>
            <w:shd w:val="clear" w:color="000000" w:fill="FFFFFF"/>
            <w:noWrap/>
            <w:vAlign w:val="bottom"/>
            <w:hideMark/>
          </w:tcPr>
          <w:p w14:paraId="569067C9" w14:textId="77777777" w:rsidR="00F47099" w:rsidRPr="00F47099" w:rsidRDefault="00F47099" w:rsidP="00F47099">
            <w:pPr>
              <w:jc w:val="right"/>
              <w:rPr>
                <w:rFonts w:asciiTheme="majorHAnsi" w:hAnsiTheme="majorHAnsi" w:cstheme="majorHAnsi"/>
                <w:sz w:val="16"/>
                <w:szCs w:val="16"/>
              </w:rPr>
            </w:pPr>
            <w:r w:rsidRPr="00F47099">
              <w:rPr>
                <w:rFonts w:asciiTheme="majorHAnsi" w:hAnsiTheme="majorHAnsi" w:cstheme="majorHAnsi"/>
                <w:sz w:val="16"/>
                <w:szCs w:val="16"/>
              </w:rPr>
              <w:t xml:space="preserve">                    79.111 </w:t>
            </w:r>
          </w:p>
        </w:tc>
        <w:tc>
          <w:tcPr>
            <w:tcW w:w="974" w:type="pct"/>
            <w:tcBorders>
              <w:top w:val="nil"/>
              <w:left w:val="nil"/>
              <w:bottom w:val="nil"/>
              <w:right w:val="nil"/>
            </w:tcBorders>
            <w:shd w:val="clear" w:color="000000" w:fill="FFFFFF"/>
            <w:noWrap/>
            <w:vAlign w:val="bottom"/>
            <w:hideMark/>
          </w:tcPr>
          <w:p w14:paraId="7CEA7F81" w14:textId="77777777" w:rsidR="00F47099" w:rsidRPr="00F47099" w:rsidRDefault="00F47099" w:rsidP="00F47099">
            <w:pPr>
              <w:jc w:val="right"/>
              <w:rPr>
                <w:rFonts w:asciiTheme="majorHAnsi" w:hAnsiTheme="majorHAnsi" w:cstheme="majorHAnsi"/>
                <w:sz w:val="16"/>
                <w:szCs w:val="16"/>
              </w:rPr>
            </w:pPr>
            <w:r w:rsidRPr="00F47099">
              <w:rPr>
                <w:rFonts w:asciiTheme="majorHAnsi" w:hAnsiTheme="majorHAnsi" w:cstheme="majorHAnsi"/>
                <w:sz w:val="16"/>
                <w:szCs w:val="16"/>
              </w:rPr>
              <w:t xml:space="preserve">                     5.964.272 </w:t>
            </w:r>
          </w:p>
        </w:tc>
      </w:tr>
      <w:tr w:rsidR="00F47099" w:rsidRPr="00F47099" w14:paraId="3DEAB85B" w14:textId="77777777" w:rsidTr="00F47099">
        <w:trPr>
          <w:trHeight w:hRule="exact" w:val="227"/>
        </w:trPr>
        <w:tc>
          <w:tcPr>
            <w:tcW w:w="3215" w:type="pct"/>
            <w:tcBorders>
              <w:top w:val="nil"/>
              <w:left w:val="nil"/>
              <w:bottom w:val="nil"/>
              <w:right w:val="nil"/>
            </w:tcBorders>
            <w:shd w:val="clear" w:color="000000" w:fill="FFFFFF"/>
            <w:noWrap/>
            <w:vAlign w:val="bottom"/>
            <w:hideMark/>
          </w:tcPr>
          <w:p w14:paraId="36390257" w14:textId="77777777" w:rsidR="00F47099" w:rsidRPr="00F47099" w:rsidRDefault="00F47099">
            <w:pPr>
              <w:rPr>
                <w:rFonts w:asciiTheme="majorHAnsi" w:hAnsiTheme="majorHAnsi" w:cstheme="majorHAnsi"/>
                <w:b/>
                <w:bCs/>
                <w:sz w:val="16"/>
                <w:szCs w:val="16"/>
              </w:rPr>
            </w:pPr>
            <w:r w:rsidRPr="00F47099">
              <w:rPr>
                <w:rFonts w:asciiTheme="majorHAnsi" w:hAnsiTheme="majorHAnsi" w:cstheme="majorHAnsi"/>
                <w:b/>
                <w:bCs/>
                <w:sz w:val="16"/>
                <w:szCs w:val="16"/>
              </w:rPr>
              <w:t xml:space="preserve"> = Disponib.liquidas geradas (aplicadas) nas atividades de investimentos </w:t>
            </w:r>
          </w:p>
        </w:tc>
        <w:tc>
          <w:tcPr>
            <w:tcW w:w="811" w:type="pct"/>
            <w:tcBorders>
              <w:top w:val="nil"/>
              <w:left w:val="nil"/>
              <w:bottom w:val="nil"/>
              <w:right w:val="nil"/>
            </w:tcBorders>
            <w:shd w:val="clear" w:color="000000" w:fill="FFFFFF"/>
            <w:noWrap/>
            <w:vAlign w:val="bottom"/>
            <w:hideMark/>
          </w:tcPr>
          <w:p w14:paraId="441B8997" w14:textId="77777777" w:rsidR="00F47099" w:rsidRPr="00F47099" w:rsidRDefault="00F47099" w:rsidP="00F47099">
            <w:pPr>
              <w:jc w:val="right"/>
              <w:rPr>
                <w:rFonts w:asciiTheme="majorHAnsi" w:hAnsiTheme="majorHAnsi" w:cstheme="majorHAnsi"/>
                <w:b/>
                <w:bCs/>
                <w:sz w:val="16"/>
                <w:szCs w:val="16"/>
              </w:rPr>
            </w:pPr>
            <w:r w:rsidRPr="00F47099">
              <w:rPr>
                <w:rFonts w:asciiTheme="majorHAnsi" w:hAnsiTheme="majorHAnsi" w:cstheme="majorHAnsi"/>
                <w:b/>
                <w:bCs/>
                <w:sz w:val="16"/>
                <w:szCs w:val="16"/>
              </w:rPr>
              <w:t xml:space="preserve">        (309.889.800)</w:t>
            </w:r>
          </w:p>
        </w:tc>
        <w:tc>
          <w:tcPr>
            <w:tcW w:w="974" w:type="pct"/>
            <w:tcBorders>
              <w:top w:val="nil"/>
              <w:left w:val="nil"/>
              <w:bottom w:val="nil"/>
              <w:right w:val="nil"/>
            </w:tcBorders>
            <w:shd w:val="clear" w:color="000000" w:fill="FFFFFF"/>
            <w:noWrap/>
            <w:vAlign w:val="bottom"/>
            <w:hideMark/>
          </w:tcPr>
          <w:p w14:paraId="6F7A325B" w14:textId="77777777" w:rsidR="00F47099" w:rsidRPr="00F47099" w:rsidRDefault="00F47099" w:rsidP="00F47099">
            <w:pPr>
              <w:jc w:val="right"/>
              <w:rPr>
                <w:rFonts w:asciiTheme="majorHAnsi" w:hAnsiTheme="majorHAnsi" w:cstheme="majorHAnsi"/>
                <w:b/>
                <w:bCs/>
                <w:sz w:val="16"/>
                <w:szCs w:val="16"/>
              </w:rPr>
            </w:pPr>
            <w:r w:rsidRPr="00F47099">
              <w:rPr>
                <w:rFonts w:asciiTheme="majorHAnsi" w:hAnsiTheme="majorHAnsi" w:cstheme="majorHAnsi"/>
                <w:b/>
                <w:bCs/>
                <w:sz w:val="16"/>
                <w:szCs w:val="16"/>
              </w:rPr>
              <w:t xml:space="preserve">               (144.921.084)</w:t>
            </w:r>
          </w:p>
        </w:tc>
      </w:tr>
      <w:tr w:rsidR="00F47099" w:rsidRPr="00F47099" w14:paraId="7E36DF2F" w14:textId="77777777" w:rsidTr="00F47099">
        <w:trPr>
          <w:trHeight w:hRule="exact" w:val="227"/>
        </w:trPr>
        <w:tc>
          <w:tcPr>
            <w:tcW w:w="3215" w:type="pct"/>
            <w:tcBorders>
              <w:top w:val="nil"/>
              <w:left w:val="nil"/>
              <w:bottom w:val="nil"/>
              <w:right w:val="nil"/>
            </w:tcBorders>
            <w:shd w:val="clear" w:color="000000" w:fill="FFFFFF"/>
            <w:noWrap/>
            <w:vAlign w:val="bottom"/>
            <w:hideMark/>
          </w:tcPr>
          <w:p w14:paraId="70AF5917" w14:textId="77777777" w:rsidR="00F47099" w:rsidRPr="00F47099" w:rsidRDefault="00F47099">
            <w:pPr>
              <w:rPr>
                <w:rFonts w:asciiTheme="majorHAnsi" w:hAnsiTheme="majorHAnsi" w:cstheme="majorHAnsi"/>
                <w:sz w:val="16"/>
                <w:szCs w:val="16"/>
              </w:rPr>
            </w:pPr>
            <w:r w:rsidRPr="00F47099">
              <w:rPr>
                <w:rFonts w:asciiTheme="majorHAnsi" w:hAnsiTheme="majorHAnsi" w:cstheme="majorHAnsi"/>
                <w:sz w:val="16"/>
                <w:szCs w:val="16"/>
              </w:rPr>
              <w:t> </w:t>
            </w:r>
          </w:p>
        </w:tc>
        <w:tc>
          <w:tcPr>
            <w:tcW w:w="811" w:type="pct"/>
            <w:tcBorders>
              <w:top w:val="nil"/>
              <w:left w:val="nil"/>
              <w:bottom w:val="nil"/>
              <w:right w:val="nil"/>
            </w:tcBorders>
            <w:shd w:val="clear" w:color="000000" w:fill="FFFFFF"/>
            <w:noWrap/>
            <w:vAlign w:val="bottom"/>
            <w:hideMark/>
          </w:tcPr>
          <w:p w14:paraId="11F9C5FD" w14:textId="77777777" w:rsidR="00F47099" w:rsidRPr="00F47099" w:rsidRDefault="00F47099">
            <w:pPr>
              <w:rPr>
                <w:rFonts w:asciiTheme="majorHAnsi" w:hAnsiTheme="majorHAnsi" w:cstheme="majorHAnsi"/>
                <w:sz w:val="16"/>
                <w:szCs w:val="16"/>
              </w:rPr>
            </w:pPr>
            <w:r w:rsidRPr="00F47099">
              <w:rPr>
                <w:rFonts w:asciiTheme="majorHAnsi" w:hAnsiTheme="majorHAnsi" w:cstheme="majorHAnsi"/>
                <w:sz w:val="16"/>
                <w:szCs w:val="16"/>
              </w:rPr>
              <w:t> </w:t>
            </w:r>
          </w:p>
        </w:tc>
        <w:tc>
          <w:tcPr>
            <w:tcW w:w="974" w:type="pct"/>
            <w:tcBorders>
              <w:top w:val="nil"/>
              <w:left w:val="nil"/>
              <w:bottom w:val="nil"/>
              <w:right w:val="nil"/>
            </w:tcBorders>
            <w:shd w:val="clear" w:color="000000" w:fill="FFFFFF"/>
            <w:noWrap/>
            <w:vAlign w:val="bottom"/>
            <w:hideMark/>
          </w:tcPr>
          <w:p w14:paraId="362D2D7D" w14:textId="77777777" w:rsidR="00F47099" w:rsidRPr="00F47099" w:rsidRDefault="00F47099">
            <w:pPr>
              <w:rPr>
                <w:rFonts w:asciiTheme="majorHAnsi" w:hAnsiTheme="majorHAnsi" w:cstheme="majorHAnsi"/>
                <w:sz w:val="16"/>
                <w:szCs w:val="16"/>
              </w:rPr>
            </w:pPr>
            <w:r w:rsidRPr="00F47099">
              <w:rPr>
                <w:rFonts w:asciiTheme="majorHAnsi" w:hAnsiTheme="majorHAnsi" w:cstheme="majorHAnsi"/>
                <w:sz w:val="16"/>
                <w:szCs w:val="16"/>
              </w:rPr>
              <w:t> </w:t>
            </w:r>
          </w:p>
        </w:tc>
      </w:tr>
      <w:tr w:rsidR="00F47099" w:rsidRPr="00F47099" w14:paraId="6705E1AB" w14:textId="77777777" w:rsidTr="00F47099">
        <w:trPr>
          <w:trHeight w:hRule="exact" w:val="227"/>
        </w:trPr>
        <w:tc>
          <w:tcPr>
            <w:tcW w:w="3215" w:type="pct"/>
            <w:tcBorders>
              <w:top w:val="nil"/>
              <w:left w:val="nil"/>
              <w:bottom w:val="nil"/>
              <w:right w:val="nil"/>
            </w:tcBorders>
            <w:shd w:val="clear" w:color="000000" w:fill="FFFFFF"/>
            <w:noWrap/>
            <w:vAlign w:val="bottom"/>
            <w:hideMark/>
          </w:tcPr>
          <w:p w14:paraId="1A1D18EB" w14:textId="77777777" w:rsidR="00F47099" w:rsidRPr="00F47099" w:rsidRDefault="00F47099">
            <w:pPr>
              <w:rPr>
                <w:rFonts w:asciiTheme="majorHAnsi" w:hAnsiTheme="majorHAnsi" w:cstheme="majorHAnsi"/>
                <w:sz w:val="16"/>
                <w:szCs w:val="16"/>
              </w:rPr>
            </w:pPr>
            <w:r w:rsidRPr="00F47099">
              <w:rPr>
                <w:rFonts w:asciiTheme="majorHAnsi" w:hAnsiTheme="majorHAnsi" w:cstheme="majorHAnsi"/>
                <w:sz w:val="16"/>
                <w:szCs w:val="16"/>
              </w:rPr>
              <w:t> </w:t>
            </w:r>
          </w:p>
        </w:tc>
        <w:tc>
          <w:tcPr>
            <w:tcW w:w="811" w:type="pct"/>
            <w:tcBorders>
              <w:top w:val="nil"/>
              <w:left w:val="nil"/>
              <w:bottom w:val="nil"/>
              <w:right w:val="nil"/>
            </w:tcBorders>
            <w:shd w:val="clear" w:color="000000" w:fill="FFFFFF"/>
            <w:noWrap/>
            <w:vAlign w:val="bottom"/>
            <w:hideMark/>
          </w:tcPr>
          <w:p w14:paraId="6951B92C" w14:textId="77777777" w:rsidR="00F47099" w:rsidRPr="00F47099" w:rsidRDefault="00F47099">
            <w:pPr>
              <w:rPr>
                <w:rFonts w:asciiTheme="majorHAnsi" w:hAnsiTheme="majorHAnsi" w:cstheme="majorHAnsi"/>
                <w:sz w:val="16"/>
                <w:szCs w:val="16"/>
              </w:rPr>
            </w:pPr>
            <w:r w:rsidRPr="00F47099">
              <w:rPr>
                <w:rFonts w:asciiTheme="majorHAnsi" w:hAnsiTheme="majorHAnsi" w:cstheme="majorHAnsi"/>
                <w:sz w:val="16"/>
                <w:szCs w:val="16"/>
              </w:rPr>
              <w:t> </w:t>
            </w:r>
          </w:p>
        </w:tc>
        <w:tc>
          <w:tcPr>
            <w:tcW w:w="974" w:type="pct"/>
            <w:tcBorders>
              <w:top w:val="nil"/>
              <w:left w:val="nil"/>
              <w:bottom w:val="nil"/>
              <w:right w:val="nil"/>
            </w:tcBorders>
            <w:shd w:val="clear" w:color="000000" w:fill="FFFFFF"/>
            <w:noWrap/>
            <w:vAlign w:val="bottom"/>
            <w:hideMark/>
          </w:tcPr>
          <w:p w14:paraId="7F39C9F6" w14:textId="77777777" w:rsidR="00F47099" w:rsidRPr="00F47099" w:rsidRDefault="00F47099">
            <w:pPr>
              <w:jc w:val="center"/>
              <w:rPr>
                <w:rFonts w:asciiTheme="majorHAnsi" w:hAnsiTheme="majorHAnsi" w:cstheme="majorHAnsi"/>
                <w:sz w:val="16"/>
                <w:szCs w:val="16"/>
              </w:rPr>
            </w:pPr>
            <w:r w:rsidRPr="00F47099">
              <w:rPr>
                <w:rFonts w:asciiTheme="majorHAnsi" w:hAnsiTheme="majorHAnsi" w:cstheme="majorHAnsi"/>
                <w:sz w:val="16"/>
                <w:szCs w:val="16"/>
              </w:rPr>
              <w:t> </w:t>
            </w:r>
          </w:p>
        </w:tc>
      </w:tr>
      <w:tr w:rsidR="00F47099" w:rsidRPr="00F47099" w14:paraId="4B5D24B0" w14:textId="77777777" w:rsidTr="00F47099">
        <w:trPr>
          <w:trHeight w:hRule="exact" w:val="227"/>
        </w:trPr>
        <w:tc>
          <w:tcPr>
            <w:tcW w:w="5000" w:type="pct"/>
            <w:gridSpan w:val="3"/>
            <w:tcBorders>
              <w:top w:val="nil"/>
              <w:left w:val="nil"/>
              <w:bottom w:val="nil"/>
              <w:right w:val="nil"/>
            </w:tcBorders>
            <w:shd w:val="clear" w:color="000000" w:fill="FFFFFF"/>
            <w:noWrap/>
            <w:vAlign w:val="bottom"/>
            <w:hideMark/>
          </w:tcPr>
          <w:p w14:paraId="67AF4E56" w14:textId="77777777" w:rsidR="00F47099" w:rsidRPr="00F47099" w:rsidRDefault="00F47099">
            <w:pPr>
              <w:jc w:val="center"/>
              <w:rPr>
                <w:rFonts w:asciiTheme="majorHAnsi" w:hAnsiTheme="majorHAnsi" w:cstheme="majorHAnsi"/>
                <w:b/>
                <w:bCs/>
                <w:sz w:val="16"/>
                <w:szCs w:val="16"/>
              </w:rPr>
            </w:pPr>
            <w:r w:rsidRPr="00F47099">
              <w:rPr>
                <w:rFonts w:asciiTheme="majorHAnsi" w:hAnsiTheme="majorHAnsi" w:cstheme="majorHAnsi"/>
                <w:b/>
                <w:bCs/>
                <w:sz w:val="16"/>
                <w:szCs w:val="16"/>
              </w:rPr>
              <w:t xml:space="preserve"> FLUXOS DE CAIXA DAS ATIVIDADES DE FINANCIAMENTO </w:t>
            </w:r>
          </w:p>
        </w:tc>
      </w:tr>
      <w:tr w:rsidR="00F47099" w:rsidRPr="00F47099" w14:paraId="14C4098F" w14:textId="77777777" w:rsidTr="00F47099">
        <w:trPr>
          <w:trHeight w:hRule="exact" w:val="227"/>
        </w:trPr>
        <w:tc>
          <w:tcPr>
            <w:tcW w:w="3215" w:type="pct"/>
            <w:tcBorders>
              <w:top w:val="nil"/>
              <w:left w:val="nil"/>
              <w:bottom w:val="nil"/>
              <w:right w:val="nil"/>
            </w:tcBorders>
            <w:shd w:val="clear" w:color="000000" w:fill="FFFFFF"/>
            <w:noWrap/>
            <w:vAlign w:val="bottom"/>
            <w:hideMark/>
          </w:tcPr>
          <w:p w14:paraId="4F555FE9" w14:textId="77777777" w:rsidR="00F47099" w:rsidRPr="00F47099" w:rsidRDefault="00F47099">
            <w:pPr>
              <w:jc w:val="center"/>
              <w:rPr>
                <w:rFonts w:asciiTheme="majorHAnsi" w:hAnsiTheme="majorHAnsi" w:cstheme="majorHAnsi"/>
                <w:b/>
                <w:bCs/>
                <w:sz w:val="16"/>
                <w:szCs w:val="16"/>
              </w:rPr>
            </w:pPr>
            <w:r w:rsidRPr="00F47099">
              <w:rPr>
                <w:rFonts w:asciiTheme="majorHAnsi" w:hAnsiTheme="majorHAnsi" w:cstheme="majorHAnsi"/>
                <w:b/>
                <w:bCs/>
                <w:sz w:val="16"/>
                <w:szCs w:val="16"/>
              </w:rPr>
              <w:t> </w:t>
            </w:r>
          </w:p>
        </w:tc>
        <w:tc>
          <w:tcPr>
            <w:tcW w:w="811" w:type="pct"/>
            <w:tcBorders>
              <w:top w:val="nil"/>
              <w:left w:val="nil"/>
              <w:bottom w:val="nil"/>
              <w:right w:val="nil"/>
            </w:tcBorders>
            <w:shd w:val="clear" w:color="000000" w:fill="FFFFFF"/>
            <w:noWrap/>
            <w:vAlign w:val="bottom"/>
            <w:hideMark/>
          </w:tcPr>
          <w:p w14:paraId="194D3DAC" w14:textId="77777777" w:rsidR="00F47099" w:rsidRPr="00F47099" w:rsidRDefault="00F47099">
            <w:pPr>
              <w:jc w:val="center"/>
              <w:rPr>
                <w:rFonts w:asciiTheme="majorHAnsi" w:hAnsiTheme="majorHAnsi" w:cstheme="majorHAnsi"/>
                <w:b/>
                <w:bCs/>
                <w:sz w:val="16"/>
                <w:szCs w:val="16"/>
              </w:rPr>
            </w:pPr>
            <w:r w:rsidRPr="00F47099">
              <w:rPr>
                <w:rFonts w:asciiTheme="majorHAnsi" w:hAnsiTheme="majorHAnsi" w:cstheme="majorHAnsi"/>
                <w:b/>
                <w:bCs/>
                <w:sz w:val="16"/>
                <w:szCs w:val="16"/>
              </w:rPr>
              <w:t> </w:t>
            </w:r>
          </w:p>
        </w:tc>
        <w:tc>
          <w:tcPr>
            <w:tcW w:w="974" w:type="pct"/>
            <w:tcBorders>
              <w:top w:val="nil"/>
              <w:left w:val="nil"/>
              <w:bottom w:val="nil"/>
              <w:right w:val="nil"/>
            </w:tcBorders>
            <w:shd w:val="clear" w:color="000000" w:fill="FFFFFF"/>
            <w:noWrap/>
            <w:vAlign w:val="bottom"/>
            <w:hideMark/>
          </w:tcPr>
          <w:p w14:paraId="4343A2A9" w14:textId="77777777" w:rsidR="00F47099" w:rsidRPr="00F47099" w:rsidRDefault="00F47099">
            <w:pPr>
              <w:jc w:val="center"/>
              <w:rPr>
                <w:rFonts w:asciiTheme="majorHAnsi" w:hAnsiTheme="majorHAnsi" w:cstheme="majorHAnsi"/>
                <w:b/>
                <w:bCs/>
                <w:sz w:val="16"/>
                <w:szCs w:val="16"/>
              </w:rPr>
            </w:pPr>
            <w:r w:rsidRPr="00F47099">
              <w:rPr>
                <w:rFonts w:asciiTheme="majorHAnsi" w:hAnsiTheme="majorHAnsi" w:cstheme="majorHAnsi"/>
                <w:b/>
                <w:bCs/>
                <w:sz w:val="16"/>
                <w:szCs w:val="16"/>
              </w:rPr>
              <w:t> </w:t>
            </w:r>
          </w:p>
        </w:tc>
      </w:tr>
      <w:tr w:rsidR="00F47099" w:rsidRPr="00F47099" w14:paraId="66416F1E" w14:textId="77777777" w:rsidTr="00F47099">
        <w:trPr>
          <w:trHeight w:hRule="exact" w:val="227"/>
        </w:trPr>
        <w:tc>
          <w:tcPr>
            <w:tcW w:w="3215" w:type="pct"/>
            <w:tcBorders>
              <w:top w:val="nil"/>
              <w:left w:val="nil"/>
              <w:bottom w:val="nil"/>
              <w:right w:val="nil"/>
            </w:tcBorders>
            <w:shd w:val="clear" w:color="000000" w:fill="FFFFFF"/>
            <w:noWrap/>
            <w:vAlign w:val="bottom"/>
            <w:hideMark/>
          </w:tcPr>
          <w:p w14:paraId="3FAF7676" w14:textId="77777777" w:rsidR="00F47099" w:rsidRPr="00F47099" w:rsidRDefault="00F47099">
            <w:pPr>
              <w:rPr>
                <w:rFonts w:asciiTheme="majorHAnsi" w:hAnsiTheme="majorHAnsi" w:cstheme="majorHAnsi"/>
                <w:sz w:val="16"/>
                <w:szCs w:val="16"/>
              </w:rPr>
            </w:pPr>
            <w:r w:rsidRPr="00F47099">
              <w:rPr>
                <w:rFonts w:asciiTheme="majorHAnsi" w:hAnsiTheme="majorHAnsi" w:cstheme="majorHAnsi"/>
                <w:sz w:val="16"/>
                <w:szCs w:val="16"/>
              </w:rPr>
              <w:t xml:space="preserve"> Créditos Recebidos da União - AFAC </w:t>
            </w:r>
          </w:p>
        </w:tc>
        <w:tc>
          <w:tcPr>
            <w:tcW w:w="811" w:type="pct"/>
            <w:tcBorders>
              <w:top w:val="nil"/>
              <w:left w:val="nil"/>
              <w:bottom w:val="nil"/>
              <w:right w:val="nil"/>
            </w:tcBorders>
            <w:shd w:val="clear" w:color="000000" w:fill="FFFFFF"/>
            <w:noWrap/>
            <w:vAlign w:val="bottom"/>
            <w:hideMark/>
          </w:tcPr>
          <w:p w14:paraId="49605998" w14:textId="77777777" w:rsidR="00F47099" w:rsidRPr="00F47099" w:rsidRDefault="00F47099" w:rsidP="00F47099">
            <w:pPr>
              <w:jc w:val="right"/>
              <w:rPr>
                <w:rFonts w:asciiTheme="majorHAnsi" w:hAnsiTheme="majorHAnsi" w:cstheme="majorHAnsi"/>
                <w:sz w:val="16"/>
                <w:szCs w:val="16"/>
              </w:rPr>
            </w:pPr>
            <w:r w:rsidRPr="00F47099">
              <w:rPr>
                <w:rFonts w:asciiTheme="majorHAnsi" w:hAnsiTheme="majorHAnsi" w:cstheme="majorHAnsi"/>
                <w:sz w:val="16"/>
                <w:szCs w:val="16"/>
              </w:rPr>
              <w:t xml:space="preserve">          125.817.833 </w:t>
            </w:r>
          </w:p>
        </w:tc>
        <w:tc>
          <w:tcPr>
            <w:tcW w:w="974" w:type="pct"/>
            <w:tcBorders>
              <w:top w:val="nil"/>
              <w:left w:val="nil"/>
              <w:bottom w:val="nil"/>
              <w:right w:val="nil"/>
            </w:tcBorders>
            <w:shd w:val="clear" w:color="000000" w:fill="FFFFFF"/>
            <w:noWrap/>
            <w:vAlign w:val="bottom"/>
            <w:hideMark/>
          </w:tcPr>
          <w:p w14:paraId="1059F610" w14:textId="77777777" w:rsidR="00F47099" w:rsidRPr="00F47099" w:rsidRDefault="00F47099" w:rsidP="00F47099">
            <w:pPr>
              <w:jc w:val="right"/>
              <w:rPr>
                <w:rFonts w:asciiTheme="majorHAnsi" w:hAnsiTheme="majorHAnsi" w:cstheme="majorHAnsi"/>
                <w:sz w:val="16"/>
                <w:szCs w:val="16"/>
              </w:rPr>
            </w:pPr>
            <w:r w:rsidRPr="00F47099">
              <w:rPr>
                <w:rFonts w:asciiTheme="majorHAnsi" w:hAnsiTheme="majorHAnsi" w:cstheme="majorHAnsi"/>
                <w:sz w:val="16"/>
                <w:szCs w:val="16"/>
              </w:rPr>
              <w:t xml:space="preserve">                167.934.090 </w:t>
            </w:r>
          </w:p>
        </w:tc>
      </w:tr>
      <w:tr w:rsidR="00F47099" w:rsidRPr="00F47099" w14:paraId="1E89C4F8" w14:textId="77777777" w:rsidTr="00F47099">
        <w:trPr>
          <w:trHeight w:hRule="exact" w:val="227"/>
        </w:trPr>
        <w:tc>
          <w:tcPr>
            <w:tcW w:w="3215" w:type="pct"/>
            <w:tcBorders>
              <w:top w:val="nil"/>
              <w:left w:val="nil"/>
              <w:bottom w:val="nil"/>
              <w:right w:val="nil"/>
            </w:tcBorders>
            <w:shd w:val="clear" w:color="000000" w:fill="FFFFFF"/>
            <w:noWrap/>
            <w:vAlign w:val="bottom"/>
            <w:hideMark/>
          </w:tcPr>
          <w:p w14:paraId="7750D1A6" w14:textId="77777777" w:rsidR="00F47099" w:rsidRPr="00F47099" w:rsidRDefault="00F47099">
            <w:pPr>
              <w:rPr>
                <w:rFonts w:asciiTheme="majorHAnsi" w:hAnsiTheme="majorHAnsi" w:cstheme="majorHAnsi"/>
                <w:sz w:val="16"/>
                <w:szCs w:val="16"/>
              </w:rPr>
            </w:pPr>
            <w:r w:rsidRPr="00F47099">
              <w:rPr>
                <w:rFonts w:asciiTheme="majorHAnsi" w:hAnsiTheme="majorHAnsi" w:cstheme="majorHAnsi"/>
                <w:sz w:val="16"/>
                <w:szCs w:val="16"/>
              </w:rPr>
              <w:t xml:space="preserve">  Subvenção do Tesouro Nacional - repasse para custeio/pessoal </w:t>
            </w:r>
          </w:p>
        </w:tc>
        <w:tc>
          <w:tcPr>
            <w:tcW w:w="811" w:type="pct"/>
            <w:tcBorders>
              <w:top w:val="nil"/>
              <w:left w:val="nil"/>
              <w:bottom w:val="nil"/>
              <w:right w:val="nil"/>
            </w:tcBorders>
            <w:shd w:val="clear" w:color="000000" w:fill="FFFFFF"/>
            <w:noWrap/>
            <w:vAlign w:val="bottom"/>
            <w:hideMark/>
          </w:tcPr>
          <w:p w14:paraId="7287C1E4" w14:textId="77777777" w:rsidR="00F47099" w:rsidRPr="00F47099" w:rsidRDefault="00F47099" w:rsidP="00F47099">
            <w:pPr>
              <w:jc w:val="right"/>
              <w:rPr>
                <w:rFonts w:asciiTheme="majorHAnsi" w:hAnsiTheme="majorHAnsi" w:cstheme="majorHAnsi"/>
                <w:sz w:val="16"/>
                <w:szCs w:val="16"/>
              </w:rPr>
            </w:pPr>
            <w:r w:rsidRPr="00F47099">
              <w:rPr>
                <w:rFonts w:asciiTheme="majorHAnsi" w:hAnsiTheme="majorHAnsi" w:cstheme="majorHAnsi"/>
                <w:sz w:val="16"/>
                <w:szCs w:val="16"/>
              </w:rPr>
              <w:t xml:space="preserve">            74.995.207 </w:t>
            </w:r>
          </w:p>
        </w:tc>
        <w:tc>
          <w:tcPr>
            <w:tcW w:w="974" w:type="pct"/>
            <w:tcBorders>
              <w:top w:val="nil"/>
              <w:left w:val="nil"/>
              <w:bottom w:val="nil"/>
              <w:right w:val="nil"/>
            </w:tcBorders>
            <w:shd w:val="clear" w:color="000000" w:fill="FFFFFF"/>
            <w:noWrap/>
            <w:vAlign w:val="bottom"/>
            <w:hideMark/>
          </w:tcPr>
          <w:p w14:paraId="5D2639F1" w14:textId="77777777" w:rsidR="00F47099" w:rsidRPr="00F47099" w:rsidRDefault="00F47099" w:rsidP="00F47099">
            <w:pPr>
              <w:jc w:val="right"/>
              <w:rPr>
                <w:rFonts w:asciiTheme="majorHAnsi" w:hAnsiTheme="majorHAnsi" w:cstheme="majorHAnsi"/>
                <w:sz w:val="16"/>
                <w:szCs w:val="16"/>
              </w:rPr>
            </w:pPr>
            <w:r w:rsidRPr="00F47099">
              <w:rPr>
                <w:rFonts w:asciiTheme="majorHAnsi" w:hAnsiTheme="majorHAnsi" w:cstheme="majorHAnsi"/>
                <w:sz w:val="16"/>
                <w:szCs w:val="16"/>
              </w:rPr>
              <w:t xml:space="preserve">                   75.841.189 </w:t>
            </w:r>
          </w:p>
        </w:tc>
      </w:tr>
      <w:tr w:rsidR="00F47099" w:rsidRPr="00F47099" w14:paraId="0FAA395F" w14:textId="77777777" w:rsidTr="00F47099">
        <w:trPr>
          <w:trHeight w:hRule="exact" w:val="227"/>
        </w:trPr>
        <w:tc>
          <w:tcPr>
            <w:tcW w:w="3215" w:type="pct"/>
            <w:tcBorders>
              <w:top w:val="nil"/>
              <w:left w:val="nil"/>
              <w:bottom w:val="nil"/>
              <w:right w:val="nil"/>
            </w:tcBorders>
            <w:shd w:val="clear" w:color="000000" w:fill="FFFFFF"/>
            <w:noWrap/>
            <w:vAlign w:val="bottom"/>
            <w:hideMark/>
          </w:tcPr>
          <w:p w14:paraId="26561F95" w14:textId="77777777" w:rsidR="00F47099" w:rsidRPr="00F47099" w:rsidRDefault="00F47099">
            <w:pPr>
              <w:rPr>
                <w:rFonts w:asciiTheme="majorHAnsi" w:hAnsiTheme="majorHAnsi" w:cstheme="majorHAnsi"/>
                <w:b/>
                <w:bCs/>
                <w:sz w:val="16"/>
                <w:szCs w:val="16"/>
              </w:rPr>
            </w:pPr>
            <w:r w:rsidRPr="00F47099">
              <w:rPr>
                <w:rFonts w:asciiTheme="majorHAnsi" w:hAnsiTheme="majorHAnsi" w:cstheme="majorHAnsi"/>
                <w:b/>
                <w:bCs/>
                <w:sz w:val="16"/>
                <w:szCs w:val="16"/>
              </w:rPr>
              <w:lastRenderedPageBreak/>
              <w:t xml:space="preserve"> = Disponib. líquidas geradas (aplicadas) nas atividades de financiamentos </w:t>
            </w:r>
          </w:p>
        </w:tc>
        <w:tc>
          <w:tcPr>
            <w:tcW w:w="811" w:type="pct"/>
            <w:tcBorders>
              <w:top w:val="nil"/>
              <w:left w:val="nil"/>
              <w:bottom w:val="nil"/>
              <w:right w:val="nil"/>
            </w:tcBorders>
            <w:shd w:val="clear" w:color="000000" w:fill="FFFFFF"/>
            <w:noWrap/>
            <w:vAlign w:val="bottom"/>
            <w:hideMark/>
          </w:tcPr>
          <w:p w14:paraId="51066787" w14:textId="77777777" w:rsidR="00F47099" w:rsidRPr="00F47099" w:rsidRDefault="00F47099" w:rsidP="00F47099">
            <w:pPr>
              <w:jc w:val="right"/>
              <w:rPr>
                <w:rFonts w:asciiTheme="majorHAnsi" w:hAnsiTheme="majorHAnsi" w:cstheme="majorHAnsi"/>
                <w:b/>
                <w:bCs/>
                <w:sz w:val="16"/>
                <w:szCs w:val="16"/>
              </w:rPr>
            </w:pPr>
            <w:r w:rsidRPr="00F47099">
              <w:rPr>
                <w:rFonts w:asciiTheme="majorHAnsi" w:hAnsiTheme="majorHAnsi" w:cstheme="majorHAnsi"/>
                <w:b/>
                <w:bCs/>
                <w:sz w:val="16"/>
                <w:szCs w:val="16"/>
              </w:rPr>
              <w:t xml:space="preserve">          200.813.040 </w:t>
            </w:r>
          </w:p>
        </w:tc>
        <w:tc>
          <w:tcPr>
            <w:tcW w:w="974" w:type="pct"/>
            <w:tcBorders>
              <w:top w:val="nil"/>
              <w:left w:val="nil"/>
              <w:bottom w:val="nil"/>
              <w:right w:val="nil"/>
            </w:tcBorders>
            <w:shd w:val="clear" w:color="000000" w:fill="FFFFFF"/>
            <w:noWrap/>
            <w:vAlign w:val="bottom"/>
            <w:hideMark/>
          </w:tcPr>
          <w:p w14:paraId="7DBE7C0F" w14:textId="77777777" w:rsidR="00F47099" w:rsidRPr="00F47099" w:rsidRDefault="00F47099" w:rsidP="00F47099">
            <w:pPr>
              <w:jc w:val="right"/>
              <w:rPr>
                <w:rFonts w:asciiTheme="majorHAnsi" w:hAnsiTheme="majorHAnsi" w:cstheme="majorHAnsi"/>
                <w:b/>
                <w:bCs/>
                <w:sz w:val="16"/>
                <w:szCs w:val="16"/>
              </w:rPr>
            </w:pPr>
            <w:r w:rsidRPr="00F47099">
              <w:rPr>
                <w:rFonts w:asciiTheme="majorHAnsi" w:hAnsiTheme="majorHAnsi" w:cstheme="majorHAnsi"/>
                <w:b/>
                <w:bCs/>
                <w:sz w:val="16"/>
                <w:szCs w:val="16"/>
              </w:rPr>
              <w:t xml:space="preserve">                243.775.279 </w:t>
            </w:r>
          </w:p>
        </w:tc>
      </w:tr>
      <w:tr w:rsidR="00F47099" w:rsidRPr="00F47099" w14:paraId="112B4D49" w14:textId="77777777" w:rsidTr="00F47099">
        <w:trPr>
          <w:trHeight w:hRule="exact" w:val="227"/>
        </w:trPr>
        <w:tc>
          <w:tcPr>
            <w:tcW w:w="3215" w:type="pct"/>
            <w:tcBorders>
              <w:top w:val="nil"/>
              <w:left w:val="nil"/>
              <w:bottom w:val="nil"/>
              <w:right w:val="nil"/>
            </w:tcBorders>
            <w:shd w:val="clear" w:color="000000" w:fill="FFFFFF"/>
            <w:noWrap/>
            <w:vAlign w:val="bottom"/>
            <w:hideMark/>
          </w:tcPr>
          <w:p w14:paraId="1067B6F9" w14:textId="77777777" w:rsidR="00F47099" w:rsidRPr="00F47099" w:rsidRDefault="00F47099">
            <w:pPr>
              <w:rPr>
                <w:rFonts w:asciiTheme="majorHAnsi" w:hAnsiTheme="majorHAnsi" w:cstheme="majorHAnsi"/>
                <w:sz w:val="16"/>
                <w:szCs w:val="16"/>
              </w:rPr>
            </w:pPr>
            <w:r w:rsidRPr="00F47099">
              <w:rPr>
                <w:rFonts w:asciiTheme="majorHAnsi" w:hAnsiTheme="majorHAnsi" w:cstheme="majorHAnsi"/>
                <w:sz w:val="16"/>
                <w:szCs w:val="16"/>
              </w:rPr>
              <w:t> </w:t>
            </w:r>
          </w:p>
        </w:tc>
        <w:tc>
          <w:tcPr>
            <w:tcW w:w="811" w:type="pct"/>
            <w:tcBorders>
              <w:top w:val="nil"/>
              <w:left w:val="nil"/>
              <w:bottom w:val="nil"/>
              <w:right w:val="nil"/>
            </w:tcBorders>
            <w:shd w:val="clear" w:color="000000" w:fill="FFFFFF"/>
            <w:noWrap/>
            <w:vAlign w:val="bottom"/>
            <w:hideMark/>
          </w:tcPr>
          <w:p w14:paraId="75E3308A" w14:textId="77777777" w:rsidR="00F47099" w:rsidRPr="00F47099" w:rsidRDefault="00F47099">
            <w:pPr>
              <w:rPr>
                <w:rFonts w:asciiTheme="majorHAnsi" w:hAnsiTheme="majorHAnsi" w:cstheme="majorHAnsi"/>
                <w:sz w:val="16"/>
                <w:szCs w:val="16"/>
              </w:rPr>
            </w:pPr>
            <w:r w:rsidRPr="00F47099">
              <w:rPr>
                <w:rFonts w:asciiTheme="majorHAnsi" w:hAnsiTheme="majorHAnsi" w:cstheme="majorHAnsi"/>
                <w:sz w:val="16"/>
                <w:szCs w:val="16"/>
              </w:rPr>
              <w:t> </w:t>
            </w:r>
          </w:p>
        </w:tc>
        <w:tc>
          <w:tcPr>
            <w:tcW w:w="974" w:type="pct"/>
            <w:tcBorders>
              <w:top w:val="nil"/>
              <w:left w:val="nil"/>
              <w:bottom w:val="nil"/>
              <w:right w:val="nil"/>
            </w:tcBorders>
            <w:shd w:val="clear" w:color="000000" w:fill="FFFFFF"/>
            <w:noWrap/>
            <w:vAlign w:val="bottom"/>
            <w:hideMark/>
          </w:tcPr>
          <w:p w14:paraId="27CA2648" w14:textId="77777777" w:rsidR="00F47099" w:rsidRPr="00F47099" w:rsidRDefault="00F47099">
            <w:pPr>
              <w:rPr>
                <w:rFonts w:asciiTheme="majorHAnsi" w:hAnsiTheme="majorHAnsi" w:cstheme="majorHAnsi"/>
                <w:b/>
                <w:bCs/>
                <w:sz w:val="16"/>
                <w:szCs w:val="16"/>
              </w:rPr>
            </w:pPr>
            <w:r w:rsidRPr="00F47099">
              <w:rPr>
                <w:rFonts w:asciiTheme="majorHAnsi" w:hAnsiTheme="majorHAnsi" w:cstheme="majorHAnsi"/>
                <w:b/>
                <w:bCs/>
                <w:sz w:val="16"/>
                <w:szCs w:val="16"/>
              </w:rPr>
              <w:t> </w:t>
            </w:r>
          </w:p>
        </w:tc>
      </w:tr>
      <w:tr w:rsidR="00F47099" w:rsidRPr="00F47099" w14:paraId="172DBE14" w14:textId="77777777" w:rsidTr="00F47099">
        <w:trPr>
          <w:trHeight w:hRule="exact" w:val="227"/>
        </w:trPr>
        <w:tc>
          <w:tcPr>
            <w:tcW w:w="3215" w:type="pct"/>
            <w:tcBorders>
              <w:top w:val="nil"/>
              <w:left w:val="nil"/>
              <w:bottom w:val="nil"/>
              <w:right w:val="nil"/>
            </w:tcBorders>
            <w:shd w:val="clear" w:color="000000" w:fill="FFFFFF"/>
            <w:noWrap/>
            <w:vAlign w:val="bottom"/>
            <w:hideMark/>
          </w:tcPr>
          <w:p w14:paraId="454094AE" w14:textId="77777777" w:rsidR="00F47099" w:rsidRPr="00F47099" w:rsidRDefault="00F47099">
            <w:pPr>
              <w:rPr>
                <w:rFonts w:asciiTheme="majorHAnsi" w:hAnsiTheme="majorHAnsi" w:cstheme="majorHAnsi"/>
                <w:b/>
                <w:bCs/>
                <w:sz w:val="16"/>
                <w:szCs w:val="16"/>
              </w:rPr>
            </w:pPr>
            <w:r w:rsidRPr="00F47099">
              <w:rPr>
                <w:rFonts w:asciiTheme="majorHAnsi" w:hAnsiTheme="majorHAnsi" w:cstheme="majorHAnsi"/>
                <w:b/>
                <w:bCs/>
                <w:sz w:val="16"/>
                <w:szCs w:val="16"/>
              </w:rPr>
              <w:t xml:space="preserve"> Aumento (redução) das disponibilidades </w:t>
            </w:r>
          </w:p>
        </w:tc>
        <w:tc>
          <w:tcPr>
            <w:tcW w:w="811" w:type="pct"/>
            <w:tcBorders>
              <w:top w:val="nil"/>
              <w:left w:val="nil"/>
              <w:bottom w:val="nil"/>
              <w:right w:val="nil"/>
            </w:tcBorders>
            <w:shd w:val="clear" w:color="000000" w:fill="FFFFFF"/>
            <w:noWrap/>
            <w:vAlign w:val="bottom"/>
            <w:hideMark/>
          </w:tcPr>
          <w:p w14:paraId="5994A2AA" w14:textId="77777777" w:rsidR="00F47099" w:rsidRPr="00F47099" w:rsidRDefault="00F47099" w:rsidP="00F47099">
            <w:pPr>
              <w:jc w:val="right"/>
              <w:rPr>
                <w:rFonts w:asciiTheme="majorHAnsi" w:hAnsiTheme="majorHAnsi" w:cstheme="majorHAnsi"/>
                <w:b/>
                <w:bCs/>
                <w:sz w:val="16"/>
                <w:szCs w:val="16"/>
              </w:rPr>
            </w:pPr>
            <w:r w:rsidRPr="00F47099">
              <w:rPr>
                <w:rFonts w:asciiTheme="majorHAnsi" w:hAnsiTheme="majorHAnsi" w:cstheme="majorHAnsi"/>
                <w:b/>
                <w:bCs/>
                <w:sz w:val="16"/>
                <w:szCs w:val="16"/>
              </w:rPr>
              <w:t xml:space="preserve">              7.250.828 </w:t>
            </w:r>
          </w:p>
        </w:tc>
        <w:tc>
          <w:tcPr>
            <w:tcW w:w="974" w:type="pct"/>
            <w:tcBorders>
              <w:top w:val="nil"/>
              <w:left w:val="nil"/>
              <w:bottom w:val="nil"/>
              <w:right w:val="nil"/>
            </w:tcBorders>
            <w:shd w:val="clear" w:color="000000" w:fill="FFFFFF"/>
            <w:noWrap/>
            <w:vAlign w:val="bottom"/>
            <w:hideMark/>
          </w:tcPr>
          <w:p w14:paraId="36312A3A" w14:textId="77777777" w:rsidR="00F47099" w:rsidRPr="00F47099" w:rsidRDefault="00F47099" w:rsidP="00F47099">
            <w:pPr>
              <w:jc w:val="right"/>
              <w:rPr>
                <w:rFonts w:asciiTheme="majorHAnsi" w:hAnsiTheme="majorHAnsi" w:cstheme="majorHAnsi"/>
                <w:b/>
                <w:bCs/>
                <w:sz w:val="16"/>
                <w:szCs w:val="16"/>
              </w:rPr>
            </w:pPr>
            <w:r w:rsidRPr="00F47099">
              <w:rPr>
                <w:rFonts w:asciiTheme="majorHAnsi" w:hAnsiTheme="majorHAnsi" w:cstheme="majorHAnsi"/>
                <w:b/>
                <w:bCs/>
                <w:sz w:val="16"/>
                <w:szCs w:val="16"/>
              </w:rPr>
              <w:t xml:space="preserve">                   28.563.547 </w:t>
            </w:r>
          </w:p>
        </w:tc>
      </w:tr>
      <w:tr w:rsidR="00F47099" w:rsidRPr="00F47099" w14:paraId="4363C502" w14:textId="77777777" w:rsidTr="00F47099">
        <w:trPr>
          <w:trHeight w:hRule="exact" w:val="227"/>
        </w:trPr>
        <w:tc>
          <w:tcPr>
            <w:tcW w:w="3215" w:type="pct"/>
            <w:tcBorders>
              <w:top w:val="nil"/>
              <w:left w:val="nil"/>
              <w:bottom w:val="nil"/>
              <w:right w:val="nil"/>
            </w:tcBorders>
            <w:shd w:val="clear" w:color="auto" w:fill="auto"/>
            <w:noWrap/>
            <w:vAlign w:val="bottom"/>
            <w:hideMark/>
          </w:tcPr>
          <w:p w14:paraId="50E1B1EC" w14:textId="7A9F2DB4" w:rsidR="00F47099" w:rsidRPr="00F47099" w:rsidRDefault="00F47099">
            <w:pPr>
              <w:rPr>
                <w:rFonts w:asciiTheme="majorHAnsi" w:hAnsiTheme="majorHAnsi" w:cstheme="majorHAnsi"/>
                <w:sz w:val="16"/>
                <w:szCs w:val="16"/>
              </w:rPr>
            </w:pPr>
            <w:r w:rsidRPr="00F47099">
              <w:rPr>
                <w:rFonts w:asciiTheme="majorHAnsi" w:hAnsiTheme="majorHAnsi" w:cstheme="majorHAnsi"/>
                <w:sz w:val="16"/>
                <w:szCs w:val="16"/>
              </w:rPr>
              <w:t xml:space="preserve"> Disponibilidades no início do período </w:t>
            </w:r>
          </w:p>
        </w:tc>
        <w:tc>
          <w:tcPr>
            <w:tcW w:w="811" w:type="pct"/>
            <w:tcBorders>
              <w:top w:val="nil"/>
              <w:left w:val="nil"/>
              <w:bottom w:val="nil"/>
              <w:right w:val="nil"/>
            </w:tcBorders>
            <w:shd w:val="clear" w:color="000000" w:fill="FFFFFF"/>
            <w:noWrap/>
            <w:vAlign w:val="bottom"/>
            <w:hideMark/>
          </w:tcPr>
          <w:p w14:paraId="7D738E76" w14:textId="77777777" w:rsidR="00F47099" w:rsidRPr="00F47099" w:rsidRDefault="00F47099" w:rsidP="00F47099">
            <w:pPr>
              <w:jc w:val="right"/>
              <w:rPr>
                <w:rFonts w:asciiTheme="majorHAnsi" w:hAnsiTheme="majorHAnsi" w:cstheme="majorHAnsi"/>
                <w:sz w:val="16"/>
                <w:szCs w:val="16"/>
              </w:rPr>
            </w:pPr>
            <w:r w:rsidRPr="00F47099">
              <w:rPr>
                <w:rFonts w:asciiTheme="majorHAnsi" w:hAnsiTheme="majorHAnsi" w:cstheme="majorHAnsi"/>
                <w:sz w:val="16"/>
                <w:szCs w:val="16"/>
              </w:rPr>
              <w:t xml:space="preserve">            56.732.574 </w:t>
            </w:r>
          </w:p>
        </w:tc>
        <w:tc>
          <w:tcPr>
            <w:tcW w:w="974" w:type="pct"/>
            <w:tcBorders>
              <w:top w:val="nil"/>
              <w:left w:val="nil"/>
              <w:bottom w:val="nil"/>
              <w:right w:val="nil"/>
            </w:tcBorders>
            <w:shd w:val="clear" w:color="000000" w:fill="FFFFFF"/>
            <w:noWrap/>
            <w:vAlign w:val="bottom"/>
            <w:hideMark/>
          </w:tcPr>
          <w:p w14:paraId="552D3C01" w14:textId="77777777" w:rsidR="00F47099" w:rsidRPr="00F47099" w:rsidRDefault="00F47099" w:rsidP="00F47099">
            <w:pPr>
              <w:jc w:val="right"/>
              <w:rPr>
                <w:rFonts w:asciiTheme="majorHAnsi" w:hAnsiTheme="majorHAnsi" w:cstheme="majorHAnsi"/>
                <w:sz w:val="16"/>
                <w:szCs w:val="16"/>
              </w:rPr>
            </w:pPr>
            <w:r w:rsidRPr="00F47099">
              <w:rPr>
                <w:rFonts w:asciiTheme="majorHAnsi" w:hAnsiTheme="majorHAnsi" w:cstheme="majorHAnsi"/>
                <w:sz w:val="16"/>
                <w:szCs w:val="16"/>
              </w:rPr>
              <w:t xml:space="preserve">                   32.350.978 </w:t>
            </w:r>
          </w:p>
        </w:tc>
      </w:tr>
      <w:tr w:rsidR="00F47099" w:rsidRPr="00F47099" w14:paraId="50262DBA" w14:textId="77777777" w:rsidTr="00F47099">
        <w:trPr>
          <w:trHeight w:hRule="exact" w:val="227"/>
        </w:trPr>
        <w:tc>
          <w:tcPr>
            <w:tcW w:w="3215" w:type="pct"/>
            <w:tcBorders>
              <w:top w:val="nil"/>
              <w:left w:val="nil"/>
              <w:bottom w:val="nil"/>
              <w:right w:val="nil"/>
            </w:tcBorders>
            <w:shd w:val="clear" w:color="auto" w:fill="auto"/>
            <w:noWrap/>
            <w:vAlign w:val="bottom"/>
            <w:hideMark/>
          </w:tcPr>
          <w:p w14:paraId="6589C4FA" w14:textId="4473B2BE" w:rsidR="00F47099" w:rsidRPr="00F47099" w:rsidRDefault="00F47099">
            <w:pPr>
              <w:rPr>
                <w:rFonts w:asciiTheme="majorHAnsi" w:hAnsiTheme="majorHAnsi" w:cstheme="majorHAnsi"/>
                <w:sz w:val="16"/>
                <w:szCs w:val="16"/>
              </w:rPr>
            </w:pPr>
            <w:r w:rsidRPr="00F47099">
              <w:rPr>
                <w:rFonts w:asciiTheme="majorHAnsi" w:hAnsiTheme="majorHAnsi" w:cstheme="majorHAnsi"/>
                <w:sz w:val="16"/>
                <w:szCs w:val="16"/>
              </w:rPr>
              <w:t xml:space="preserve"> Disponibilidades no final do período </w:t>
            </w:r>
          </w:p>
        </w:tc>
        <w:tc>
          <w:tcPr>
            <w:tcW w:w="811" w:type="pct"/>
            <w:tcBorders>
              <w:top w:val="nil"/>
              <w:left w:val="nil"/>
              <w:bottom w:val="nil"/>
              <w:right w:val="nil"/>
            </w:tcBorders>
            <w:shd w:val="clear" w:color="000000" w:fill="FFFFFF"/>
            <w:noWrap/>
            <w:vAlign w:val="bottom"/>
            <w:hideMark/>
          </w:tcPr>
          <w:p w14:paraId="71569032" w14:textId="77777777" w:rsidR="00F47099" w:rsidRPr="00F47099" w:rsidRDefault="00F47099" w:rsidP="00F47099">
            <w:pPr>
              <w:jc w:val="right"/>
              <w:rPr>
                <w:rFonts w:asciiTheme="majorHAnsi" w:hAnsiTheme="majorHAnsi" w:cstheme="majorHAnsi"/>
                <w:sz w:val="16"/>
                <w:szCs w:val="16"/>
              </w:rPr>
            </w:pPr>
            <w:r w:rsidRPr="00F47099">
              <w:rPr>
                <w:rFonts w:asciiTheme="majorHAnsi" w:hAnsiTheme="majorHAnsi" w:cstheme="majorHAnsi"/>
                <w:sz w:val="16"/>
                <w:szCs w:val="16"/>
              </w:rPr>
              <w:t xml:space="preserve">            63.983.402 </w:t>
            </w:r>
          </w:p>
        </w:tc>
        <w:tc>
          <w:tcPr>
            <w:tcW w:w="974" w:type="pct"/>
            <w:tcBorders>
              <w:top w:val="nil"/>
              <w:left w:val="nil"/>
              <w:bottom w:val="nil"/>
              <w:right w:val="nil"/>
            </w:tcBorders>
            <w:shd w:val="clear" w:color="000000" w:fill="FFFFFF"/>
            <w:noWrap/>
            <w:vAlign w:val="bottom"/>
            <w:hideMark/>
          </w:tcPr>
          <w:p w14:paraId="20E6C527" w14:textId="77777777" w:rsidR="00F47099" w:rsidRPr="00F47099" w:rsidRDefault="00F47099" w:rsidP="00F47099">
            <w:pPr>
              <w:jc w:val="right"/>
              <w:rPr>
                <w:rFonts w:asciiTheme="majorHAnsi" w:hAnsiTheme="majorHAnsi" w:cstheme="majorHAnsi"/>
                <w:sz w:val="16"/>
                <w:szCs w:val="16"/>
              </w:rPr>
            </w:pPr>
            <w:r w:rsidRPr="00F47099">
              <w:rPr>
                <w:rFonts w:asciiTheme="majorHAnsi" w:hAnsiTheme="majorHAnsi" w:cstheme="majorHAnsi"/>
                <w:sz w:val="16"/>
                <w:szCs w:val="16"/>
              </w:rPr>
              <w:t xml:space="preserve">                   60.914.526 </w:t>
            </w:r>
          </w:p>
        </w:tc>
      </w:tr>
      <w:tr w:rsidR="00F47099" w:rsidRPr="00F47099" w14:paraId="35B82A7F" w14:textId="77777777" w:rsidTr="00F47099">
        <w:trPr>
          <w:trHeight w:hRule="exact" w:val="227"/>
        </w:trPr>
        <w:tc>
          <w:tcPr>
            <w:tcW w:w="5000" w:type="pct"/>
            <w:gridSpan w:val="3"/>
            <w:tcBorders>
              <w:top w:val="nil"/>
              <w:left w:val="nil"/>
              <w:bottom w:val="nil"/>
              <w:right w:val="nil"/>
            </w:tcBorders>
            <w:shd w:val="clear" w:color="000000" w:fill="FFFFFF"/>
            <w:noWrap/>
            <w:vAlign w:val="bottom"/>
            <w:hideMark/>
          </w:tcPr>
          <w:p w14:paraId="63B51A20" w14:textId="77777777" w:rsidR="00F47099" w:rsidRPr="00F47099" w:rsidRDefault="00F47099">
            <w:pPr>
              <w:jc w:val="center"/>
              <w:rPr>
                <w:rFonts w:asciiTheme="majorHAnsi" w:hAnsiTheme="majorHAnsi" w:cstheme="majorHAnsi"/>
                <w:sz w:val="16"/>
                <w:szCs w:val="16"/>
              </w:rPr>
            </w:pPr>
            <w:r w:rsidRPr="00F47099">
              <w:rPr>
                <w:rFonts w:asciiTheme="majorHAnsi" w:hAnsiTheme="majorHAnsi" w:cstheme="majorHAnsi"/>
                <w:sz w:val="16"/>
                <w:szCs w:val="16"/>
              </w:rPr>
              <w:t> </w:t>
            </w:r>
          </w:p>
        </w:tc>
      </w:tr>
      <w:tr w:rsidR="00F47099" w:rsidRPr="00F47099" w14:paraId="2B57E48A" w14:textId="77777777" w:rsidTr="00F47099">
        <w:trPr>
          <w:trHeight w:hRule="exact" w:val="227"/>
        </w:trPr>
        <w:tc>
          <w:tcPr>
            <w:tcW w:w="5000" w:type="pct"/>
            <w:gridSpan w:val="3"/>
            <w:tcBorders>
              <w:top w:val="nil"/>
              <w:left w:val="nil"/>
              <w:bottom w:val="nil"/>
              <w:right w:val="nil"/>
            </w:tcBorders>
            <w:shd w:val="clear" w:color="auto" w:fill="auto"/>
            <w:noWrap/>
            <w:vAlign w:val="bottom"/>
            <w:hideMark/>
          </w:tcPr>
          <w:p w14:paraId="7543210D" w14:textId="77777777" w:rsidR="00F47099" w:rsidRPr="00F47099" w:rsidRDefault="00F47099">
            <w:pPr>
              <w:jc w:val="center"/>
              <w:rPr>
                <w:rFonts w:asciiTheme="majorHAnsi" w:hAnsiTheme="majorHAnsi" w:cstheme="majorHAnsi"/>
                <w:sz w:val="16"/>
                <w:szCs w:val="16"/>
              </w:rPr>
            </w:pPr>
            <w:r w:rsidRPr="00F47099">
              <w:rPr>
                <w:rFonts w:asciiTheme="majorHAnsi" w:hAnsiTheme="majorHAnsi" w:cstheme="majorHAnsi"/>
                <w:sz w:val="16"/>
                <w:szCs w:val="16"/>
              </w:rPr>
              <w:t>(As Notas Explicativas são parte integrante das demonstrações contábeis intermediárias)</w:t>
            </w:r>
          </w:p>
        </w:tc>
      </w:tr>
    </w:tbl>
    <w:p w14:paraId="0C673998" w14:textId="66D00564" w:rsidR="00444C41" w:rsidRDefault="00444C41" w:rsidP="00917E9B">
      <w:pPr>
        <w:pStyle w:val="Ttulo1"/>
        <w:rPr>
          <w:rFonts w:ascii="Calibri" w:hAnsi="Calibri" w:cs="Calibri"/>
          <w:szCs w:val="22"/>
        </w:rPr>
      </w:pPr>
    </w:p>
    <w:p w14:paraId="556BC5F6" w14:textId="7B7191F9" w:rsidR="00F47099" w:rsidRDefault="00F47099" w:rsidP="00F47099"/>
    <w:p w14:paraId="4EFA0082" w14:textId="67F2493A" w:rsidR="00F47099" w:rsidRDefault="00F47099" w:rsidP="00F47099"/>
    <w:p w14:paraId="54F01348" w14:textId="19208980" w:rsidR="00F47099" w:rsidRDefault="00F47099" w:rsidP="00F47099"/>
    <w:p w14:paraId="1047ACE6" w14:textId="28C0AC47" w:rsidR="00F47099" w:rsidRDefault="00F47099" w:rsidP="00F47099"/>
    <w:p w14:paraId="029DE688" w14:textId="7EA18E7F" w:rsidR="00F47099" w:rsidRDefault="00F47099" w:rsidP="00F47099"/>
    <w:p w14:paraId="16E4ACF5" w14:textId="5DCBDF23" w:rsidR="00F47099" w:rsidRDefault="00F47099" w:rsidP="00F47099"/>
    <w:p w14:paraId="713C1B07" w14:textId="29E5C92A" w:rsidR="00F47099" w:rsidRDefault="00F47099" w:rsidP="00F47099"/>
    <w:tbl>
      <w:tblPr>
        <w:tblW w:w="4672" w:type="pct"/>
        <w:tblLayout w:type="fixed"/>
        <w:tblCellMar>
          <w:left w:w="70" w:type="dxa"/>
          <w:right w:w="70" w:type="dxa"/>
        </w:tblCellMar>
        <w:tblLook w:val="04A0" w:firstRow="1" w:lastRow="0" w:firstColumn="1" w:lastColumn="0" w:noHBand="0" w:noVBand="1"/>
      </w:tblPr>
      <w:tblGrid>
        <w:gridCol w:w="3378"/>
        <w:gridCol w:w="168"/>
        <w:gridCol w:w="2688"/>
        <w:gridCol w:w="1561"/>
        <w:gridCol w:w="1985"/>
      </w:tblGrid>
      <w:tr w:rsidR="00F16CB6" w:rsidRPr="00F16CB6" w14:paraId="126BA1E7" w14:textId="77777777" w:rsidTr="00F16CB6">
        <w:trPr>
          <w:trHeight w:hRule="exact" w:val="227"/>
        </w:trPr>
        <w:tc>
          <w:tcPr>
            <w:tcW w:w="5000" w:type="pct"/>
            <w:gridSpan w:val="5"/>
            <w:tcBorders>
              <w:top w:val="nil"/>
              <w:left w:val="nil"/>
              <w:bottom w:val="nil"/>
              <w:right w:val="nil"/>
            </w:tcBorders>
            <w:shd w:val="clear" w:color="000000" w:fill="FFFFFF"/>
            <w:noWrap/>
            <w:vAlign w:val="bottom"/>
            <w:hideMark/>
          </w:tcPr>
          <w:p w14:paraId="54C48693" w14:textId="77777777" w:rsidR="00F16CB6" w:rsidRPr="00F16CB6" w:rsidRDefault="00F16CB6">
            <w:pPr>
              <w:jc w:val="center"/>
              <w:rPr>
                <w:rFonts w:asciiTheme="majorHAnsi" w:hAnsiTheme="majorHAnsi" w:cstheme="majorHAnsi"/>
                <w:b/>
                <w:bCs/>
                <w:sz w:val="16"/>
                <w:szCs w:val="16"/>
              </w:rPr>
            </w:pPr>
            <w:r w:rsidRPr="00F16CB6">
              <w:rPr>
                <w:rFonts w:asciiTheme="majorHAnsi" w:hAnsiTheme="majorHAnsi" w:cstheme="majorHAnsi"/>
                <w:b/>
                <w:bCs/>
                <w:sz w:val="16"/>
                <w:szCs w:val="16"/>
              </w:rPr>
              <w:t>VALEC ENGENHARIA, CONSTRUÇÕES E FERROVIAS S/A</w:t>
            </w:r>
          </w:p>
        </w:tc>
      </w:tr>
      <w:tr w:rsidR="00F16CB6" w:rsidRPr="00F16CB6" w14:paraId="0CC7C955" w14:textId="77777777" w:rsidTr="00F16CB6">
        <w:trPr>
          <w:trHeight w:hRule="exact" w:val="227"/>
        </w:trPr>
        <w:tc>
          <w:tcPr>
            <w:tcW w:w="5000" w:type="pct"/>
            <w:gridSpan w:val="5"/>
            <w:tcBorders>
              <w:top w:val="nil"/>
              <w:left w:val="nil"/>
              <w:bottom w:val="nil"/>
              <w:right w:val="nil"/>
            </w:tcBorders>
            <w:shd w:val="clear" w:color="000000" w:fill="FFFFFF"/>
            <w:noWrap/>
            <w:vAlign w:val="bottom"/>
            <w:hideMark/>
          </w:tcPr>
          <w:p w14:paraId="462ECEFE" w14:textId="77777777" w:rsidR="00F16CB6" w:rsidRPr="00F16CB6" w:rsidRDefault="00F16CB6">
            <w:pPr>
              <w:jc w:val="center"/>
              <w:rPr>
                <w:rFonts w:asciiTheme="majorHAnsi" w:hAnsiTheme="majorHAnsi" w:cstheme="majorHAnsi"/>
                <w:b/>
                <w:bCs/>
                <w:sz w:val="16"/>
                <w:szCs w:val="16"/>
              </w:rPr>
            </w:pPr>
            <w:r w:rsidRPr="00F16CB6">
              <w:rPr>
                <w:rFonts w:asciiTheme="majorHAnsi" w:hAnsiTheme="majorHAnsi" w:cstheme="majorHAnsi"/>
                <w:b/>
                <w:bCs/>
                <w:sz w:val="16"/>
                <w:szCs w:val="16"/>
              </w:rPr>
              <w:t>DEMONSTRAÇÃO DO VALOR ADICIONADO (DVA)</w:t>
            </w:r>
          </w:p>
        </w:tc>
      </w:tr>
      <w:tr w:rsidR="00F16CB6" w:rsidRPr="00F16CB6" w14:paraId="39F7AD32" w14:textId="77777777" w:rsidTr="00F16CB6">
        <w:trPr>
          <w:trHeight w:hRule="exact" w:val="227"/>
        </w:trPr>
        <w:tc>
          <w:tcPr>
            <w:tcW w:w="5000" w:type="pct"/>
            <w:gridSpan w:val="5"/>
            <w:tcBorders>
              <w:top w:val="nil"/>
              <w:left w:val="nil"/>
              <w:bottom w:val="nil"/>
              <w:right w:val="nil"/>
            </w:tcBorders>
            <w:shd w:val="clear" w:color="auto" w:fill="auto"/>
            <w:noWrap/>
            <w:vAlign w:val="bottom"/>
            <w:hideMark/>
          </w:tcPr>
          <w:p w14:paraId="67837A4C" w14:textId="77777777" w:rsidR="00F16CB6" w:rsidRPr="00F16CB6" w:rsidRDefault="00F16CB6">
            <w:pPr>
              <w:jc w:val="center"/>
              <w:rPr>
                <w:rFonts w:asciiTheme="majorHAnsi" w:hAnsiTheme="majorHAnsi" w:cstheme="majorHAnsi"/>
                <w:b/>
                <w:bCs/>
                <w:sz w:val="16"/>
                <w:szCs w:val="16"/>
              </w:rPr>
            </w:pPr>
            <w:r w:rsidRPr="00F16CB6">
              <w:rPr>
                <w:rFonts w:asciiTheme="majorHAnsi" w:hAnsiTheme="majorHAnsi" w:cstheme="majorHAnsi"/>
                <w:b/>
                <w:bCs/>
                <w:sz w:val="16"/>
                <w:szCs w:val="16"/>
              </w:rPr>
              <w:t>2º TRIMESTRE 2022</w:t>
            </w:r>
          </w:p>
        </w:tc>
      </w:tr>
      <w:tr w:rsidR="00F16CB6" w:rsidRPr="00F16CB6" w14:paraId="671B4BC2" w14:textId="77777777" w:rsidTr="00F16CB6">
        <w:trPr>
          <w:trHeight w:hRule="exact" w:val="227"/>
        </w:trPr>
        <w:tc>
          <w:tcPr>
            <w:tcW w:w="5000" w:type="pct"/>
            <w:gridSpan w:val="5"/>
            <w:tcBorders>
              <w:top w:val="nil"/>
              <w:left w:val="nil"/>
              <w:bottom w:val="nil"/>
              <w:right w:val="nil"/>
            </w:tcBorders>
            <w:shd w:val="clear" w:color="auto" w:fill="auto"/>
            <w:noWrap/>
            <w:vAlign w:val="bottom"/>
            <w:hideMark/>
          </w:tcPr>
          <w:p w14:paraId="6DBC2D1B" w14:textId="77777777" w:rsidR="00F16CB6" w:rsidRPr="00F16CB6" w:rsidRDefault="00F16CB6">
            <w:pPr>
              <w:jc w:val="center"/>
              <w:rPr>
                <w:rFonts w:asciiTheme="majorHAnsi" w:hAnsiTheme="majorHAnsi" w:cstheme="majorHAnsi"/>
                <w:b/>
                <w:bCs/>
                <w:sz w:val="16"/>
                <w:szCs w:val="16"/>
              </w:rPr>
            </w:pPr>
            <w:r w:rsidRPr="00F16CB6">
              <w:rPr>
                <w:rFonts w:asciiTheme="majorHAnsi" w:hAnsiTheme="majorHAnsi" w:cstheme="majorHAnsi"/>
                <w:b/>
                <w:bCs/>
                <w:sz w:val="16"/>
                <w:szCs w:val="16"/>
              </w:rPr>
              <w:t>Em R$</w:t>
            </w:r>
          </w:p>
        </w:tc>
      </w:tr>
      <w:tr w:rsidR="00F16CB6" w:rsidRPr="00F16CB6" w14:paraId="689CE74C" w14:textId="77777777" w:rsidTr="00F16CB6">
        <w:trPr>
          <w:trHeight w:hRule="exact" w:val="227"/>
        </w:trPr>
        <w:tc>
          <w:tcPr>
            <w:tcW w:w="1727" w:type="pct"/>
            <w:tcBorders>
              <w:top w:val="nil"/>
              <w:left w:val="nil"/>
              <w:bottom w:val="nil"/>
              <w:right w:val="nil"/>
            </w:tcBorders>
            <w:shd w:val="clear" w:color="000000" w:fill="FFFFFF"/>
            <w:noWrap/>
            <w:vAlign w:val="bottom"/>
            <w:hideMark/>
          </w:tcPr>
          <w:p w14:paraId="1D36417F" w14:textId="77777777" w:rsidR="00F16CB6" w:rsidRPr="00F16CB6" w:rsidRDefault="00F16CB6">
            <w:pPr>
              <w:jc w:val="center"/>
              <w:rPr>
                <w:rFonts w:asciiTheme="majorHAnsi" w:hAnsiTheme="majorHAnsi" w:cstheme="majorHAnsi"/>
                <w:b/>
                <w:bCs/>
                <w:sz w:val="16"/>
                <w:szCs w:val="16"/>
              </w:rPr>
            </w:pPr>
            <w:r w:rsidRPr="00F16CB6">
              <w:rPr>
                <w:rFonts w:asciiTheme="majorHAnsi" w:hAnsiTheme="majorHAnsi" w:cstheme="majorHAnsi"/>
                <w:b/>
                <w:bCs/>
                <w:sz w:val="16"/>
                <w:szCs w:val="16"/>
              </w:rPr>
              <w:t> </w:t>
            </w:r>
          </w:p>
        </w:tc>
        <w:tc>
          <w:tcPr>
            <w:tcW w:w="86" w:type="pct"/>
            <w:tcBorders>
              <w:top w:val="nil"/>
              <w:left w:val="nil"/>
              <w:bottom w:val="nil"/>
              <w:right w:val="nil"/>
            </w:tcBorders>
            <w:shd w:val="clear" w:color="000000" w:fill="FFFFFF"/>
            <w:noWrap/>
            <w:vAlign w:val="bottom"/>
            <w:hideMark/>
          </w:tcPr>
          <w:p w14:paraId="457B6DD1" w14:textId="77777777" w:rsidR="00F16CB6" w:rsidRPr="00F16CB6" w:rsidRDefault="00F16CB6">
            <w:pPr>
              <w:jc w:val="center"/>
              <w:rPr>
                <w:rFonts w:asciiTheme="majorHAnsi" w:hAnsiTheme="majorHAnsi" w:cstheme="majorHAnsi"/>
                <w:b/>
                <w:bCs/>
                <w:sz w:val="16"/>
                <w:szCs w:val="16"/>
              </w:rPr>
            </w:pPr>
            <w:r w:rsidRPr="00F16CB6">
              <w:rPr>
                <w:rFonts w:asciiTheme="majorHAnsi" w:hAnsiTheme="majorHAnsi" w:cstheme="majorHAnsi"/>
                <w:b/>
                <w:bCs/>
                <w:sz w:val="16"/>
                <w:szCs w:val="16"/>
              </w:rPr>
              <w:t> </w:t>
            </w:r>
          </w:p>
        </w:tc>
        <w:tc>
          <w:tcPr>
            <w:tcW w:w="1374" w:type="pct"/>
            <w:tcBorders>
              <w:top w:val="nil"/>
              <w:left w:val="nil"/>
              <w:bottom w:val="nil"/>
              <w:right w:val="nil"/>
            </w:tcBorders>
            <w:shd w:val="clear" w:color="000000" w:fill="FFFFFF"/>
            <w:noWrap/>
            <w:vAlign w:val="bottom"/>
            <w:hideMark/>
          </w:tcPr>
          <w:p w14:paraId="2B30CC1C" w14:textId="77777777" w:rsidR="00F16CB6" w:rsidRPr="00F16CB6" w:rsidRDefault="00F16CB6">
            <w:pPr>
              <w:jc w:val="center"/>
              <w:rPr>
                <w:rFonts w:asciiTheme="majorHAnsi" w:hAnsiTheme="majorHAnsi" w:cstheme="majorHAnsi"/>
                <w:b/>
                <w:bCs/>
                <w:sz w:val="16"/>
                <w:szCs w:val="16"/>
              </w:rPr>
            </w:pPr>
            <w:r w:rsidRPr="00F16CB6">
              <w:rPr>
                <w:rFonts w:asciiTheme="majorHAnsi" w:hAnsiTheme="majorHAnsi" w:cstheme="majorHAnsi"/>
                <w:b/>
                <w:bCs/>
                <w:sz w:val="16"/>
                <w:szCs w:val="16"/>
              </w:rPr>
              <w:t> </w:t>
            </w:r>
          </w:p>
        </w:tc>
        <w:tc>
          <w:tcPr>
            <w:tcW w:w="798" w:type="pct"/>
            <w:tcBorders>
              <w:top w:val="nil"/>
              <w:left w:val="nil"/>
              <w:bottom w:val="nil"/>
              <w:right w:val="nil"/>
            </w:tcBorders>
            <w:shd w:val="clear" w:color="000000" w:fill="FFFFFF"/>
            <w:noWrap/>
            <w:vAlign w:val="bottom"/>
            <w:hideMark/>
          </w:tcPr>
          <w:p w14:paraId="0A131834" w14:textId="77777777" w:rsidR="00F16CB6" w:rsidRPr="00F16CB6" w:rsidRDefault="00F16CB6">
            <w:pPr>
              <w:jc w:val="right"/>
              <w:rPr>
                <w:rFonts w:asciiTheme="majorHAnsi" w:hAnsiTheme="majorHAnsi" w:cstheme="majorHAnsi"/>
                <w:b/>
                <w:bCs/>
                <w:sz w:val="16"/>
                <w:szCs w:val="16"/>
              </w:rPr>
            </w:pPr>
            <w:r w:rsidRPr="00F16CB6">
              <w:rPr>
                <w:rFonts w:asciiTheme="majorHAnsi" w:hAnsiTheme="majorHAnsi" w:cstheme="majorHAnsi"/>
                <w:b/>
                <w:bCs/>
                <w:sz w:val="16"/>
                <w:szCs w:val="16"/>
              </w:rPr>
              <w:t> </w:t>
            </w:r>
          </w:p>
        </w:tc>
        <w:tc>
          <w:tcPr>
            <w:tcW w:w="1015" w:type="pct"/>
            <w:tcBorders>
              <w:top w:val="nil"/>
              <w:left w:val="nil"/>
              <w:bottom w:val="nil"/>
              <w:right w:val="nil"/>
            </w:tcBorders>
            <w:shd w:val="clear" w:color="000000" w:fill="FFFFFF"/>
            <w:noWrap/>
            <w:vAlign w:val="bottom"/>
            <w:hideMark/>
          </w:tcPr>
          <w:p w14:paraId="1994480D" w14:textId="77777777" w:rsidR="00F16CB6" w:rsidRPr="00F16CB6" w:rsidRDefault="00F16CB6">
            <w:pPr>
              <w:jc w:val="right"/>
              <w:rPr>
                <w:rFonts w:asciiTheme="majorHAnsi" w:hAnsiTheme="majorHAnsi" w:cstheme="majorHAnsi"/>
                <w:sz w:val="16"/>
                <w:szCs w:val="16"/>
              </w:rPr>
            </w:pPr>
            <w:r w:rsidRPr="00F16CB6">
              <w:rPr>
                <w:rFonts w:asciiTheme="majorHAnsi" w:hAnsiTheme="majorHAnsi" w:cstheme="majorHAnsi"/>
                <w:sz w:val="16"/>
                <w:szCs w:val="16"/>
              </w:rPr>
              <w:t> </w:t>
            </w:r>
          </w:p>
        </w:tc>
      </w:tr>
      <w:tr w:rsidR="00F16CB6" w:rsidRPr="00F16CB6" w14:paraId="1F530F0C" w14:textId="77777777" w:rsidTr="00F16CB6">
        <w:trPr>
          <w:trHeight w:hRule="exact" w:val="227"/>
        </w:trPr>
        <w:tc>
          <w:tcPr>
            <w:tcW w:w="1727" w:type="pct"/>
            <w:tcBorders>
              <w:top w:val="nil"/>
              <w:left w:val="nil"/>
              <w:bottom w:val="nil"/>
              <w:right w:val="nil"/>
            </w:tcBorders>
            <w:shd w:val="clear" w:color="000000" w:fill="FFFFFF"/>
            <w:noWrap/>
            <w:vAlign w:val="bottom"/>
            <w:hideMark/>
          </w:tcPr>
          <w:p w14:paraId="666240DF" w14:textId="77777777" w:rsidR="00F16CB6" w:rsidRPr="00F16CB6" w:rsidRDefault="00F16CB6">
            <w:pPr>
              <w:rPr>
                <w:rFonts w:asciiTheme="majorHAnsi" w:hAnsiTheme="majorHAnsi" w:cstheme="majorHAnsi"/>
                <w:b/>
                <w:bCs/>
                <w:sz w:val="16"/>
                <w:szCs w:val="16"/>
              </w:rPr>
            </w:pPr>
            <w:r w:rsidRPr="00F16CB6">
              <w:rPr>
                <w:rFonts w:asciiTheme="majorHAnsi" w:hAnsiTheme="majorHAnsi" w:cstheme="majorHAnsi"/>
                <w:b/>
                <w:bCs/>
                <w:sz w:val="16"/>
                <w:szCs w:val="16"/>
              </w:rPr>
              <w:t> </w:t>
            </w:r>
          </w:p>
        </w:tc>
        <w:tc>
          <w:tcPr>
            <w:tcW w:w="86" w:type="pct"/>
            <w:tcBorders>
              <w:top w:val="nil"/>
              <w:left w:val="nil"/>
              <w:bottom w:val="nil"/>
              <w:right w:val="nil"/>
            </w:tcBorders>
            <w:shd w:val="clear" w:color="000000" w:fill="FFFFFF"/>
            <w:noWrap/>
            <w:vAlign w:val="bottom"/>
            <w:hideMark/>
          </w:tcPr>
          <w:p w14:paraId="625FAB4A" w14:textId="77777777" w:rsidR="00F16CB6" w:rsidRPr="00F16CB6" w:rsidRDefault="00F16CB6">
            <w:pPr>
              <w:rPr>
                <w:rFonts w:asciiTheme="majorHAnsi" w:hAnsiTheme="majorHAnsi" w:cstheme="majorHAnsi"/>
                <w:b/>
                <w:bCs/>
                <w:sz w:val="16"/>
                <w:szCs w:val="16"/>
              </w:rPr>
            </w:pPr>
            <w:r w:rsidRPr="00F16CB6">
              <w:rPr>
                <w:rFonts w:asciiTheme="majorHAnsi" w:hAnsiTheme="majorHAnsi" w:cstheme="majorHAnsi"/>
                <w:b/>
                <w:bCs/>
                <w:sz w:val="16"/>
                <w:szCs w:val="16"/>
              </w:rPr>
              <w:t> </w:t>
            </w:r>
          </w:p>
        </w:tc>
        <w:tc>
          <w:tcPr>
            <w:tcW w:w="1374" w:type="pct"/>
            <w:tcBorders>
              <w:top w:val="nil"/>
              <w:left w:val="nil"/>
              <w:bottom w:val="nil"/>
              <w:right w:val="nil"/>
            </w:tcBorders>
            <w:shd w:val="clear" w:color="000000" w:fill="FFFFFF"/>
            <w:noWrap/>
            <w:vAlign w:val="bottom"/>
            <w:hideMark/>
          </w:tcPr>
          <w:p w14:paraId="0B3B0E87" w14:textId="77777777" w:rsidR="00F16CB6" w:rsidRPr="00F16CB6" w:rsidRDefault="00F16CB6">
            <w:pPr>
              <w:rPr>
                <w:rFonts w:asciiTheme="majorHAnsi" w:hAnsiTheme="majorHAnsi" w:cstheme="majorHAnsi"/>
                <w:b/>
                <w:bCs/>
                <w:sz w:val="16"/>
                <w:szCs w:val="16"/>
              </w:rPr>
            </w:pPr>
            <w:r w:rsidRPr="00F16CB6">
              <w:rPr>
                <w:rFonts w:asciiTheme="majorHAnsi" w:hAnsiTheme="majorHAnsi" w:cstheme="majorHAnsi"/>
                <w:b/>
                <w:bCs/>
                <w:sz w:val="16"/>
                <w:szCs w:val="16"/>
              </w:rPr>
              <w:t> </w:t>
            </w:r>
          </w:p>
        </w:tc>
        <w:tc>
          <w:tcPr>
            <w:tcW w:w="798" w:type="pct"/>
            <w:tcBorders>
              <w:top w:val="nil"/>
              <w:left w:val="nil"/>
              <w:bottom w:val="nil"/>
              <w:right w:val="nil"/>
            </w:tcBorders>
            <w:shd w:val="clear" w:color="000000" w:fill="FFFFFF"/>
            <w:vAlign w:val="bottom"/>
            <w:hideMark/>
          </w:tcPr>
          <w:p w14:paraId="73A8FFF2" w14:textId="77777777" w:rsidR="00F16CB6" w:rsidRPr="00F16CB6" w:rsidRDefault="00F16CB6">
            <w:pPr>
              <w:jc w:val="right"/>
              <w:rPr>
                <w:rFonts w:asciiTheme="majorHAnsi" w:hAnsiTheme="majorHAnsi" w:cstheme="majorHAnsi"/>
                <w:b/>
                <w:bCs/>
                <w:sz w:val="16"/>
                <w:szCs w:val="16"/>
              </w:rPr>
            </w:pPr>
            <w:r w:rsidRPr="00F16CB6">
              <w:rPr>
                <w:rFonts w:asciiTheme="majorHAnsi" w:hAnsiTheme="majorHAnsi" w:cstheme="majorHAnsi"/>
                <w:b/>
                <w:bCs/>
                <w:sz w:val="16"/>
                <w:szCs w:val="16"/>
              </w:rPr>
              <w:t> </w:t>
            </w:r>
          </w:p>
        </w:tc>
        <w:tc>
          <w:tcPr>
            <w:tcW w:w="1015" w:type="pct"/>
            <w:tcBorders>
              <w:top w:val="nil"/>
              <w:left w:val="nil"/>
              <w:bottom w:val="nil"/>
              <w:right w:val="nil"/>
            </w:tcBorders>
            <w:shd w:val="clear" w:color="000000" w:fill="FFFFFF"/>
            <w:vAlign w:val="bottom"/>
            <w:hideMark/>
          </w:tcPr>
          <w:p w14:paraId="356FDBE1" w14:textId="77777777" w:rsidR="00F16CB6" w:rsidRPr="00F16CB6" w:rsidRDefault="00F16CB6">
            <w:pPr>
              <w:jc w:val="right"/>
              <w:rPr>
                <w:rFonts w:asciiTheme="majorHAnsi" w:hAnsiTheme="majorHAnsi" w:cstheme="majorHAnsi"/>
                <w:b/>
                <w:bCs/>
                <w:sz w:val="16"/>
                <w:szCs w:val="16"/>
              </w:rPr>
            </w:pPr>
            <w:r w:rsidRPr="00F16CB6">
              <w:rPr>
                <w:rFonts w:asciiTheme="majorHAnsi" w:hAnsiTheme="majorHAnsi" w:cstheme="majorHAnsi"/>
                <w:b/>
                <w:bCs/>
                <w:sz w:val="16"/>
                <w:szCs w:val="16"/>
              </w:rPr>
              <w:t> </w:t>
            </w:r>
          </w:p>
        </w:tc>
      </w:tr>
      <w:tr w:rsidR="00F16CB6" w:rsidRPr="00F16CB6" w14:paraId="2155D28F" w14:textId="77777777" w:rsidTr="00F16CB6">
        <w:trPr>
          <w:trHeight w:hRule="exact" w:val="227"/>
        </w:trPr>
        <w:tc>
          <w:tcPr>
            <w:tcW w:w="1727" w:type="pct"/>
            <w:tcBorders>
              <w:top w:val="nil"/>
              <w:left w:val="nil"/>
              <w:bottom w:val="nil"/>
              <w:right w:val="nil"/>
            </w:tcBorders>
            <w:shd w:val="clear" w:color="000000" w:fill="FFFFFF"/>
            <w:noWrap/>
            <w:vAlign w:val="bottom"/>
            <w:hideMark/>
          </w:tcPr>
          <w:p w14:paraId="5074FDB3" w14:textId="77777777" w:rsidR="00F16CB6" w:rsidRPr="00F16CB6" w:rsidRDefault="00F16CB6">
            <w:pPr>
              <w:jc w:val="center"/>
              <w:rPr>
                <w:rFonts w:asciiTheme="majorHAnsi" w:hAnsiTheme="majorHAnsi" w:cstheme="majorHAnsi"/>
                <w:b/>
                <w:bCs/>
                <w:sz w:val="16"/>
                <w:szCs w:val="16"/>
              </w:rPr>
            </w:pPr>
            <w:r w:rsidRPr="00F16CB6">
              <w:rPr>
                <w:rFonts w:asciiTheme="majorHAnsi" w:hAnsiTheme="majorHAnsi" w:cstheme="majorHAnsi"/>
                <w:b/>
                <w:bCs/>
                <w:sz w:val="16"/>
                <w:szCs w:val="16"/>
              </w:rPr>
              <w:t> </w:t>
            </w:r>
          </w:p>
        </w:tc>
        <w:tc>
          <w:tcPr>
            <w:tcW w:w="86" w:type="pct"/>
            <w:tcBorders>
              <w:top w:val="nil"/>
              <w:left w:val="nil"/>
              <w:bottom w:val="nil"/>
              <w:right w:val="nil"/>
            </w:tcBorders>
            <w:shd w:val="clear" w:color="000000" w:fill="FFFFFF"/>
            <w:noWrap/>
            <w:vAlign w:val="bottom"/>
            <w:hideMark/>
          </w:tcPr>
          <w:p w14:paraId="33359AAA" w14:textId="77777777" w:rsidR="00F16CB6" w:rsidRPr="00F16CB6" w:rsidRDefault="00F16CB6">
            <w:pPr>
              <w:jc w:val="center"/>
              <w:rPr>
                <w:rFonts w:asciiTheme="majorHAnsi" w:hAnsiTheme="majorHAnsi" w:cstheme="majorHAnsi"/>
                <w:b/>
                <w:bCs/>
                <w:sz w:val="16"/>
                <w:szCs w:val="16"/>
              </w:rPr>
            </w:pPr>
            <w:r w:rsidRPr="00F16CB6">
              <w:rPr>
                <w:rFonts w:asciiTheme="majorHAnsi" w:hAnsiTheme="majorHAnsi" w:cstheme="majorHAnsi"/>
                <w:b/>
                <w:bCs/>
                <w:sz w:val="16"/>
                <w:szCs w:val="16"/>
              </w:rPr>
              <w:t> </w:t>
            </w:r>
          </w:p>
        </w:tc>
        <w:tc>
          <w:tcPr>
            <w:tcW w:w="1374" w:type="pct"/>
            <w:tcBorders>
              <w:top w:val="nil"/>
              <w:left w:val="nil"/>
              <w:bottom w:val="nil"/>
              <w:right w:val="nil"/>
            </w:tcBorders>
            <w:shd w:val="clear" w:color="000000" w:fill="FFFFFF"/>
            <w:noWrap/>
            <w:vAlign w:val="bottom"/>
            <w:hideMark/>
          </w:tcPr>
          <w:p w14:paraId="2A7B2F0C" w14:textId="77777777" w:rsidR="00F16CB6" w:rsidRPr="00F16CB6" w:rsidRDefault="00F16CB6">
            <w:pPr>
              <w:jc w:val="center"/>
              <w:rPr>
                <w:rFonts w:asciiTheme="majorHAnsi" w:hAnsiTheme="majorHAnsi" w:cstheme="majorHAnsi"/>
                <w:b/>
                <w:bCs/>
                <w:sz w:val="16"/>
                <w:szCs w:val="16"/>
              </w:rPr>
            </w:pPr>
            <w:r w:rsidRPr="00F16CB6">
              <w:rPr>
                <w:rFonts w:asciiTheme="majorHAnsi" w:hAnsiTheme="majorHAnsi" w:cstheme="majorHAnsi"/>
                <w:b/>
                <w:bCs/>
                <w:sz w:val="16"/>
                <w:szCs w:val="16"/>
              </w:rPr>
              <w:t> </w:t>
            </w:r>
          </w:p>
        </w:tc>
        <w:tc>
          <w:tcPr>
            <w:tcW w:w="798" w:type="pct"/>
            <w:tcBorders>
              <w:top w:val="nil"/>
              <w:left w:val="nil"/>
              <w:bottom w:val="nil"/>
              <w:right w:val="nil"/>
            </w:tcBorders>
            <w:shd w:val="clear" w:color="auto" w:fill="auto"/>
            <w:vAlign w:val="bottom"/>
            <w:hideMark/>
          </w:tcPr>
          <w:p w14:paraId="52C8972E" w14:textId="77777777" w:rsidR="00F16CB6" w:rsidRPr="00F16CB6" w:rsidRDefault="00F16CB6" w:rsidP="00F16CB6">
            <w:pPr>
              <w:ind w:hanging="69"/>
              <w:jc w:val="right"/>
              <w:rPr>
                <w:rFonts w:asciiTheme="majorHAnsi" w:hAnsiTheme="majorHAnsi" w:cstheme="majorHAnsi"/>
                <w:b/>
                <w:bCs/>
                <w:sz w:val="16"/>
                <w:szCs w:val="16"/>
              </w:rPr>
            </w:pPr>
            <w:r w:rsidRPr="00F16CB6">
              <w:rPr>
                <w:rFonts w:asciiTheme="majorHAnsi" w:hAnsiTheme="majorHAnsi" w:cstheme="majorHAnsi"/>
                <w:b/>
                <w:bCs/>
                <w:sz w:val="16"/>
                <w:szCs w:val="16"/>
              </w:rPr>
              <w:t>01/01/2022</w:t>
            </w:r>
          </w:p>
        </w:tc>
        <w:tc>
          <w:tcPr>
            <w:tcW w:w="1015" w:type="pct"/>
            <w:tcBorders>
              <w:top w:val="nil"/>
              <w:left w:val="nil"/>
              <w:bottom w:val="nil"/>
              <w:right w:val="nil"/>
            </w:tcBorders>
            <w:shd w:val="clear" w:color="auto" w:fill="auto"/>
            <w:noWrap/>
            <w:vAlign w:val="bottom"/>
            <w:hideMark/>
          </w:tcPr>
          <w:p w14:paraId="745CA5E9" w14:textId="77777777" w:rsidR="00F16CB6" w:rsidRPr="00F16CB6" w:rsidRDefault="00F16CB6" w:rsidP="00F16CB6">
            <w:pPr>
              <w:jc w:val="right"/>
              <w:rPr>
                <w:rFonts w:asciiTheme="majorHAnsi" w:hAnsiTheme="majorHAnsi" w:cstheme="majorHAnsi"/>
                <w:b/>
                <w:bCs/>
                <w:sz w:val="16"/>
                <w:szCs w:val="16"/>
              </w:rPr>
            </w:pPr>
            <w:r w:rsidRPr="00F16CB6">
              <w:rPr>
                <w:rFonts w:asciiTheme="majorHAnsi" w:hAnsiTheme="majorHAnsi" w:cstheme="majorHAnsi"/>
                <w:b/>
                <w:bCs/>
                <w:sz w:val="16"/>
                <w:szCs w:val="16"/>
              </w:rPr>
              <w:t>01/01/2021</w:t>
            </w:r>
          </w:p>
        </w:tc>
      </w:tr>
      <w:tr w:rsidR="00F16CB6" w:rsidRPr="00F16CB6" w14:paraId="0484A0AD" w14:textId="77777777" w:rsidTr="00F16CB6">
        <w:trPr>
          <w:trHeight w:hRule="exact" w:val="227"/>
        </w:trPr>
        <w:tc>
          <w:tcPr>
            <w:tcW w:w="1727" w:type="pct"/>
            <w:tcBorders>
              <w:top w:val="nil"/>
              <w:left w:val="nil"/>
              <w:bottom w:val="nil"/>
              <w:right w:val="nil"/>
            </w:tcBorders>
            <w:shd w:val="clear" w:color="000000" w:fill="FFFFFF"/>
            <w:noWrap/>
            <w:vAlign w:val="bottom"/>
            <w:hideMark/>
          </w:tcPr>
          <w:p w14:paraId="747B759D" w14:textId="77777777" w:rsidR="00F16CB6" w:rsidRPr="00F16CB6" w:rsidRDefault="00F16CB6">
            <w:pPr>
              <w:jc w:val="center"/>
              <w:rPr>
                <w:rFonts w:asciiTheme="majorHAnsi" w:hAnsiTheme="majorHAnsi" w:cstheme="majorHAnsi"/>
                <w:b/>
                <w:bCs/>
                <w:sz w:val="16"/>
                <w:szCs w:val="16"/>
              </w:rPr>
            </w:pPr>
            <w:r w:rsidRPr="00F16CB6">
              <w:rPr>
                <w:rFonts w:asciiTheme="majorHAnsi" w:hAnsiTheme="majorHAnsi" w:cstheme="majorHAnsi"/>
                <w:b/>
                <w:bCs/>
                <w:sz w:val="16"/>
                <w:szCs w:val="16"/>
              </w:rPr>
              <w:t> </w:t>
            </w:r>
          </w:p>
        </w:tc>
        <w:tc>
          <w:tcPr>
            <w:tcW w:w="86" w:type="pct"/>
            <w:tcBorders>
              <w:top w:val="nil"/>
              <w:left w:val="nil"/>
              <w:bottom w:val="nil"/>
              <w:right w:val="nil"/>
            </w:tcBorders>
            <w:shd w:val="clear" w:color="000000" w:fill="FFFFFF"/>
            <w:noWrap/>
            <w:vAlign w:val="bottom"/>
            <w:hideMark/>
          </w:tcPr>
          <w:p w14:paraId="3F5BF4AE" w14:textId="77777777" w:rsidR="00F16CB6" w:rsidRPr="00F16CB6" w:rsidRDefault="00F16CB6">
            <w:pPr>
              <w:jc w:val="center"/>
              <w:rPr>
                <w:rFonts w:asciiTheme="majorHAnsi" w:hAnsiTheme="majorHAnsi" w:cstheme="majorHAnsi"/>
                <w:b/>
                <w:bCs/>
                <w:sz w:val="16"/>
                <w:szCs w:val="16"/>
              </w:rPr>
            </w:pPr>
            <w:r w:rsidRPr="00F16CB6">
              <w:rPr>
                <w:rFonts w:asciiTheme="majorHAnsi" w:hAnsiTheme="majorHAnsi" w:cstheme="majorHAnsi"/>
                <w:b/>
                <w:bCs/>
                <w:sz w:val="16"/>
                <w:szCs w:val="16"/>
              </w:rPr>
              <w:t> </w:t>
            </w:r>
          </w:p>
        </w:tc>
        <w:tc>
          <w:tcPr>
            <w:tcW w:w="1374" w:type="pct"/>
            <w:tcBorders>
              <w:top w:val="nil"/>
              <w:left w:val="nil"/>
              <w:bottom w:val="nil"/>
              <w:right w:val="nil"/>
            </w:tcBorders>
            <w:shd w:val="clear" w:color="000000" w:fill="FFFFFF"/>
            <w:noWrap/>
            <w:vAlign w:val="bottom"/>
            <w:hideMark/>
          </w:tcPr>
          <w:p w14:paraId="45C69FBC" w14:textId="77777777" w:rsidR="00F16CB6" w:rsidRPr="00F16CB6" w:rsidRDefault="00F16CB6">
            <w:pPr>
              <w:jc w:val="center"/>
              <w:rPr>
                <w:rFonts w:asciiTheme="majorHAnsi" w:hAnsiTheme="majorHAnsi" w:cstheme="majorHAnsi"/>
                <w:b/>
                <w:bCs/>
                <w:sz w:val="16"/>
                <w:szCs w:val="16"/>
              </w:rPr>
            </w:pPr>
            <w:r w:rsidRPr="00F16CB6">
              <w:rPr>
                <w:rFonts w:asciiTheme="majorHAnsi" w:hAnsiTheme="majorHAnsi" w:cstheme="majorHAnsi"/>
                <w:b/>
                <w:bCs/>
                <w:sz w:val="16"/>
                <w:szCs w:val="16"/>
              </w:rPr>
              <w:t> </w:t>
            </w:r>
          </w:p>
        </w:tc>
        <w:tc>
          <w:tcPr>
            <w:tcW w:w="798" w:type="pct"/>
            <w:tcBorders>
              <w:top w:val="nil"/>
              <w:left w:val="nil"/>
              <w:bottom w:val="nil"/>
              <w:right w:val="nil"/>
            </w:tcBorders>
            <w:shd w:val="clear" w:color="auto" w:fill="auto"/>
            <w:noWrap/>
            <w:vAlign w:val="bottom"/>
            <w:hideMark/>
          </w:tcPr>
          <w:p w14:paraId="6FEAD80B" w14:textId="77777777" w:rsidR="00F16CB6" w:rsidRPr="00F16CB6" w:rsidRDefault="00F16CB6" w:rsidP="00F16CB6">
            <w:pPr>
              <w:ind w:hanging="69"/>
              <w:jc w:val="right"/>
              <w:rPr>
                <w:rFonts w:asciiTheme="majorHAnsi" w:hAnsiTheme="majorHAnsi" w:cstheme="majorHAnsi"/>
                <w:b/>
                <w:bCs/>
                <w:sz w:val="16"/>
                <w:szCs w:val="16"/>
              </w:rPr>
            </w:pPr>
            <w:r w:rsidRPr="00F16CB6">
              <w:rPr>
                <w:rFonts w:asciiTheme="majorHAnsi" w:hAnsiTheme="majorHAnsi" w:cstheme="majorHAnsi"/>
                <w:b/>
                <w:bCs/>
                <w:sz w:val="16"/>
                <w:szCs w:val="16"/>
              </w:rPr>
              <w:t xml:space="preserve"> a 30/06/2022</w:t>
            </w:r>
          </w:p>
        </w:tc>
        <w:tc>
          <w:tcPr>
            <w:tcW w:w="1015" w:type="pct"/>
            <w:tcBorders>
              <w:top w:val="nil"/>
              <w:left w:val="nil"/>
              <w:bottom w:val="nil"/>
              <w:right w:val="nil"/>
            </w:tcBorders>
            <w:shd w:val="clear" w:color="auto" w:fill="auto"/>
            <w:noWrap/>
            <w:vAlign w:val="bottom"/>
            <w:hideMark/>
          </w:tcPr>
          <w:p w14:paraId="1F6F1BA7" w14:textId="77777777" w:rsidR="00F16CB6" w:rsidRPr="00F16CB6" w:rsidRDefault="00F16CB6" w:rsidP="00F16CB6">
            <w:pPr>
              <w:jc w:val="right"/>
              <w:rPr>
                <w:rFonts w:asciiTheme="majorHAnsi" w:hAnsiTheme="majorHAnsi" w:cstheme="majorHAnsi"/>
                <w:b/>
                <w:bCs/>
                <w:sz w:val="16"/>
                <w:szCs w:val="16"/>
              </w:rPr>
            </w:pPr>
            <w:r w:rsidRPr="00F16CB6">
              <w:rPr>
                <w:rFonts w:asciiTheme="majorHAnsi" w:hAnsiTheme="majorHAnsi" w:cstheme="majorHAnsi"/>
                <w:b/>
                <w:bCs/>
                <w:sz w:val="16"/>
                <w:szCs w:val="16"/>
              </w:rPr>
              <w:t xml:space="preserve"> a 30/06/2021</w:t>
            </w:r>
          </w:p>
        </w:tc>
      </w:tr>
      <w:tr w:rsidR="00F16CB6" w:rsidRPr="00F16CB6" w14:paraId="032B7DA4" w14:textId="77777777" w:rsidTr="00F16CB6">
        <w:trPr>
          <w:trHeight w:hRule="exact" w:val="227"/>
        </w:trPr>
        <w:tc>
          <w:tcPr>
            <w:tcW w:w="1727" w:type="pct"/>
            <w:tcBorders>
              <w:top w:val="nil"/>
              <w:left w:val="nil"/>
              <w:bottom w:val="nil"/>
              <w:right w:val="nil"/>
            </w:tcBorders>
            <w:shd w:val="clear" w:color="000000" w:fill="FFFFFF"/>
            <w:noWrap/>
            <w:vAlign w:val="bottom"/>
            <w:hideMark/>
          </w:tcPr>
          <w:p w14:paraId="6F14B981" w14:textId="77777777" w:rsidR="00F16CB6" w:rsidRPr="00F16CB6" w:rsidRDefault="00F16CB6">
            <w:pPr>
              <w:jc w:val="center"/>
              <w:rPr>
                <w:rFonts w:asciiTheme="majorHAnsi" w:hAnsiTheme="majorHAnsi" w:cstheme="majorHAnsi"/>
                <w:b/>
                <w:bCs/>
                <w:sz w:val="16"/>
                <w:szCs w:val="16"/>
              </w:rPr>
            </w:pPr>
            <w:r w:rsidRPr="00F16CB6">
              <w:rPr>
                <w:rFonts w:asciiTheme="majorHAnsi" w:hAnsiTheme="majorHAnsi" w:cstheme="majorHAnsi"/>
                <w:b/>
                <w:bCs/>
                <w:sz w:val="16"/>
                <w:szCs w:val="16"/>
              </w:rPr>
              <w:t> </w:t>
            </w:r>
          </w:p>
        </w:tc>
        <w:tc>
          <w:tcPr>
            <w:tcW w:w="86" w:type="pct"/>
            <w:tcBorders>
              <w:top w:val="nil"/>
              <w:left w:val="nil"/>
              <w:bottom w:val="nil"/>
              <w:right w:val="nil"/>
            </w:tcBorders>
            <w:shd w:val="clear" w:color="000000" w:fill="FFFFFF"/>
            <w:noWrap/>
            <w:vAlign w:val="bottom"/>
            <w:hideMark/>
          </w:tcPr>
          <w:p w14:paraId="091D6D99" w14:textId="77777777" w:rsidR="00F16CB6" w:rsidRPr="00F16CB6" w:rsidRDefault="00F16CB6">
            <w:pPr>
              <w:jc w:val="center"/>
              <w:rPr>
                <w:rFonts w:asciiTheme="majorHAnsi" w:hAnsiTheme="majorHAnsi" w:cstheme="majorHAnsi"/>
                <w:b/>
                <w:bCs/>
                <w:sz w:val="16"/>
                <w:szCs w:val="16"/>
              </w:rPr>
            </w:pPr>
            <w:r w:rsidRPr="00F16CB6">
              <w:rPr>
                <w:rFonts w:asciiTheme="majorHAnsi" w:hAnsiTheme="majorHAnsi" w:cstheme="majorHAnsi"/>
                <w:b/>
                <w:bCs/>
                <w:sz w:val="16"/>
                <w:szCs w:val="16"/>
              </w:rPr>
              <w:t> </w:t>
            </w:r>
          </w:p>
        </w:tc>
        <w:tc>
          <w:tcPr>
            <w:tcW w:w="1374" w:type="pct"/>
            <w:tcBorders>
              <w:top w:val="nil"/>
              <w:left w:val="nil"/>
              <w:bottom w:val="nil"/>
              <w:right w:val="nil"/>
            </w:tcBorders>
            <w:shd w:val="clear" w:color="000000" w:fill="FFFFFF"/>
            <w:noWrap/>
            <w:vAlign w:val="bottom"/>
            <w:hideMark/>
          </w:tcPr>
          <w:p w14:paraId="49023111" w14:textId="77777777" w:rsidR="00F16CB6" w:rsidRPr="00F16CB6" w:rsidRDefault="00F16CB6">
            <w:pPr>
              <w:rPr>
                <w:rFonts w:asciiTheme="majorHAnsi" w:hAnsiTheme="majorHAnsi" w:cstheme="majorHAnsi"/>
                <w:sz w:val="16"/>
                <w:szCs w:val="16"/>
              </w:rPr>
            </w:pPr>
            <w:r w:rsidRPr="00F16CB6">
              <w:rPr>
                <w:rFonts w:asciiTheme="majorHAnsi" w:hAnsiTheme="majorHAnsi" w:cstheme="majorHAnsi"/>
                <w:sz w:val="16"/>
                <w:szCs w:val="16"/>
              </w:rPr>
              <w:t> </w:t>
            </w:r>
          </w:p>
        </w:tc>
        <w:tc>
          <w:tcPr>
            <w:tcW w:w="798" w:type="pct"/>
            <w:tcBorders>
              <w:top w:val="nil"/>
              <w:left w:val="nil"/>
              <w:bottom w:val="nil"/>
              <w:right w:val="nil"/>
            </w:tcBorders>
            <w:shd w:val="clear" w:color="000000" w:fill="FFFFFF"/>
            <w:noWrap/>
            <w:vAlign w:val="bottom"/>
            <w:hideMark/>
          </w:tcPr>
          <w:p w14:paraId="742132A3" w14:textId="77777777" w:rsidR="00F16CB6" w:rsidRPr="00F16CB6" w:rsidRDefault="00F16CB6" w:rsidP="00F16CB6">
            <w:pPr>
              <w:ind w:hanging="69"/>
              <w:jc w:val="right"/>
              <w:rPr>
                <w:rFonts w:asciiTheme="majorHAnsi" w:hAnsiTheme="majorHAnsi" w:cstheme="majorHAnsi"/>
                <w:b/>
                <w:bCs/>
                <w:sz w:val="16"/>
                <w:szCs w:val="16"/>
              </w:rPr>
            </w:pPr>
            <w:r w:rsidRPr="00F16CB6">
              <w:rPr>
                <w:rFonts w:asciiTheme="majorHAnsi" w:hAnsiTheme="majorHAnsi" w:cstheme="majorHAnsi"/>
                <w:b/>
                <w:bCs/>
                <w:sz w:val="16"/>
                <w:szCs w:val="16"/>
              </w:rPr>
              <w:t> </w:t>
            </w:r>
          </w:p>
        </w:tc>
        <w:tc>
          <w:tcPr>
            <w:tcW w:w="1015" w:type="pct"/>
            <w:tcBorders>
              <w:top w:val="nil"/>
              <w:left w:val="nil"/>
              <w:bottom w:val="nil"/>
              <w:right w:val="nil"/>
            </w:tcBorders>
            <w:shd w:val="clear" w:color="000000" w:fill="FFFFFF"/>
            <w:noWrap/>
            <w:vAlign w:val="bottom"/>
            <w:hideMark/>
          </w:tcPr>
          <w:p w14:paraId="38A092C6" w14:textId="77777777" w:rsidR="00F16CB6" w:rsidRPr="00F16CB6" w:rsidRDefault="00F16CB6" w:rsidP="00F16CB6">
            <w:pPr>
              <w:jc w:val="right"/>
              <w:rPr>
                <w:rFonts w:asciiTheme="majorHAnsi" w:hAnsiTheme="majorHAnsi" w:cstheme="majorHAnsi"/>
                <w:sz w:val="16"/>
                <w:szCs w:val="16"/>
              </w:rPr>
            </w:pPr>
            <w:r w:rsidRPr="00F16CB6">
              <w:rPr>
                <w:rFonts w:asciiTheme="majorHAnsi" w:hAnsiTheme="majorHAnsi" w:cstheme="majorHAnsi"/>
                <w:sz w:val="16"/>
                <w:szCs w:val="16"/>
              </w:rPr>
              <w:t> </w:t>
            </w:r>
          </w:p>
        </w:tc>
      </w:tr>
      <w:tr w:rsidR="00F16CB6" w:rsidRPr="00F16CB6" w14:paraId="2823AB5B" w14:textId="77777777" w:rsidTr="00F16CB6">
        <w:trPr>
          <w:trHeight w:hRule="exact" w:val="227"/>
        </w:trPr>
        <w:tc>
          <w:tcPr>
            <w:tcW w:w="1727" w:type="pct"/>
            <w:tcBorders>
              <w:top w:val="nil"/>
              <w:left w:val="nil"/>
              <w:bottom w:val="nil"/>
              <w:right w:val="nil"/>
            </w:tcBorders>
            <w:shd w:val="clear" w:color="000000" w:fill="FFFFFF"/>
            <w:noWrap/>
            <w:vAlign w:val="bottom"/>
            <w:hideMark/>
          </w:tcPr>
          <w:p w14:paraId="367FA989" w14:textId="77777777" w:rsidR="00F16CB6" w:rsidRPr="00F16CB6" w:rsidRDefault="00F16CB6">
            <w:pPr>
              <w:rPr>
                <w:rFonts w:asciiTheme="majorHAnsi" w:hAnsiTheme="majorHAnsi" w:cstheme="majorHAnsi"/>
                <w:b/>
                <w:bCs/>
                <w:sz w:val="16"/>
                <w:szCs w:val="16"/>
              </w:rPr>
            </w:pPr>
            <w:r w:rsidRPr="00F16CB6">
              <w:rPr>
                <w:rFonts w:asciiTheme="majorHAnsi" w:hAnsiTheme="majorHAnsi" w:cstheme="majorHAnsi"/>
                <w:b/>
                <w:bCs/>
                <w:sz w:val="16"/>
                <w:szCs w:val="16"/>
              </w:rPr>
              <w:t>I. RECEITAS</w:t>
            </w:r>
          </w:p>
        </w:tc>
        <w:tc>
          <w:tcPr>
            <w:tcW w:w="86" w:type="pct"/>
            <w:tcBorders>
              <w:top w:val="nil"/>
              <w:left w:val="nil"/>
              <w:bottom w:val="nil"/>
              <w:right w:val="nil"/>
            </w:tcBorders>
            <w:shd w:val="clear" w:color="000000" w:fill="FFFFFF"/>
            <w:noWrap/>
            <w:vAlign w:val="bottom"/>
            <w:hideMark/>
          </w:tcPr>
          <w:p w14:paraId="5A97C603" w14:textId="77777777" w:rsidR="00F16CB6" w:rsidRPr="00F16CB6" w:rsidRDefault="00F16CB6">
            <w:pPr>
              <w:rPr>
                <w:rFonts w:asciiTheme="majorHAnsi" w:hAnsiTheme="majorHAnsi" w:cstheme="majorHAnsi"/>
                <w:b/>
                <w:bCs/>
                <w:sz w:val="16"/>
                <w:szCs w:val="16"/>
              </w:rPr>
            </w:pPr>
            <w:r w:rsidRPr="00F16CB6">
              <w:rPr>
                <w:rFonts w:asciiTheme="majorHAnsi" w:hAnsiTheme="majorHAnsi" w:cstheme="majorHAnsi"/>
                <w:b/>
                <w:bCs/>
                <w:sz w:val="16"/>
                <w:szCs w:val="16"/>
              </w:rPr>
              <w:t> </w:t>
            </w:r>
          </w:p>
        </w:tc>
        <w:tc>
          <w:tcPr>
            <w:tcW w:w="1374" w:type="pct"/>
            <w:tcBorders>
              <w:top w:val="nil"/>
              <w:left w:val="nil"/>
              <w:bottom w:val="nil"/>
              <w:right w:val="nil"/>
            </w:tcBorders>
            <w:shd w:val="clear" w:color="000000" w:fill="FFFFFF"/>
            <w:noWrap/>
            <w:vAlign w:val="bottom"/>
            <w:hideMark/>
          </w:tcPr>
          <w:p w14:paraId="0B943863" w14:textId="77777777" w:rsidR="00F16CB6" w:rsidRPr="00F16CB6" w:rsidRDefault="00F16CB6">
            <w:pPr>
              <w:rPr>
                <w:rFonts w:asciiTheme="majorHAnsi" w:hAnsiTheme="majorHAnsi" w:cstheme="majorHAnsi"/>
                <w:sz w:val="16"/>
                <w:szCs w:val="16"/>
              </w:rPr>
            </w:pPr>
            <w:r w:rsidRPr="00F16CB6">
              <w:rPr>
                <w:rFonts w:asciiTheme="majorHAnsi" w:hAnsiTheme="majorHAnsi" w:cstheme="majorHAnsi"/>
                <w:sz w:val="16"/>
                <w:szCs w:val="16"/>
              </w:rPr>
              <w:t> </w:t>
            </w:r>
          </w:p>
        </w:tc>
        <w:tc>
          <w:tcPr>
            <w:tcW w:w="798" w:type="pct"/>
            <w:tcBorders>
              <w:top w:val="nil"/>
              <w:left w:val="nil"/>
              <w:bottom w:val="nil"/>
              <w:right w:val="nil"/>
            </w:tcBorders>
            <w:shd w:val="clear" w:color="000000" w:fill="FFFFFF"/>
            <w:noWrap/>
            <w:vAlign w:val="bottom"/>
            <w:hideMark/>
          </w:tcPr>
          <w:p w14:paraId="5043D287" w14:textId="77777777" w:rsidR="00F16CB6" w:rsidRPr="00F16CB6" w:rsidRDefault="00F16CB6" w:rsidP="00F16CB6">
            <w:pPr>
              <w:ind w:hanging="69"/>
              <w:jc w:val="right"/>
              <w:rPr>
                <w:rFonts w:asciiTheme="majorHAnsi" w:hAnsiTheme="majorHAnsi" w:cstheme="majorHAnsi"/>
                <w:b/>
                <w:bCs/>
                <w:sz w:val="16"/>
                <w:szCs w:val="16"/>
              </w:rPr>
            </w:pPr>
            <w:r w:rsidRPr="00F16CB6">
              <w:rPr>
                <w:rFonts w:asciiTheme="majorHAnsi" w:hAnsiTheme="majorHAnsi" w:cstheme="majorHAnsi"/>
                <w:b/>
                <w:bCs/>
                <w:sz w:val="16"/>
                <w:szCs w:val="16"/>
              </w:rPr>
              <w:t>78.244.200</w:t>
            </w:r>
          </w:p>
        </w:tc>
        <w:tc>
          <w:tcPr>
            <w:tcW w:w="1015" w:type="pct"/>
            <w:tcBorders>
              <w:top w:val="nil"/>
              <w:left w:val="nil"/>
              <w:bottom w:val="nil"/>
              <w:right w:val="nil"/>
            </w:tcBorders>
            <w:shd w:val="clear" w:color="000000" w:fill="FFFFFF"/>
            <w:noWrap/>
            <w:vAlign w:val="bottom"/>
            <w:hideMark/>
          </w:tcPr>
          <w:p w14:paraId="54F07775" w14:textId="77777777" w:rsidR="00F16CB6" w:rsidRPr="00F16CB6" w:rsidRDefault="00F16CB6" w:rsidP="00F16CB6">
            <w:pPr>
              <w:jc w:val="right"/>
              <w:rPr>
                <w:rFonts w:asciiTheme="majorHAnsi" w:hAnsiTheme="majorHAnsi" w:cstheme="majorHAnsi"/>
                <w:b/>
                <w:bCs/>
                <w:sz w:val="16"/>
                <w:szCs w:val="16"/>
              </w:rPr>
            </w:pPr>
            <w:r w:rsidRPr="00F16CB6">
              <w:rPr>
                <w:rFonts w:asciiTheme="majorHAnsi" w:hAnsiTheme="majorHAnsi" w:cstheme="majorHAnsi"/>
                <w:b/>
                <w:bCs/>
                <w:sz w:val="16"/>
                <w:szCs w:val="16"/>
              </w:rPr>
              <w:t>77.148.257</w:t>
            </w:r>
          </w:p>
        </w:tc>
      </w:tr>
      <w:tr w:rsidR="00F16CB6" w:rsidRPr="00F16CB6" w14:paraId="5A641EFA" w14:textId="77777777" w:rsidTr="00F16CB6">
        <w:trPr>
          <w:trHeight w:hRule="exact" w:val="227"/>
        </w:trPr>
        <w:tc>
          <w:tcPr>
            <w:tcW w:w="1813" w:type="pct"/>
            <w:gridSpan w:val="2"/>
            <w:tcBorders>
              <w:top w:val="nil"/>
              <w:left w:val="nil"/>
              <w:bottom w:val="nil"/>
              <w:right w:val="nil"/>
            </w:tcBorders>
            <w:shd w:val="clear" w:color="000000" w:fill="FFFFFF"/>
            <w:noWrap/>
            <w:vAlign w:val="bottom"/>
            <w:hideMark/>
          </w:tcPr>
          <w:p w14:paraId="7B719274" w14:textId="77777777" w:rsidR="00F16CB6" w:rsidRPr="00F16CB6" w:rsidRDefault="00F16CB6">
            <w:pPr>
              <w:rPr>
                <w:rFonts w:asciiTheme="majorHAnsi" w:hAnsiTheme="majorHAnsi" w:cstheme="majorHAnsi"/>
                <w:sz w:val="16"/>
                <w:szCs w:val="16"/>
              </w:rPr>
            </w:pPr>
            <w:r w:rsidRPr="00F16CB6">
              <w:rPr>
                <w:rFonts w:asciiTheme="majorHAnsi" w:hAnsiTheme="majorHAnsi" w:cstheme="majorHAnsi"/>
                <w:sz w:val="16"/>
                <w:szCs w:val="16"/>
              </w:rPr>
              <w:t xml:space="preserve">        Receitas de Exploração da Ferrovia</w:t>
            </w:r>
          </w:p>
        </w:tc>
        <w:tc>
          <w:tcPr>
            <w:tcW w:w="1374" w:type="pct"/>
            <w:tcBorders>
              <w:top w:val="nil"/>
              <w:left w:val="nil"/>
              <w:bottom w:val="nil"/>
              <w:right w:val="nil"/>
            </w:tcBorders>
            <w:shd w:val="clear" w:color="000000" w:fill="FFFFFF"/>
            <w:noWrap/>
            <w:vAlign w:val="bottom"/>
            <w:hideMark/>
          </w:tcPr>
          <w:p w14:paraId="4F0C6885" w14:textId="77777777" w:rsidR="00F16CB6" w:rsidRPr="00F16CB6" w:rsidRDefault="00F16CB6">
            <w:pPr>
              <w:rPr>
                <w:rFonts w:asciiTheme="majorHAnsi" w:hAnsiTheme="majorHAnsi" w:cstheme="majorHAnsi"/>
                <w:sz w:val="16"/>
                <w:szCs w:val="16"/>
              </w:rPr>
            </w:pPr>
            <w:r w:rsidRPr="00F16CB6">
              <w:rPr>
                <w:rFonts w:asciiTheme="majorHAnsi" w:hAnsiTheme="majorHAnsi" w:cstheme="majorHAnsi"/>
                <w:sz w:val="16"/>
                <w:szCs w:val="16"/>
              </w:rPr>
              <w:t> </w:t>
            </w:r>
          </w:p>
        </w:tc>
        <w:tc>
          <w:tcPr>
            <w:tcW w:w="798" w:type="pct"/>
            <w:tcBorders>
              <w:top w:val="nil"/>
              <w:left w:val="nil"/>
              <w:bottom w:val="nil"/>
              <w:right w:val="nil"/>
            </w:tcBorders>
            <w:shd w:val="clear" w:color="000000" w:fill="FFFFFF"/>
            <w:noWrap/>
            <w:vAlign w:val="bottom"/>
            <w:hideMark/>
          </w:tcPr>
          <w:p w14:paraId="2A12A43D" w14:textId="77777777" w:rsidR="00F16CB6" w:rsidRPr="00F16CB6" w:rsidRDefault="00F16CB6" w:rsidP="00F16CB6">
            <w:pPr>
              <w:ind w:hanging="69"/>
              <w:jc w:val="right"/>
              <w:rPr>
                <w:rFonts w:asciiTheme="majorHAnsi" w:hAnsiTheme="majorHAnsi" w:cstheme="majorHAnsi"/>
                <w:sz w:val="16"/>
                <w:szCs w:val="16"/>
              </w:rPr>
            </w:pPr>
            <w:r w:rsidRPr="00F16CB6">
              <w:rPr>
                <w:rFonts w:asciiTheme="majorHAnsi" w:hAnsiTheme="majorHAnsi" w:cstheme="majorHAnsi"/>
                <w:sz w:val="16"/>
                <w:szCs w:val="16"/>
              </w:rPr>
              <w:t>16.538</w:t>
            </w:r>
          </w:p>
        </w:tc>
        <w:tc>
          <w:tcPr>
            <w:tcW w:w="1015" w:type="pct"/>
            <w:tcBorders>
              <w:top w:val="nil"/>
              <w:left w:val="nil"/>
              <w:bottom w:val="nil"/>
              <w:right w:val="nil"/>
            </w:tcBorders>
            <w:shd w:val="clear" w:color="000000" w:fill="FFFFFF"/>
            <w:noWrap/>
            <w:vAlign w:val="bottom"/>
            <w:hideMark/>
          </w:tcPr>
          <w:p w14:paraId="28337D8C" w14:textId="77777777" w:rsidR="00F16CB6" w:rsidRPr="00F16CB6" w:rsidRDefault="00F16CB6" w:rsidP="00F16CB6">
            <w:pPr>
              <w:jc w:val="right"/>
              <w:rPr>
                <w:rFonts w:asciiTheme="majorHAnsi" w:hAnsiTheme="majorHAnsi" w:cstheme="majorHAnsi"/>
                <w:sz w:val="16"/>
                <w:szCs w:val="16"/>
              </w:rPr>
            </w:pPr>
            <w:r w:rsidRPr="00F16CB6">
              <w:rPr>
                <w:rFonts w:asciiTheme="majorHAnsi" w:hAnsiTheme="majorHAnsi" w:cstheme="majorHAnsi"/>
                <w:sz w:val="16"/>
                <w:szCs w:val="16"/>
              </w:rPr>
              <w:t>110.877</w:t>
            </w:r>
          </w:p>
        </w:tc>
      </w:tr>
      <w:tr w:rsidR="00F16CB6" w:rsidRPr="00F16CB6" w14:paraId="185B6015" w14:textId="77777777" w:rsidTr="00F16CB6">
        <w:trPr>
          <w:trHeight w:hRule="exact" w:val="227"/>
        </w:trPr>
        <w:tc>
          <w:tcPr>
            <w:tcW w:w="1813" w:type="pct"/>
            <w:gridSpan w:val="2"/>
            <w:tcBorders>
              <w:top w:val="nil"/>
              <w:left w:val="nil"/>
              <w:bottom w:val="nil"/>
              <w:right w:val="nil"/>
            </w:tcBorders>
            <w:shd w:val="clear" w:color="000000" w:fill="FFFFFF"/>
            <w:noWrap/>
            <w:vAlign w:val="bottom"/>
            <w:hideMark/>
          </w:tcPr>
          <w:p w14:paraId="4E0542B9" w14:textId="77777777" w:rsidR="00F16CB6" w:rsidRPr="00F16CB6" w:rsidRDefault="00F16CB6">
            <w:pPr>
              <w:rPr>
                <w:rFonts w:asciiTheme="majorHAnsi" w:hAnsiTheme="majorHAnsi" w:cstheme="majorHAnsi"/>
                <w:sz w:val="16"/>
                <w:szCs w:val="16"/>
              </w:rPr>
            </w:pPr>
            <w:r w:rsidRPr="00F16CB6">
              <w:rPr>
                <w:rFonts w:asciiTheme="majorHAnsi" w:hAnsiTheme="majorHAnsi" w:cstheme="majorHAnsi"/>
                <w:sz w:val="16"/>
                <w:szCs w:val="16"/>
              </w:rPr>
              <w:t xml:space="preserve">        Permissões para uso de pátios</w:t>
            </w:r>
          </w:p>
        </w:tc>
        <w:tc>
          <w:tcPr>
            <w:tcW w:w="1374" w:type="pct"/>
            <w:tcBorders>
              <w:top w:val="nil"/>
              <w:left w:val="nil"/>
              <w:bottom w:val="nil"/>
              <w:right w:val="nil"/>
            </w:tcBorders>
            <w:shd w:val="clear" w:color="000000" w:fill="FFFFFF"/>
            <w:noWrap/>
            <w:vAlign w:val="bottom"/>
            <w:hideMark/>
          </w:tcPr>
          <w:p w14:paraId="3ADD8E3F" w14:textId="77777777" w:rsidR="00F16CB6" w:rsidRPr="00F16CB6" w:rsidRDefault="00F16CB6">
            <w:pPr>
              <w:rPr>
                <w:rFonts w:asciiTheme="majorHAnsi" w:hAnsiTheme="majorHAnsi" w:cstheme="majorHAnsi"/>
                <w:sz w:val="16"/>
                <w:szCs w:val="16"/>
              </w:rPr>
            </w:pPr>
            <w:r w:rsidRPr="00F16CB6">
              <w:rPr>
                <w:rFonts w:asciiTheme="majorHAnsi" w:hAnsiTheme="majorHAnsi" w:cstheme="majorHAnsi"/>
                <w:sz w:val="16"/>
                <w:szCs w:val="16"/>
              </w:rPr>
              <w:t> </w:t>
            </w:r>
          </w:p>
        </w:tc>
        <w:tc>
          <w:tcPr>
            <w:tcW w:w="798" w:type="pct"/>
            <w:tcBorders>
              <w:top w:val="nil"/>
              <w:left w:val="nil"/>
              <w:bottom w:val="nil"/>
              <w:right w:val="nil"/>
            </w:tcBorders>
            <w:shd w:val="clear" w:color="000000" w:fill="FFFFFF"/>
            <w:noWrap/>
            <w:vAlign w:val="bottom"/>
            <w:hideMark/>
          </w:tcPr>
          <w:p w14:paraId="60A6D4F6" w14:textId="77777777" w:rsidR="00F16CB6" w:rsidRPr="00F16CB6" w:rsidRDefault="00F16CB6" w:rsidP="00F16CB6">
            <w:pPr>
              <w:ind w:hanging="69"/>
              <w:jc w:val="right"/>
              <w:rPr>
                <w:rFonts w:asciiTheme="majorHAnsi" w:hAnsiTheme="majorHAnsi" w:cstheme="majorHAnsi"/>
                <w:sz w:val="16"/>
                <w:szCs w:val="16"/>
              </w:rPr>
            </w:pPr>
            <w:r w:rsidRPr="00F16CB6">
              <w:rPr>
                <w:rFonts w:asciiTheme="majorHAnsi" w:hAnsiTheme="majorHAnsi" w:cstheme="majorHAnsi"/>
                <w:sz w:val="16"/>
                <w:szCs w:val="16"/>
              </w:rPr>
              <w:t>2.141.455</w:t>
            </w:r>
          </w:p>
        </w:tc>
        <w:tc>
          <w:tcPr>
            <w:tcW w:w="1015" w:type="pct"/>
            <w:tcBorders>
              <w:top w:val="nil"/>
              <w:left w:val="nil"/>
              <w:bottom w:val="nil"/>
              <w:right w:val="nil"/>
            </w:tcBorders>
            <w:shd w:val="clear" w:color="000000" w:fill="FFFFFF"/>
            <w:noWrap/>
            <w:vAlign w:val="bottom"/>
            <w:hideMark/>
          </w:tcPr>
          <w:p w14:paraId="7B44C58B" w14:textId="77777777" w:rsidR="00F16CB6" w:rsidRPr="00F16CB6" w:rsidRDefault="00F16CB6" w:rsidP="00F16CB6">
            <w:pPr>
              <w:jc w:val="right"/>
              <w:rPr>
                <w:rFonts w:asciiTheme="majorHAnsi" w:hAnsiTheme="majorHAnsi" w:cstheme="majorHAnsi"/>
                <w:sz w:val="16"/>
                <w:szCs w:val="16"/>
              </w:rPr>
            </w:pPr>
            <w:r w:rsidRPr="00F16CB6">
              <w:rPr>
                <w:rFonts w:asciiTheme="majorHAnsi" w:hAnsiTheme="majorHAnsi" w:cstheme="majorHAnsi"/>
                <w:sz w:val="16"/>
                <w:szCs w:val="16"/>
              </w:rPr>
              <w:t>1.196.191</w:t>
            </w:r>
          </w:p>
        </w:tc>
      </w:tr>
      <w:tr w:rsidR="00F16CB6" w:rsidRPr="00F16CB6" w14:paraId="655D0146" w14:textId="77777777" w:rsidTr="00F16CB6">
        <w:trPr>
          <w:trHeight w:hRule="exact" w:val="227"/>
        </w:trPr>
        <w:tc>
          <w:tcPr>
            <w:tcW w:w="1813" w:type="pct"/>
            <w:gridSpan w:val="2"/>
            <w:tcBorders>
              <w:top w:val="nil"/>
              <w:left w:val="nil"/>
              <w:bottom w:val="nil"/>
              <w:right w:val="nil"/>
            </w:tcBorders>
            <w:shd w:val="clear" w:color="000000" w:fill="FFFFFF"/>
            <w:noWrap/>
            <w:vAlign w:val="bottom"/>
            <w:hideMark/>
          </w:tcPr>
          <w:p w14:paraId="0481BF67" w14:textId="77777777" w:rsidR="00F16CB6" w:rsidRPr="00F16CB6" w:rsidRDefault="00F16CB6">
            <w:pPr>
              <w:rPr>
                <w:rFonts w:asciiTheme="majorHAnsi" w:hAnsiTheme="majorHAnsi" w:cstheme="majorHAnsi"/>
                <w:sz w:val="16"/>
                <w:szCs w:val="16"/>
              </w:rPr>
            </w:pPr>
            <w:r w:rsidRPr="00F16CB6">
              <w:rPr>
                <w:rFonts w:asciiTheme="majorHAnsi" w:hAnsiTheme="majorHAnsi" w:cstheme="majorHAnsi"/>
                <w:sz w:val="16"/>
                <w:szCs w:val="16"/>
              </w:rPr>
              <w:t xml:space="preserve">        Receita com Subconcessão FIOL</w:t>
            </w:r>
          </w:p>
        </w:tc>
        <w:tc>
          <w:tcPr>
            <w:tcW w:w="1374" w:type="pct"/>
            <w:tcBorders>
              <w:top w:val="nil"/>
              <w:left w:val="nil"/>
              <w:bottom w:val="nil"/>
              <w:right w:val="nil"/>
            </w:tcBorders>
            <w:shd w:val="clear" w:color="000000" w:fill="FFFFFF"/>
            <w:noWrap/>
            <w:vAlign w:val="bottom"/>
            <w:hideMark/>
          </w:tcPr>
          <w:p w14:paraId="0098879F" w14:textId="77777777" w:rsidR="00F16CB6" w:rsidRPr="00F16CB6" w:rsidRDefault="00F16CB6">
            <w:pPr>
              <w:rPr>
                <w:rFonts w:asciiTheme="majorHAnsi" w:hAnsiTheme="majorHAnsi" w:cstheme="majorHAnsi"/>
                <w:sz w:val="16"/>
                <w:szCs w:val="16"/>
              </w:rPr>
            </w:pPr>
            <w:r w:rsidRPr="00F16CB6">
              <w:rPr>
                <w:rFonts w:asciiTheme="majorHAnsi" w:hAnsiTheme="majorHAnsi" w:cstheme="majorHAnsi"/>
                <w:sz w:val="16"/>
                <w:szCs w:val="16"/>
              </w:rPr>
              <w:t> </w:t>
            </w:r>
          </w:p>
        </w:tc>
        <w:tc>
          <w:tcPr>
            <w:tcW w:w="798" w:type="pct"/>
            <w:tcBorders>
              <w:top w:val="nil"/>
              <w:left w:val="nil"/>
              <w:bottom w:val="nil"/>
              <w:right w:val="nil"/>
            </w:tcBorders>
            <w:shd w:val="clear" w:color="000000" w:fill="FFFFFF"/>
            <w:noWrap/>
            <w:vAlign w:val="bottom"/>
            <w:hideMark/>
          </w:tcPr>
          <w:p w14:paraId="769790E3" w14:textId="77777777" w:rsidR="00F16CB6" w:rsidRPr="00F16CB6" w:rsidRDefault="00F16CB6" w:rsidP="00F16CB6">
            <w:pPr>
              <w:ind w:hanging="69"/>
              <w:jc w:val="right"/>
              <w:rPr>
                <w:rFonts w:asciiTheme="majorHAnsi" w:hAnsiTheme="majorHAnsi" w:cstheme="majorHAnsi"/>
                <w:sz w:val="16"/>
                <w:szCs w:val="16"/>
              </w:rPr>
            </w:pPr>
            <w:r w:rsidRPr="00F16CB6">
              <w:rPr>
                <w:rFonts w:asciiTheme="majorHAnsi" w:hAnsiTheme="majorHAnsi" w:cstheme="majorHAnsi"/>
                <w:sz w:val="16"/>
                <w:szCs w:val="16"/>
              </w:rPr>
              <w:t>1.091.000</w:t>
            </w:r>
          </w:p>
        </w:tc>
        <w:tc>
          <w:tcPr>
            <w:tcW w:w="1015" w:type="pct"/>
            <w:tcBorders>
              <w:top w:val="nil"/>
              <w:left w:val="nil"/>
              <w:bottom w:val="nil"/>
              <w:right w:val="nil"/>
            </w:tcBorders>
            <w:shd w:val="clear" w:color="000000" w:fill="FFFFFF"/>
            <w:noWrap/>
            <w:vAlign w:val="bottom"/>
            <w:hideMark/>
          </w:tcPr>
          <w:p w14:paraId="2F9E422A" w14:textId="77777777" w:rsidR="00F16CB6" w:rsidRPr="00F16CB6" w:rsidRDefault="00F16CB6" w:rsidP="00F16CB6">
            <w:pPr>
              <w:jc w:val="right"/>
              <w:rPr>
                <w:rFonts w:asciiTheme="majorHAnsi" w:hAnsiTheme="majorHAnsi" w:cstheme="majorHAnsi"/>
                <w:sz w:val="16"/>
                <w:szCs w:val="16"/>
              </w:rPr>
            </w:pPr>
            <w:r w:rsidRPr="00F16CB6">
              <w:rPr>
                <w:rFonts w:asciiTheme="majorHAnsi" w:hAnsiTheme="majorHAnsi" w:cstheme="majorHAnsi"/>
                <w:sz w:val="16"/>
                <w:szCs w:val="16"/>
              </w:rPr>
              <w:t xml:space="preserve">                                         -   </w:t>
            </w:r>
          </w:p>
        </w:tc>
      </w:tr>
      <w:tr w:rsidR="00F16CB6" w:rsidRPr="00F16CB6" w14:paraId="046FD622" w14:textId="77777777" w:rsidTr="00F16CB6">
        <w:trPr>
          <w:trHeight w:hRule="exact" w:val="227"/>
        </w:trPr>
        <w:tc>
          <w:tcPr>
            <w:tcW w:w="1813" w:type="pct"/>
            <w:gridSpan w:val="2"/>
            <w:tcBorders>
              <w:top w:val="nil"/>
              <w:left w:val="nil"/>
              <w:bottom w:val="nil"/>
              <w:right w:val="nil"/>
            </w:tcBorders>
            <w:shd w:val="clear" w:color="000000" w:fill="FFFFFF"/>
            <w:noWrap/>
            <w:vAlign w:val="bottom"/>
            <w:hideMark/>
          </w:tcPr>
          <w:p w14:paraId="3C06C73A" w14:textId="77777777" w:rsidR="00F16CB6" w:rsidRPr="00F16CB6" w:rsidRDefault="00F16CB6">
            <w:pPr>
              <w:rPr>
                <w:rFonts w:asciiTheme="majorHAnsi" w:hAnsiTheme="majorHAnsi" w:cstheme="majorHAnsi"/>
                <w:b/>
                <w:bCs/>
                <w:sz w:val="16"/>
                <w:szCs w:val="16"/>
              </w:rPr>
            </w:pPr>
            <w:r w:rsidRPr="00F16CB6">
              <w:rPr>
                <w:rFonts w:asciiTheme="majorHAnsi" w:hAnsiTheme="majorHAnsi" w:cstheme="majorHAnsi"/>
                <w:b/>
                <w:bCs/>
                <w:sz w:val="16"/>
                <w:szCs w:val="16"/>
              </w:rPr>
              <w:t xml:space="preserve">        </w:t>
            </w:r>
            <w:r w:rsidRPr="00F16CB6">
              <w:rPr>
                <w:rFonts w:asciiTheme="majorHAnsi" w:hAnsiTheme="majorHAnsi" w:cstheme="majorHAnsi"/>
                <w:sz w:val="16"/>
                <w:szCs w:val="16"/>
              </w:rPr>
              <w:t>Repasses Recebidos (subvenções p/ custeio)</w:t>
            </w:r>
          </w:p>
        </w:tc>
        <w:tc>
          <w:tcPr>
            <w:tcW w:w="1374" w:type="pct"/>
            <w:tcBorders>
              <w:top w:val="nil"/>
              <w:left w:val="nil"/>
              <w:bottom w:val="nil"/>
              <w:right w:val="nil"/>
            </w:tcBorders>
            <w:shd w:val="clear" w:color="000000" w:fill="FFFFFF"/>
            <w:noWrap/>
            <w:vAlign w:val="bottom"/>
            <w:hideMark/>
          </w:tcPr>
          <w:p w14:paraId="6B15CC04" w14:textId="77777777" w:rsidR="00F16CB6" w:rsidRPr="00F16CB6" w:rsidRDefault="00F16CB6">
            <w:pPr>
              <w:rPr>
                <w:rFonts w:asciiTheme="majorHAnsi" w:hAnsiTheme="majorHAnsi" w:cstheme="majorHAnsi"/>
                <w:sz w:val="16"/>
                <w:szCs w:val="16"/>
              </w:rPr>
            </w:pPr>
            <w:r w:rsidRPr="00F16CB6">
              <w:rPr>
                <w:rFonts w:asciiTheme="majorHAnsi" w:hAnsiTheme="majorHAnsi" w:cstheme="majorHAnsi"/>
                <w:sz w:val="16"/>
                <w:szCs w:val="16"/>
              </w:rPr>
              <w:t> </w:t>
            </w:r>
          </w:p>
        </w:tc>
        <w:tc>
          <w:tcPr>
            <w:tcW w:w="798" w:type="pct"/>
            <w:tcBorders>
              <w:top w:val="nil"/>
              <w:left w:val="nil"/>
              <w:bottom w:val="nil"/>
              <w:right w:val="nil"/>
            </w:tcBorders>
            <w:shd w:val="clear" w:color="000000" w:fill="FFFFFF"/>
            <w:noWrap/>
            <w:vAlign w:val="bottom"/>
            <w:hideMark/>
          </w:tcPr>
          <w:p w14:paraId="3E40AE63" w14:textId="77777777" w:rsidR="00F16CB6" w:rsidRPr="00F16CB6" w:rsidRDefault="00F16CB6" w:rsidP="00F16CB6">
            <w:pPr>
              <w:ind w:hanging="69"/>
              <w:jc w:val="right"/>
              <w:rPr>
                <w:rFonts w:asciiTheme="majorHAnsi" w:hAnsiTheme="majorHAnsi" w:cstheme="majorHAnsi"/>
                <w:sz w:val="16"/>
                <w:szCs w:val="16"/>
              </w:rPr>
            </w:pPr>
            <w:r w:rsidRPr="00F16CB6">
              <w:rPr>
                <w:rFonts w:asciiTheme="majorHAnsi" w:hAnsiTheme="majorHAnsi" w:cstheme="majorHAnsi"/>
                <w:sz w:val="16"/>
                <w:szCs w:val="16"/>
              </w:rPr>
              <w:t>74.995.207</w:t>
            </w:r>
          </w:p>
        </w:tc>
        <w:tc>
          <w:tcPr>
            <w:tcW w:w="1015" w:type="pct"/>
            <w:tcBorders>
              <w:top w:val="nil"/>
              <w:left w:val="nil"/>
              <w:bottom w:val="nil"/>
              <w:right w:val="nil"/>
            </w:tcBorders>
            <w:shd w:val="clear" w:color="000000" w:fill="FFFFFF"/>
            <w:noWrap/>
            <w:vAlign w:val="bottom"/>
            <w:hideMark/>
          </w:tcPr>
          <w:p w14:paraId="526EEC66" w14:textId="77777777" w:rsidR="00F16CB6" w:rsidRPr="00F16CB6" w:rsidRDefault="00F16CB6" w:rsidP="00F16CB6">
            <w:pPr>
              <w:jc w:val="right"/>
              <w:rPr>
                <w:rFonts w:asciiTheme="majorHAnsi" w:hAnsiTheme="majorHAnsi" w:cstheme="majorHAnsi"/>
                <w:sz w:val="16"/>
                <w:szCs w:val="16"/>
              </w:rPr>
            </w:pPr>
            <w:r w:rsidRPr="00F16CB6">
              <w:rPr>
                <w:rFonts w:asciiTheme="majorHAnsi" w:hAnsiTheme="majorHAnsi" w:cstheme="majorHAnsi"/>
                <w:sz w:val="16"/>
                <w:szCs w:val="16"/>
              </w:rPr>
              <w:t>75.841.189</w:t>
            </w:r>
          </w:p>
        </w:tc>
      </w:tr>
      <w:tr w:rsidR="00F16CB6" w:rsidRPr="00F16CB6" w14:paraId="08570A8B" w14:textId="77777777" w:rsidTr="00F16CB6">
        <w:trPr>
          <w:trHeight w:hRule="exact" w:val="227"/>
        </w:trPr>
        <w:tc>
          <w:tcPr>
            <w:tcW w:w="1727" w:type="pct"/>
            <w:tcBorders>
              <w:top w:val="nil"/>
              <w:left w:val="nil"/>
              <w:bottom w:val="nil"/>
              <w:right w:val="nil"/>
            </w:tcBorders>
            <w:shd w:val="clear" w:color="000000" w:fill="FFFFFF"/>
            <w:noWrap/>
            <w:vAlign w:val="bottom"/>
            <w:hideMark/>
          </w:tcPr>
          <w:p w14:paraId="517677FE" w14:textId="77777777" w:rsidR="00F16CB6" w:rsidRPr="00F16CB6" w:rsidRDefault="00F16CB6">
            <w:pPr>
              <w:rPr>
                <w:rFonts w:asciiTheme="majorHAnsi" w:hAnsiTheme="majorHAnsi" w:cstheme="majorHAnsi"/>
                <w:sz w:val="16"/>
                <w:szCs w:val="16"/>
              </w:rPr>
            </w:pPr>
            <w:r w:rsidRPr="00F16CB6">
              <w:rPr>
                <w:rFonts w:asciiTheme="majorHAnsi" w:hAnsiTheme="majorHAnsi" w:cstheme="majorHAnsi"/>
                <w:sz w:val="16"/>
                <w:szCs w:val="16"/>
              </w:rPr>
              <w:t> </w:t>
            </w:r>
          </w:p>
        </w:tc>
        <w:tc>
          <w:tcPr>
            <w:tcW w:w="86" w:type="pct"/>
            <w:tcBorders>
              <w:top w:val="nil"/>
              <w:left w:val="nil"/>
              <w:bottom w:val="nil"/>
              <w:right w:val="nil"/>
            </w:tcBorders>
            <w:shd w:val="clear" w:color="000000" w:fill="FFFFFF"/>
            <w:noWrap/>
            <w:vAlign w:val="bottom"/>
            <w:hideMark/>
          </w:tcPr>
          <w:p w14:paraId="48E63A78" w14:textId="77777777" w:rsidR="00F16CB6" w:rsidRPr="00F16CB6" w:rsidRDefault="00F16CB6">
            <w:pPr>
              <w:rPr>
                <w:rFonts w:asciiTheme="majorHAnsi" w:hAnsiTheme="majorHAnsi" w:cstheme="majorHAnsi"/>
                <w:sz w:val="16"/>
                <w:szCs w:val="16"/>
              </w:rPr>
            </w:pPr>
            <w:r w:rsidRPr="00F16CB6">
              <w:rPr>
                <w:rFonts w:asciiTheme="majorHAnsi" w:hAnsiTheme="majorHAnsi" w:cstheme="majorHAnsi"/>
                <w:sz w:val="16"/>
                <w:szCs w:val="16"/>
              </w:rPr>
              <w:t> </w:t>
            </w:r>
          </w:p>
        </w:tc>
        <w:tc>
          <w:tcPr>
            <w:tcW w:w="1374" w:type="pct"/>
            <w:tcBorders>
              <w:top w:val="nil"/>
              <w:left w:val="nil"/>
              <w:bottom w:val="nil"/>
              <w:right w:val="nil"/>
            </w:tcBorders>
            <w:shd w:val="clear" w:color="000000" w:fill="FFFFFF"/>
            <w:noWrap/>
            <w:vAlign w:val="bottom"/>
            <w:hideMark/>
          </w:tcPr>
          <w:p w14:paraId="435DD659" w14:textId="77777777" w:rsidR="00F16CB6" w:rsidRPr="00F16CB6" w:rsidRDefault="00F16CB6">
            <w:pPr>
              <w:rPr>
                <w:rFonts w:asciiTheme="majorHAnsi" w:hAnsiTheme="majorHAnsi" w:cstheme="majorHAnsi"/>
                <w:sz w:val="16"/>
                <w:szCs w:val="16"/>
              </w:rPr>
            </w:pPr>
            <w:r w:rsidRPr="00F16CB6">
              <w:rPr>
                <w:rFonts w:asciiTheme="majorHAnsi" w:hAnsiTheme="majorHAnsi" w:cstheme="majorHAnsi"/>
                <w:sz w:val="16"/>
                <w:szCs w:val="16"/>
              </w:rPr>
              <w:t> </w:t>
            </w:r>
          </w:p>
        </w:tc>
        <w:tc>
          <w:tcPr>
            <w:tcW w:w="798" w:type="pct"/>
            <w:tcBorders>
              <w:top w:val="nil"/>
              <w:left w:val="nil"/>
              <w:bottom w:val="nil"/>
              <w:right w:val="nil"/>
            </w:tcBorders>
            <w:shd w:val="clear" w:color="000000" w:fill="FFFFFF"/>
            <w:noWrap/>
            <w:vAlign w:val="bottom"/>
            <w:hideMark/>
          </w:tcPr>
          <w:p w14:paraId="01F4FC7D" w14:textId="77777777" w:rsidR="00F16CB6" w:rsidRPr="00F16CB6" w:rsidRDefault="00F16CB6" w:rsidP="00F16CB6">
            <w:pPr>
              <w:ind w:hanging="69"/>
              <w:jc w:val="right"/>
              <w:rPr>
                <w:rFonts w:asciiTheme="majorHAnsi" w:hAnsiTheme="majorHAnsi" w:cstheme="majorHAnsi"/>
                <w:sz w:val="16"/>
                <w:szCs w:val="16"/>
              </w:rPr>
            </w:pPr>
            <w:r w:rsidRPr="00F16CB6">
              <w:rPr>
                <w:rFonts w:asciiTheme="majorHAnsi" w:hAnsiTheme="majorHAnsi" w:cstheme="majorHAnsi"/>
                <w:sz w:val="16"/>
                <w:szCs w:val="16"/>
              </w:rPr>
              <w:t> </w:t>
            </w:r>
          </w:p>
        </w:tc>
        <w:tc>
          <w:tcPr>
            <w:tcW w:w="1015" w:type="pct"/>
            <w:tcBorders>
              <w:top w:val="nil"/>
              <w:left w:val="nil"/>
              <w:bottom w:val="nil"/>
              <w:right w:val="nil"/>
            </w:tcBorders>
            <w:shd w:val="clear" w:color="000000" w:fill="FFFFFF"/>
            <w:noWrap/>
            <w:vAlign w:val="bottom"/>
            <w:hideMark/>
          </w:tcPr>
          <w:p w14:paraId="2E86E6F5" w14:textId="77777777" w:rsidR="00F16CB6" w:rsidRPr="00F16CB6" w:rsidRDefault="00F16CB6" w:rsidP="00F16CB6">
            <w:pPr>
              <w:jc w:val="right"/>
              <w:rPr>
                <w:rFonts w:asciiTheme="majorHAnsi" w:hAnsiTheme="majorHAnsi" w:cstheme="majorHAnsi"/>
                <w:sz w:val="16"/>
                <w:szCs w:val="16"/>
              </w:rPr>
            </w:pPr>
            <w:r w:rsidRPr="00F16CB6">
              <w:rPr>
                <w:rFonts w:asciiTheme="majorHAnsi" w:hAnsiTheme="majorHAnsi" w:cstheme="majorHAnsi"/>
                <w:sz w:val="16"/>
                <w:szCs w:val="16"/>
              </w:rPr>
              <w:t> </w:t>
            </w:r>
          </w:p>
        </w:tc>
      </w:tr>
      <w:tr w:rsidR="00F16CB6" w:rsidRPr="00F16CB6" w14:paraId="73475DE8" w14:textId="77777777" w:rsidTr="00F16CB6">
        <w:trPr>
          <w:trHeight w:hRule="exact" w:val="227"/>
        </w:trPr>
        <w:tc>
          <w:tcPr>
            <w:tcW w:w="1727" w:type="pct"/>
            <w:tcBorders>
              <w:top w:val="nil"/>
              <w:left w:val="nil"/>
              <w:bottom w:val="nil"/>
              <w:right w:val="nil"/>
            </w:tcBorders>
            <w:shd w:val="clear" w:color="000000" w:fill="FFFFFF"/>
            <w:noWrap/>
            <w:vAlign w:val="bottom"/>
            <w:hideMark/>
          </w:tcPr>
          <w:p w14:paraId="0E3C3032" w14:textId="77777777" w:rsidR="00F16CB6" w:rsidRPr="00F16CB6" w:rsidRDefault="00F16CB6">
            <w:pPr>
              <w:rPr>
                <w:rFonts w:asciiTheme="majorHAnsi" w:hAnsiTheme="majorHAnsi" w:cstheme="majorHAnsi"/>
                <w:b/>
                <w:bCs/>
                <w:sz w:val="16"/>
                <w:szCs w:val="16"/>
              </w:rPr>
            </w:pPr>
            <w:r w:rsidRPr="00F16CB6">
              <w:rPr>
                <w:rFonts w:asciiTheme="majorHAnsi" w:hAnsiTheme="majorHAnsi" w:cstheme="majorHAnsi"/>
                <w:b/>
                <w:bCs/>
                <w:sz w:val="16"/>
                <w:szCs w:val="16"/>
              </w:rPr>
              <w:t>II. INSUMOS</w:t>
            </w:r>
          </w:p>
        </w:tc>
        <w:tc>
          <w:tcPr>
            <w:tcW w:w="86" w:type="pct"/>
            <w:tcBorders>
              <w:top w:val="nil"/>
              <w:left w:val="nil"/>
              <w:bottom w:val="nil"/>
              <w:right w:val="nil"/>
            </w:tcBorders>
            <w:shd w:val="clear" w:color="000000" w:fill="FFFFFF"/>
            <w:noWrap/>
            <w:vAlign w:val="bottom"/>
            <w:hideMark/>
          </w:tcPr>
          <w:p w14:paraId="36119C65" w14:textId="77777777" w:rsidR="00F16CB6" w:rsidRPr="00F16CB6" w:rsidRDefault="00F16CB6">
            <w:pPr>
              <w:rPr>
                <w:rFonts w:asciiTheme="majorHAnsi" w:hAnsiTheme="majorHAnsi" w:cstheme="majorHAnsi"/>
                <w:sz w:val="16"/>
                <w:szCs w:val="16"/>
              </w:rPr>
            </w:pPr>
            <w:r w:rsidRPr="00F16CB6">
              <w:rPr>
                <w:rFonts w:asciiTheme="majorHAnsi" w:hAnsiTheme="majorHAnsi" w:cstheme="majorHAnsi"/>
                <w:sz w:val="16"/>
                <w:szCs w:val="16"/>
              </w:rPr>
              <w:t> </w:t>
            </w:r>
          </w:p>
        </w:tc>
        <w:tc>
          <w:tcPr>
            <w:tcW w:w="1374" w:type="pct"/>
            <w:tcBorders>
              <w:top w:val="nil"/>
              <w:left w:val="nil"/>
              <w:bottom w:val="nil"/>
              <w:right w:val="nil"/>
            </w:tcBorders>
            <w:shd w:val="clear" w:color="000000" w:fill="FFFFFF"/>
            <w:noWrap/>
            <w:vAlign w:val="bottom"/>
            <w:hideMark/>
          </w:tcPr>
          <w:p w14:paraId="5CA9AB4D" w14:textId="77777777" w:rsidR="00F16CB6" w:rsidRPr="00F16CB6" w:rsidRDefault="00F16CB6">
            <w:pPr>
              <w:rPr>
                <w:rFonts w:asciiTheme="majorHAnsi" w:hAnsiTheme="majorHAnsi" w:cstheme="majorHAnsi"/>
                <w:sz w:val="16"/>
                <w:szCs w:val="16"/>
              </w:rPr>
            </w:pPr>
            <w:r w:rsidRPr="00F16CB6">
              <w:rPr>
                <w:rFonts w:asciiTheme="majorHAnsi" w:hAnsiTheme="majorHAnsi" w:cstheme="majorHAnsi"/>
                <w:sz w:val="16"/>
                <w:szCs w:val="16"/>
              </w:rPr>
              <w:t> </w:t>
            </w:r>
          </w:p>
        </w:tc>
        <w:tc>
          <w:tcPr>
            <w:tcW w:w="798" w:type="pct"/>
            <w:tcBorders>
              <w:top w:val="nil"/>
              <w:left w:val="nil"/>
              <w:bottom w:val="nil"/>
              <w:right w:val="nil"/>
            </w:tcBorders>
            <w:shd w:val="clear" w:color="000000" w:fill="FFFFFF"/>
            <w:noWrap/>
            <w:vAlign w:val="bottom"/>
            <w:hideMark/>
          </w:tcPr>
          <w:p w14:paraId="741D964A" w14:textId="77777777" w:rsidR="00F16CB6" w:rsidRPr="00F16CB6" w:rsidRDefault="00F16CB6" w:rsidP="00F16CB6">
            <w:pPr>
              <w:ind w:hanging="69"/>
              <w:jc w:val="right"/>
              <w:rPr>
                <w:rFonts w:asciiTheme="majorHAnsi" w:hAnsiTheme="majorHAnsi" w:cstheme="majorHAnsi"/>
                <w:b/>
                <w:bCs/>
                <w:sz w:val="16"/>
                <w:szCs w:val="16"/>
              </w:rPr>
            </w:pPr>
            <w:r w:rsidRPr="00F16CB6">
              <w:rPr>
                <w:rFonts w:asciiTheme="majorHAnsi" w:hAnsiTheme="majorHAnsi" w:cstheme="majorHAnsi"/>
                <w:b/>
                <w:bCs/>
                <w:sz w:val="16"/>
                <w:szCs w:val="16"/>
              </w:rPr>
              <w:t xml:space="preserve">           (34.764.962)</w:t>
            </w:r>
          </w:p>
        </w:tc>
        <w:tc>
          <w:tcPr>
            <w:tcW w:w="1015" w:type="pct"/>
            <w:tcBorders>
              <w:top w:val="nil"/>
              <w:left w:val="nil"/>
              <w:bottom w:val="nil"/>
              <w:right w:val="nil"/>
            </w:tcBorders>
            <w:shd w:val="clear" w:color="000000" w:fill="FFFFFF"/>
            <w:noWrap/>
            <w:vAlign w:val="bottom"/>
            <w:hideMark/>
          </w:tcPr>
          <w:p w14:paraId="2E1B959C" w14:textId="77777777" w:rsidR="00F16CB6" w:rsidRPr="00F16CB6" w:rsidRDefault="00F16CB6" w:rsidP="00F16CB6">
            <w:pPr>
              <w:jc w:val="right"/>
              <w:rPr>
                <w:rFonts w:asciiTheme="majorHAnsi" w:hAnsiTheme="majorHAnsi" w:cstheme="majorHAnsi"/>
                <w:b/>
                <w:bCs/>
                <w:sz w:val="16"/>
                <w:szCs w:val="16"/>
              </w:rPr>
            </w:pPr>
            <w:r w:rsidRPr="00F16CB6">
              <w:rPr>
                <w:rFonts w:asciiTheme="majorHAnsi" w:hAnsiTheme="majorHAnsi" w:cstheme="majorHAnsi"/>
                <w:b/>
                <w:bCs/>
                <w:sz w:val="16"/>
                <w:szCs w:val="16"/>
              </w:rPr>
              <w:t xml:space="preserve">                         50.152.334 </w:t>
            </w:r>
          </w:p>
        </w:tc>
      </w:tr>
      <w:tr w:rsidR="00F16CB6" w:rsidRPr="00F16CB6" w14:paraId="070ADEB3" w14:textId="77777777" w:rsidTr="00F16CB6">
        <w:trPr>
          <w:trHeight w:hRule="exact" w:val="227"/>
        </w:trPr>
        <w:tc>
          <w:tcPr>
            <w:tcW w:w="1813" w:type="pct"/>
            <w:gridSpan w:val="2"/>
            <w:tcBorders>
              <w:top w:val="nil"/>
              <w:left w:val="nil"/>
              <w:bottom w:val="nil"/>
              <w:right w:val="nil"/>
            </w:tcBorders>
            <w:shd w:val="clear" w:color="000000" w:fill="FFFFFF"/>
            <w:noWrap/>
            <w:vAlign w:val="bottom"/>
            <w:hideMark/>
          </w:tcPr>
          <w:p w14:paraId="13EA7E20" w14:textId="77777777" w:rsidR="00F16CB6" w:rsidRPr="00F16CB6" w:rsidRDefault="00F16CB6">
            <w:pPr>
              <w:rPr>
                <w:rFonts w:asciiTheme="majorHAnsi" w:hAnsiTheme="majorHAnsi" w:cstheme="majorHAnsi"/>
                <w:b/>
                <w:bCs/>
                <w:sz w:val="16"/>
                <w:szCs w:val="16"/>
              </w:rPr>
            </w:pPr>
            <w:r w:rsidRPr="00F16CB6">
              <w:rPr>
                <w:rFonts w:asciiTheme="majorHAnsi" w:hAnsiTheme="majorHAnsi" w:cstheme="majorHAnsi"/>
                <w:b/>
                <w:bCs/>
                <w:sz w:val="16"/>
                <w:szCs w:val="16"/>
              </w:rPr>
              <w:t xml:space="preserve">        </w:t>
            </w:r>
            <w:r w:rsidRPr="00F16CB6">
              <w:rPr>
                <w:rFonts w:asciiTheme="majorHAnsi" w:hAnsiTheme="majorHAnsi" w:cstheme="majorHAnsi"/>
                <w:sz w:val="16"/>
                <w:szCs w:val="16"/>
              </w:rPr>
              <w:t>Materiais, Energia, Serviços de Terceiros e Outros</w:t>
            </w:r>
          </w:p>
        </w:tc>
        <w:tc>
          <w:tcPr>
            <w:tcW w:w="1374" w:type="pct"/>
            <w:tcBorders>
              <w:top w:val="nil"/>
              <w:left w:val="nil"/>
              <w:bottom w:val="nil"/>
              <w:right w:val="nil"/>
            </w:tcBorders>
            <w:shd w:val="clear" w:color="000000" w:fill="FFFFFF"/>
            <w:noWrap/>
            <w:vAlign w:val="bottom"/>
            <w:hideMark/>
          </w:tcPr>
          <w:p w14:paraId="25F55A62" w14:textId="77777777" w:rsidR="00F16CB6" w:rsidRPr="00F16CB6" w:rsidRDefault="00F16CB6">
            <w:pPr>
              <w:rPr>
                <w:rFonts w:asciiTheme="majorHAnsi" w:hAnsiTheme="majorHAnsi" w:cstheme="majorHAnsi"/>
                <w:sz w:val="16"/>
                <w:szCs w:val="16"/>
              </w:rPr>
            </w:pPr>
            <w:r w:rsidRPr="00F16CB6">
              <w:rPr>
                <w:rFonts w:asciiTheme="majorHAnsi" w:hAnsiTheme="majorHAnsi" w:cstheme="majorHAnsi"/>
                <w:sz w:val="16"/>
                <w:szCs w:val="16"/>
              </w:rPr>
              <w:t> </w:t>
            </w:r>
          </w:p>
        </w:tc>
        <w:tc>
          <w:tcPr>
            <w:tcW w:w="798" w:type="pct"/>
            <w:tcBorders>
              <w:top w:val="nil"/>
              <w:left w:val="nil"/>
              <w:bottom w:val="nil"/>
              <w:right w:val="nil"/>
            </w:tcBorders>
            <w:shd w:val="clear" w:color="000000" w:fill="FFFFFF"/>
            <w:noWrap/>
            <w:vAlign w:val="bottom"/>
            <w:hideMark/>
          </w:tcPr>
          <w:p w14:paraId="50992363" w14:textId="77777777" w:rsidR="00F16CB6" w:rsidRPr="00F16CB6" w:rsidRDefault="00F16CB6" w:rsidP="00F16CB6">
            <w:pPr>
              <w:ind w:hanging="69"/>
              <w:jc w:val="right"/>
              <w:rPr>
                <w:rFonts w:asciiTheme="majorHAnsi" w:hAnsiTheme="majorHAnsi" w:cstheme="majorHAnsi"/>
                <w:sz w:val="16"/>
                <w:szCs w:val="16"/>
              </w:rPr>
            </w:pPr>
            <w:r w:rsidRPr="00F16CB6">
              <w:rPr>
                <w:rFonts w:asciiTheme="majorHAnsi" w:hAnsiTheme="majorHAnsi" w:cstheme="majorHAnsi"/>
                <w:sz w:val="16"/>
                <w:szCs w:val="16"/>
              </w:rPr>
              <w:t xml:space="preserve">           (34.764.962)</w:t>
            </w:r>
          </w:p>
        </w:tc>
        <w:tc>
          <w:tcPr>
            <w:tcW w:w="1015" w:type="pct"/>
            <w:tcBorders>
              <w:top w:val="nil"/>
              <w:left w:val="nil"/>
              <w:bottom w:val="nil"/>
              <w:right w:val="nil"/>
            </w:tcBorders>
            <w:shd w:val="clear" w:color="000000" w:fill="FFFFFF"/>
            <w:noWrap/>
            <w:vAlign w:val="bottom"/>
            <w:hideMark/>
          </w:tcPr>
          <w:p w14:paraId="1DEF793D" w14:textId="77777777" w:rsidR="00F16CB6" w:rsidRPr="00F16CB6" w:rsidRDefault="00F16CB6" w:rsidP="00F16CB6">
            <w:pPr>
              <w:jc w:val="right"/>
              <w:rPr>
                <w:rFonts w:asciiTheme="majorHAnsi" w:hAnsiTheme="majorHAnsi" w:cstheme="majorHAnsi"/>
                <w:sz w:val="16"/>
                <w:szCs w:val="16"/>
              </w:rPr>
            </w:pPr>
            <w:r w:rsidRPr="00F16CB6">
              <w:rPr>
                <w:rFonts w:asciiTheme="majorHAnsi" w:hAnsiTheme="majorHAnsi" w:cstheme="majorHAnsi"/>
                <w:sz w:val="16"/>
                <w:szCs w:val="16"/>
              </w:rPr>
              <w:t xml:space="preserve">                         50.152.334 </w:t>
            </w:r>
          </w:p>
        </w:tc>
      </w:tr>
      <w:tr w:rsidR="00F16CB6" w:rsidRPr="00F16CB6" w14:paraId="38CFD1AF" w14:textId="77777777" w:rsidTr="00F16CB6">
        <w:trPr>
          <w:trHeight w:hRule="exact" w:val="227"/>
        </w:trPr>
        <w:tc>
          <w:tcPr>
            <w:tcW w:w="1727" w:type="pct"/>
            <w:tcBorders>
              <w:top w:val="nil"/>
              <w:left w:val="nil"/>
              <w:bottom w:val="nil"/>
              <w:right w:val="nil"/>
            </w:tcBorders>
            <w:shd w:val="clear" w:color="000000" w:fill="FFFFFF"/>
            <w:noWrap/>
            <w:vAlign w:val="bottom"/>
            <w:hideMark/>
          </w:tcPr>
          <w:p w14:paraId="470E1BB8" w14:textId="77777777" w:rsidR="00F16CB6" w:rsidRPr="00F16CB6" w:rsidRDefault="00F16CB6">
            <w:pPr>
              <w:rPr>
                <w:rFonts w:asciiTheme="majorHAnsi" w:hAnsiTheme="majorHAnsi" w:cstheme="majorHAnsi"/>
                <w:sz w:val="16"/>
                <w:szCs w:val="16"/>
              </w:rPr>
            </w:pPr>
            <w:r w:rsidRPr="00F16CB6">
              <w:rPr>
                <w:rFonts w:asciiTheme="majorHAnsi" w:hAnsiTheme="majorHAnsi" w:cstheme="majorHAnsi"/>
                <w:sz w:val="16"/>
                <w:szCs w:val="16"/>
              </w:rPr>
              <w:t> </w:t>
            </w:r>
          </w:p>
        </w:tc>
        <w:tc>
          <w:tcPr>
            <w:tcW w:w="86" w:type="pct"/>
            <w:tcBorders>
              <w:top w:val="nil"/>
              <w:left w:val="nil"/>
              <w:bottom w:val="nil"/>
              <w:right w:val="nil"/>
            </w:tcBorders>
            <w:shd w:val="clear" w:color="000000" w:fill="FFFFFF"/>
            <w:noWrap/>
            <w:vAlign w:val="bottom"/>
            <w:hideMark/>
          </w:tcPr>
          <w:p w14:paraId="034A3F82" w14:textId="77777777" w:rsidR="00F16CB6" w:rsidRPr="00F16CB6" w:rsidRDefault="00F16CB6">
            <w:pPr>
              <w:rPr>
                <w:rFonts w:asciiTheme="majorHAnsi" w:hAnsiTheme="majorHAnsi" w:cstheme="majorHAnsi"/>
                <w:sz w:val="16"/>
                <w:szCs w:val="16"/>
              </w:rPr>
            </w:pPr>
            <w:r w:rsidRPr="00F16CB6">
              <w:rPr>
                <w:rFonts w:asciiTheme="majorHAnsi" w:hAnsiTheme="majorHAnsi" w:cstheme="majorHAnsi"/>
                <w:sz w:val="16"/>
                <w:szCs w:val="16"/>
              </w:rPr>
              <w:t> </w:t>
            </w:r>
          </w:p>
        </w:tc>
        <w:tc>
          <w:tcPr>
            <w:tcW w:w="1374" w:type="pct"/>
            <w:tcBorders>
              <w:top w:val="nil"/>
              <w:left w:val="nil"/>
              <w:bottom w:val="nil"/>
              <w:right w:val="nil"/>
            </w:tcBorders>
            <w:shd w:val="clear" w:color="000000" w:fill="FFFFFF"/>
            <w:noWrap/>
            <w:vAlign w:val="bottom"/>
            <w:hideMark/>
          </w:tcPr>
          <w:p w14:paraId="527313A6" w14:textId="77777777" w:rsidR="00F16CB6" w:rsidRPr="00F16CB6" w:rsidRDefault="00F16CB6">
            <w:pPr>
              <w:rPr>
                <w:rFonts w:asciiTheme="majorHAnsi" w:hAnsiTheme="majorHAnsi" w:cstheme="majorHAnsi"/>
                <w:sz w:val="16"/>
                <w:szCs w:val="16"/>
              </w:rPr>
            </w:pPr>
            <w:r w:rsidRPr="00F16CB6">
              <w:rPr>
                <w:rFonts w:asciiTheme="majorHAnsi" w:hAnsiTheme="majorHAnsi" w:cstheme="majorHAnsi"/>
                <w:sz w:val="16"/>
                <w:szCs w:val="16"/>
              </w:rPr>
              <w:t> </w:t>
            </w:r>
          </w:p>
        </w:tc>
        <w:tc>
          <w:tcPr>
            <w:tcW w:w="798" w:type="pct"/>
            <w:tcBorders>
              <w:top w:val="nil"/>
              <w:left w:val="nil"/>
              <w:bottom w:val="nil"/>
              <w:right w:val="nil"/>
            </w:tcBorders>
            <w:shd w:val="clear" w:color="000000" w:fill="FFFFFF"/>
            <w:noWrap/>
            <w:vAlign w:val="bottom"/>
            <w:hideMark/>
          </w:tcPr>
          <w:p w14:paraId="23C5B4B4" w14:textId="77777777" w:rsidR="00F16CB6" w:rsidRPr="00F16CB6" w:rsidRDefault="00F16CB6" w:rsidP="00F16CB6">
            <w:pPr>
              <w:ind w:hanging="69"/>
              <w:jc w:val="right"/>
              <w:rPr>
                <w:rFonts w:asciiTheme="majorHAnsi" w:hAnsiTheme="majorHAnsi" w:cstheme="majorHAnsi"/>
                <w:sz w:val="16"/>
                <w:szCs w:val="16"/>
              </w:rPr>
            </w:pPr>
            <w:r w:rsidRPr="00F16CB6">
              <w:rPr>
                <w:rFonts w:asciiTheme="majorHAnsi" w:hAnsiTheme="majorHAnsi" w:cstheme="majorHAnsi"/>
                <w:sz w:val="16"/>
                <w:szCs w:val="16"/>
              </w:rPr>
              <w:t> </w:t>
            </w:r>
          </w:p>
        </w:tc>
        <w:tc>
          <w:tcPr>
            <w:tcW w:w="1015" w:type="pct"/>
            <w:tcBorders>
              <w:top w:val="nil"/>
              <w:left w:val="nil"/>
              <w:bottom w:val="nil"/>
              <w:right w:val="nil"/>
            </w:tcBorders>
            <w:shd w:val="clear" w:color="000000" w:fill="FFFFFF"/>
            <w:noWrap/>
            <w:vAlign w:val="bottom"/>
            <w:hideMark/>
          </w:tcPr>
          <w:p w14:paraId="72B22F5C" w14:textId="77777777" w:rsidR="00F16CB6" w:rsidRPr="00F16CB6" w:rsidRDefault="00F16CB6" w:rsidP="00F16CB6">
            <w:pPr>
              <w:jc w:val="right"/>
              <w:rPr>
                <w:rFonts w:asciiTheme="majorHAnsi" w:hAnsiTheme="majorHAnsi" w:cstheme="majorHAnsi"/>
                <w:b/>
                <w:bCs/>
                <w:sz w:val="16"/>
                <w:szCs w:val="16"/>
              </w:rPr>
            </w:pPr>
            <w:r w:rsidRPr="00F16CB6">
              <w:rPr>
                <w:rFonts w:asciiTheme="majorHAnsi" w:hAnsiTheme="majorHAnsi" w:cstheme="majorHAnsi"/>
                <w:b/>
                <w:bCs/>
                <w:sz w:val="16"/>
                <w:szCs w:val="16"/>
              </w:rPr>
              <w:t> </w:t>
            </w:r>
          </w:p>
        </w:tc>
      </w:tr>
      <w:tr w:rsidR="00F16CB6" w:rsidRPr="00F16CB6" w14:paraId="6CDF6428" w14:textId="77777777" w:rsidTr="00F16CB6">
        <w:trPr>
          <w:trHeight w:hRule="exact" w:val="227"/>
        </w:trPr>
        <w:tc>
          <w:tcPr>
            <w:tcW w:w="1813" w:type="pct"/>
            <w:gridSpan w:val="2"/>
            <w:tcBorders>
              <w:top w:val="nil"/>
              <w:left w:val="nil"/>
              <w:bottom w:val="nil"/>
              <w:right w:val="nil"/>
            </w:tcBorders>
            <w:shd w:val="clear" w:color="000000" w:fill="FFFFFF"/>
            <w:noWrap/>
            <w:vAlign w:val="bottom"/>
            <w:hideMark/>
          </w:tcPr>
          <w:p w14:paraId="17AC0AC2" w14:textId="77777777" w:rsidR="00F16CB6" w:rsidRPr="00F16CB6" w:rsidRDefault="00F16CB6">
            <w:pPr>
              <w:rPr>
                <w:rFonts w:asciiTheme="majorHAnsi" w:hAnsiTheme="majorHAnsi" w:cstheme="majorHAnsi"/>
                <w:b/>
                <w:bCs/>
                <w:sz w:val="16"/>
                <w:szCs w:val="16"/>
              </w:rPr>
            </w:pPr>
            <w:r w:rsidRPr="00F16CB6">
              <w:rPr>
                <w:rFonts w:asciiTheme="majorHAnsi" w:hAnsiTheme="majorHAnsi" w:cstheme="majorHAnsi"/>
                <w:b/>
                <w:bCs/>
                <w:sz w:val="16"/>
                <w:szCs w:val="16"/>
              </w:rPr>
              <w:t>III. VALOR ADICIONADO BRUTO (I - II)</w:t>
            </w:r>
          </w:p>
        </w:tc>
        <w:tc>
          <w:tcPr>
            <w:tcW w:w="1374" w:type="pct"/>
            <w:tcBorders>
              <w:top w:val="nil"/>
              <w:left w:val="nil"/>
              <w:bottom w:val="nil"/>
              <w:right w:val="nil"/>
            </w:tcBorders>
            <w:shd w:val="clear" w:color="000000" w:fill="FFFFFF"/>
            <w:noWrap/>
            <w:vAlign w:val="bottom"/>
            <w:hideMark/>
          </w:tcPr>
          <w:p w14:paraId="3E256255" w14:textId="77777777" w:rsidR="00F16CB6" w:rsidRPr="00F16CB6" w:rsidRDefault="00F16CB6">
            <w:pPr>
              <w:rPr>
                <w:rFonts w:asciiTheme="majorHAnsi" w:hAnsiTheme="majorHAnsi" w:cstheme="majorHAnsi"/>
                <w:sz w:val="16"/>
                <w:szCs w:val="16"/>
              </w:rPr>
            </w:pPr>
            <w:r w:rsidRPr="00F16CB6">
              <w:rPr>
                <w:rFonts w:asciiTheme="majorHAnsi" w:hAnsiTheme="majorHAnsi" w:cstheme="majorHAnsi"/>
                <w:sz w:val="16"/>
                <w:szCs w:val="16"/>
              </w:rPr>
              <w:t> </w:t>
            </w:r>
          </w:p>
        </w:tc>
        <w:tc>
          <w:tcPr>
            <w:tcW w:w="798" w:type="pct"/>
            <w:tcBorders>
              <w:top w:val="nil"/>
              <w:left w:val="nil"/>
              <w:bottom w:val="nil"/>
              <w:right w:val="nil"/>
            </w:tcBorders>
            <w:shd w:val="clear" w:color="000000" w:fill="FFFFFF"/>
            <w:noWrap/>
            <w:vAlign w:val="bottom"/>
            <w:hideMark/>
          </w:tcPr>
          <w:p w14:paraId="3B3A3703" w14:textId="77777777" w:rsidR="00F16CB6" w:rsidRPr="00F16CB6" w:rsidRDefault="00F16CB6" w:rsidP="00F16CB6">
            <w:pPr>
              <w:ind w:hanging="69"/>
              <w:jc w:val="right"/>
              <w:rPr>
                <w:rFonts w:asciiTheme="majorHAnsi" w:hAnsiTheme="majorHAnsi" w:cstheme="majorHAnsi"/>
                <w:b/>
                <w:bCs/>
                <w:sz w:val="16"/>
                <w:szCs w:val="16"/>
              </w:rPr>
            </w:pPr>
            <w:r w:rsidRPr="00F16CB6">
              <w:rPr>
                <w:rFonts w:asciiTheme="majorHAnsi" w:hAnsiTheme="majorHAnsi" w:cstheme="majorHAnsi"/>
                <w:b/>
                <w:bCs/>
                <w:sz w:val="16"/>
                <w:szCs w:val="16"/>
              </w:rPr>
              <w:t xml:space="preserve">          113.009.162 </w:t>
            </w:r>
          </w:p>
        </w:tc>
        <w:tc>
          <w:tcPr>
            <w:tcW w:w="1015" w:type="pct"/>
            <w:tcBorders>
              <w:top w:val="nil"/>
              <w:left w:val="nil"/>
              <w:bottom w:val="nil"/>
              <w:right w:val="nil"/>
            </w:tcBorders>
            <w:shd w:val="clear" w:color="000000" w:fill="FFFFFF"/>
            <w:noWrap/>
            <w:vAlign w:val="bottom"/>
            <w:hideMark/>
          </w:tcPr>
          <w:p w14:paraId="435D49A7" w14:textId="77777777" w:rsidR="00F16CB6" w:rsidRPr="00F16CB6" w:rsidRDefault="00F16CB6" w:rsidP="00F16CB6">
            <w:pPr>
              <w:jc w:val="right"/>
              <w:rPr>
                <w:rFonts w:asciiTheme="majorHAnsi" w:hAnsiTheme="majorHAnsi" w:cstheme="majorHAnsi"/>
                <w:b/>
                <w:bCs/>
                <w:sz w:val="16"/>
                <w:szCs w:val="16"/>
              </w:rPr>
            </w:pPr>
            <w:r w:rsidRPr="00F16CB6">
              <w:rPr>
                <w:rFonts w:asciiTheme="majorHAnsi" w:hAnsiTheme="majorHAnsi" w:cstheme="majorHAnsi"/>
                <w:b/>
                <w:bCs/>
                <w:sz w:val="16"/>
                <w:szCs w:val="16"/>
              </w:rPr>
              <w:t xml:space="preserve">                         26.995.923 </w:t>
            </w:r>
          </w:p>
        </w:tc>
      </w:tr>
      <w:tr w:rsidR="00F16CB6" w:rsidRPr="00F16CB6" w14:paraId="7D320F28" w14:textId="77777777" w:rsidTr="00F16CB6">
        <w:trPr>
          <w:trHeight w:hRule="exact" w:val="227"/>
        </w:trPr>
        <w:tc>
          <w:tcPr>
            <w:tcW w:w="1727" w:type="pct"/>
            <w:tcBorders>
              <w:top w:val="nil"/>
              <w:left w:val="nil"/>
              <w:bottom w:val="nil"/>
              <w:right w:val="nil"/>
            </w:tcBorders>
            <w:shd w:val="clear" w:color="000000" w:fill="FFFFFF"/>
            <w:noWrap/>
            <w:vAlign w:val="bottom"/>
            <w:hideMark/>
          </w:tcPr>
          <w:p w14:paraId="5112403A" w14:textId="77777777" w:rsidR="00F16CB6" w:rsidRPr="00F16CB6" w:rsidRDefault="00F16CB6">
            <w:pPr>
              <w:rPr>
                <w:rFonts w:asciiTheme="majorHAnsi" w:hAnsiTheme="majorHAnsi" w:cstheme="majorHAnsi"/>
                <w:b/>
                <w:bCs/>
                <w:sz w:val="16"/>
                <w:szCs w:val="16"/>
              </w:rPr>
            </w:pPr>
            <w:r w:rsidRPr="00F16CB6">
              <w:rPr>
                <w:rFonts w:asciiTheme="majorHAnsi" w:hAnsiTheme="majorHAnsi" w:cstheme="majorHAnsi"/>
                <w:b/>
                <w:bCs/>
                <w:sz w:val="16"/>
                <w:szCs w:val="16"/>
              </w:rPr>
              <w:t> </w:t>
            </w:r>
          </w:p>
        </w:tc>
        <w:tc>
          <w:tcPr>
            <w:tcW w:w="86" w:type="pct"/>
            <w:tcBorders>
              <w:top w:val="nil"/>
              <w:left w:val="nil"/>
              <w:bottom w:val="nil"/>
              <w:right w:val="nil"/>
            </w:tcBorders>
            <w:shd w:val="clear" w:color="000000" w:fill="FFFFFF"/>
            <w:noWrap/>
            <w:vAlign w:val="bottom"/>
            <w:hideMark/>
          </w:tcPr>
          <w:p w14:paraId="4436C7EA" w14:textId="77777777" w:rsidR="00F16CB6" w:rsidRPr="00F16CB6" w:rsidRDefault="00F16CB6">
            <w:pPr>
              <w:rPr>
                <w:rFonts w:asciiTheme="majorHAnsi" w:hAnsiTheme="majorHAnsi" w:cstheme="majorHAnsi"/>
                <w:sz w:val="16"/>
                <w:szCs w:val="16"/>
              </w:rPr>
            </w:pPr>
            <w:r w:rsidRPr="00F16CB6">
              <w:rPr>
                <w:rFonts w:asciiTheme="majorHAnsi" w:hAnsiTheme="majorHAnsi" w:cstheme="majorHAnsi"/>
                <w:sz w:val="16"/>
                <w:szCs w:val="16"/>
              </w:rPr>
              <w:t> </w:t>
            </w:r>
          </w:p>
        </w:tc>
        <w:tc>
          <w:tcPr>
            <w:tcW w:w="1374" w:type="pct"/>
            <w:tcBorders>
              <w:top w:val="nil"/>
              <w:left w:val="nil"/>
              <w:bottom w:val="nil"/>
              <w:right w:val="nil"/>
            </w:tcBorders>
            <w:shd w:val="clear" w:color="000000" w:fill="FFFFFF"/>
            <w:noWrap/>
            <w:vAlign w:val="bottom"/>
            <w:hideMark/>
          </w:tcPr>
          <w:p w14:paraId="04A0237E" w14:textId="77777777" w:rsidR="00F16CB6" w:rsidRPr="00F16CB6" w:rsidRDefault="00F16CB6">
            <w:pPr>
              <w:rPr>
                <w:rFonts w:asciiTheme="majorHAnsi" w:hAnsiTheme="majorHAnsi" w:cstheme="majorHAnsi"/>
                <w:sz w:val="16"/>
                <w:szCs w:val="16"/>
              </w:rPr>
            </w:pPr>
            <w:r w:rsidRPr="00F16CB6">
              <w:rPr>
                <w:rFonts w:asciiTheme="majorHAnsi" w:hAnsiTheme="majorHAnsi" w:cstheme="majorHAnsi"/>
                <w:sz w:val="16"/>
                <w:szCs w:val="16"/>
              </w:rPr>
              <w:t> </w:t>
            </w:r>
          </w:p>
        </w:tc>
        <w:tc>
          <w:tcPr>
            <w:tcW w:w="798" w:type="pct"/>
            <w:tcBorders>
              <w:top w:val="nil"/>
              <w:left w:val="nil"/>
              <w:bottom w:val="nil"/>
              <w:right w:val="nil"/>
            </w:tcBorders>
            <w:shd w:val="clear" w:color="000000" w:fill="FFFFFF"/>
            <w:noWrap/>
            <w:vAlign w:val="bottom"/>
            <w:hideMark/>
          </w:tcPr>
          <w:p w14:paraId="0E7E5731" w14:textId="77777777" w:rsidR="00F16CB6" w:rsidRPr="00F16CB6" w:rsidRDefault="00F16CB6" w:rsidP="00F16CB6">
            <w:pPr>
              <w:ind w:hanging="69"/>
              <w:jc w:val="right"/>
              <w:rPr>
                <w:rFonts w:asciiTheme="majorHAnsi" w:hAnsiTheme="majorHAnsi" w:cstheme="majorHAnsi"/>
                <w:b/>
                <w:bCs/>
                <w:sz w:val="16"/>
                <w:szCs w:val="16"/>
              </w:rPr>
            </w:pPr>
            <w:r w:rsidRPr="00F16CB6">
              <w:rPr>
                <w:rFonts w:asciiTheme="majorHAnsi" w:hAnsiTheme="majorHAnsi" w:cstheme="majorHAnsi"/>
                <w:b/>
                <w:bCs/>
                <w:sz w:val="16"/>
                <w:szCs w:val="16"/>
              </w:rPr>
              <w:t> </w:t>
            </w:r>
          </w:p>
        </w:tc>
        <w:tc>
          <w:tcPr>
            <w:tcW w:w="1015" w:type="pct"/>
            <w:tcBorders>
              <w:top w:val="nil"/>
              <w:left w:val="nil"/>
              <w:bottom w:val="nil"/>
              <w:right w:val="nil"/>
            </w:tcBorders>
            <w:shd w:val="clear" w:color="000000" w:fill="FFFFFF"/>
            <w:noWrap/>
            <w:vAlign w:val="bottom"/>
            <w:hideMark/>
          </w:tcPr>
          <w:p w14:paraId="1FE3B20B" w14:textId="77777777" w:rsidR="00F16CB6" w:rsidRPr="00F16CB6" w:rsidRDefault="00F16CB6" w:rsidP="00F16CB6">
            <w:pPr>
              <w:jc w:val="right"/>
              <w:rPr>
                <w:rFonts w:asciiTheme="majorHAnsi" w:hAnsiTheme="majorHAnsi" w:cstheme="majorHAnsi"/>
                <w:b/>
                <w:bCs/>
                <w:sz w:val="16"/>
                <w:szCs w:val="16"/>
              </w:rPr>
            </w:pPr>
            <w:r w:rsidRPr="00F16CB6">
              <w:rPr>
                <w:rFonts w:asciiTheme="majorHAnsi" w:hAnsiTheme="majorHAnsi" w:cstheme="majorHAnsi"/>
                <w:b/>
                <w:bCs/>
                <w:sz w:val="16"/>
                <w:szCs w:val="16"/>
              </w:rPr>
              <w:t> </w:t>
            </w:r>
          </w:p>
        </w:tc>
      </w:tr>
      <w:tr w:rsidR="00F16CB6" w:rsidRPr="00F16CB6" w14:paraId="504B75E5" w14:textId="77777777" w:rsidTr="00F16CB6">
        <w:trPr>
          <w:trHeight w:hRule="exact" w:val="227"/>
        </w:trPr>
        <w:tc>
          <w:tcPr>
            <w:tcW w:w="1727" w:type="pct"/>
            <w:tcBorders>
              <w:top w:val="nil"/>
              <w:left w:val="nil"/>
              <w:bottom w:val="nil"/>
              <w:right w:val="nil"/>
            </w:tcBorders>
            <w:shd w:val="clear" w:color="000000" w:fill="FFFFFF"/>
            <w:noWrap/>
            <w:vAlign w:val="bottom"/>
            <w:hideMark/>
          </w:tcPr>
          <w:p w14:paraId="047C7675" w14:textId="77777777" w:rsidR="00F16CB6" w:rsidRPr="00F16CB6" w:rsidRDefault="00F16CB6">
            <w:pPr>
              <w:rPr>
                <w:rFonts w:asciiTheme="majorHAnsi" w:hAnsiTheme="majorHAnsi" w:cstheme="majorHAnsi"/>
                <w:b/>
                <w:bCs/>
                <w:sz w:val="16"/>
                <w:szCs w:val="16"/>
              </w:rPr>
            </w:pPr>
            <w:r w:rsidRPr="00F16CB6">
              <w:rPr>
                <w:rFonts w:asciiTheme="majorHAnsi" w:hAnsiTheme="majorHAnsi" w:cstheme="majorHAnsi"/>
                <w:b/>
                <w:bCs/>
                <w:sz w:val="16"/>
                <w:szCs w:val="16"/>
              </w:rPr>
              <w:t>IV. RETENÇÕES</w:t>
            </w:r>
          </w:p>
        </w:tc>
        <w:tc>
          <w:tcPr>
            <w:tcW w:w="86" w:type="pct"/>
            <w:tcBorders>
              <w:top w:val="nil"/>
              <w:left w:val="nil"/>
              <w:bottom w:val="nil"/>
              <w:right w:val="nil"/>
            </w:tcBorders>
            <w:shd w:val="clear" w:color="000000" w:fill="FFFFFF"/>
            <w:noWrap/>
            <w:vAlign w:val="bottom"/>
            <w:hideMark/>
          </w:tcPr>
          <w:p w14:paraId="35D922F9" w14:textId="77777777" w:rsidR="00F16CB6" w:rsidRPr="00F16CB6" w:rsidRDefault="00F16CB6">
            <w:pPr>
              <w:rPr>
                <w:rFonts w:asciiTheme="majorHAnsi" w:hAnsiTheme="majorHAnsi" w:cstheme="majorHAnsi"/>
                <w:sz w:val="16"/>
                <w:szCs w:val="16"/>
              </w:rPr>
            </w:pPr>
            <w:r w:rsidRPr="00F16CB6">
              <w:rPr>
                <w:rFonts w:asciiTheme="majorHAnsi" w:hAnsiTheme="majorHAnsi" w:cstheme="majorHAnsi"/>
                <w:sz w:val="16"/>
                <w:szCs w:val="16"/>
              </w:rPr>
              <w:t> </w:t>
            </w:r>
          </w:p>
        </w:tc>
        <w:tc>
          <w:tcPr>
            <w:tcW w:w="1374" w:type="pct"/>
            <w:tcBorders>
              <w:top w:val="nil"/>
              <w:left w:val="nil"/>
              <w:bottom w:val="nil"/>
              <w:right w:val="nil"/>
            </w:tcBorders>
            <w:shd w:val="clear" w:color="000000" w:fill="FFFFFF"/>
            <w:noWrap/>
            <w:vAlign w:val="bottom"/>
            <w:hideMark/>
          </w:tcPr>
          <w:p w14:paraId="661F7456" w14:textId="77777777" w:rsidR="00F16CB6" w:rsidRPr="00F16CB6" w:rsidRDefault="00F16CB6">
            <w:pPr>
              <w:rPr>
                <w:rFonts w:asciiTheme="majorHAnsi" w:hAnsiTheme="majorHAnsi" w:cstheme="majorHAnsi"/>
                <w:sz w:val="16"/>
                <w:szCs w:val="16"/>
              </w:rPr>
            </w:pPr>
            <w:r w:rsidRPr="00F16CB6">
              <w:rPr>
                <w:rFonts w:asciiTheme="majorHAnsi" w:hAnsiTheme="majorHAnsi" w:cstheme="majorHAnsi"/>
                <w:sz w:val="16"/>
                <w:szCs w:val="16"/>
              </w:rPr>
              <w:t> </w:t>
            </w:r>
          </w:p>
        </w:tc>
        <w:tc>
          <w:tcPr>
            <w:tcW w:w="798" w:type="pct"/>
            <w:tcBorders>
              <w:top w:val="nil"/>
              <w:left w:val="nil"/>
              <w:bottom w:val="nil"/>
              <w:right w:val="nil"/>
            </w:tcBorders>
            <w:shd w:val="clear" w:color="000000" w:fill="FFFFFF"/>
            <w:noWrap/>
            <w:vAlign w:val="bottom"/>
            <w:hideMark/>
          </w:tcPr>
          <w:p w14:paraId="5FBEE4D3" w14:textId="77777777" w:rsidR="00F16CB6" w:rsidRPr="00F16CB6" w:rsidRDefault="00F16CB6" w:rsidP="00F16CB6">
            <w:pPr>
              <w:ind w:hanging="69"/>
              <w:jc w:val="right"/>
              <w:rPr>
                <w:rFonts w:asciiTheme="majorHAnsi" w:hAnsiTheme="majorHAnsi" w:cstheme="majorHAnsi"/>
                <w:b/>
                <w:bCs/>
                <w:sz w:val="16"/>
                <w:szCs w:val="16"/>
              </w:rPr>
            </w:pPr>
            <w:r w:rsidRPr="00F16CB6">
              <w:rPr>
                <w:rFonts w:asciiTheme="majorHAnsi" w:hAnsiTheme="majorHAnsi" w:cstheme="majorHAnsi"/>
                <w:b/>
                <w:bCs/>
                <w:sz w:val="16"/>
                <w:szCs w:val="16"/>
              </w:rPr>
              <w:t>4.003.488</w:t>
            </w:r>
          </w:p>
        </w:tc>
        <w:tc>
          <w:tcPr>
            <w:tcW w:w="1015" w:type="pct"/>
            <w:tcBorders>
              <w:top w:val="nil"/>
              <w:left w:val="nil"/>
              <w:bottom w:val="nil"/>
              <w:right w:val="nil"/>
            </w:tcBorders>
            <w:shd w:val="clear" w:color="000000" w:fill="FFFFFF"/>
            <w:noWrap/>
            <w:vAlign w:val="bottom"/>
            <w:hideMark/>
          </w:tcPr>
          <w:p w14:paraId="395D6DD6" w14:textId="77777777" w:rsidR="00F16CB6" w:rsidRPr="00F16CB6" w:rsidRDefault="00F16CB6" w:rsidP="00F16CB6">
            <w:pPr>
              <w:jc w:val="right"/>
              <w:rPr>
                <w:rFonts w:asciiTheme="majorHAnsi" w:hAnsiTheme="majorHAnsi" w:cstheme="majorHAnsi"/>
                <w:b/>
                <w:bCs/>
                <w:sz w:val="16"/>
                <w:szCs w:val="16"/>
              </w:rPr>
            </w:pPr>
            <w:r w:rsidRPr="00F16CB6">
              <w:rPr>
                <w:rFonts w:asciiTheme="majorHAnsi" w:hAnsiTheme="majorHAnsi" w:cstheme="majorHAnsi"/>
                <w:b/>
                <w:bCs/>
                <w:sz w:val="16"/>
                <w:szCs w:val="16"/>
              </w:rPr>
              <w:t>5.585.451</w:t>
            </w:r>
          </w:p>
        </w:tc>
      </w:tr>
      <w:tr w:rsidR="00F16CB6" w:rsidRPr="00F16CB6" w14:paraId="1AE44F2D" w14:textId="77777777" w:rsidTr="00F16CB6">
        <w:trPr>
          <w:trHeight w:hRule="exact" w:val="227"/>
        </w:trPr>
        <w:tc>
          <w:tcPr>
            <w:tcW w:w="1813" w:type="pct"/>
            <w:gridSpan w:val="2"/>
            <w:tcBorders>
              <w:top w:val="nil"/>
              <w:left w:val="nil"/>
              <w:bottom w:val="nil"/>
              <w:right w:val="nil"/>
            </w:tcBorders>
            <w:shd w:val="clear" w:color="000000" w:fill="FFFFFF"/>
            <w:noWrap/>
            <w:vAlign w:val="bottom"/>
            <w:hideMark/>
          </w:tcPr>
          <w:p w14:paraId="79F6B325" w14:textId="77777777" w:rsidR="00F16CB6" w:rsidRPr="00F16CB6" w:rsidRDefault="00F16CB6">
            <w:pPr>
              <w:rPr>
                <w:rFonts w:asciiTheme="majorHAnsi" w:hAnsiTheme="majorHAnsi" w:cstheme="majorHAnsi"/>
                <w:sz w:val="16"/>
                <w:szCs w:val="16"/>
              </w:rPr>
            </w:pPr>
            <w:r w:rsidRPr="00F16CB6">
              <w:rPr>
                <w:rFonts w:asciiTheme="majorHAnsi" w:hAnsiTheme="majorHAnsi" w:cstheme="majorHAnsi"/>
                <w:sz w:val="16"/>
                <w:szCs w:val="16"/>
              </w:rPr>
              <w:t xml:space="preserve">        Depreciação e Amortização</w:t>
            </w:r>
          </w:p>
        </w:tc>
        <w:tc>
          <w:tcPr>
            <w:tcW w:w="1374" w:type="pct"/>
            <w:tcBorders>
              <w:top w:val="nil"/>
              <w:left w:val="nil"/>
              <w:bottom w:val="nil"/>
              <w:right w:val="nil"/>
            </w:tcBorders>
            <w:shd w:val="clear" w:color="000000" w:fill="FFFFFF"/>
            <w:noWrap/>
            <w:vAlign w:val="bottom"/>
            <w:hideMark/>
          </w:tcPr>
          <w:p w14:paraId="0843944C" w14:textId="77777777" w:rsidR="00F16CB6" w:rsidRPr="00F16CB6" w:rsidRDefault="00F16CB6">
            <w:pPr>
              <w:rPr>
                <w:rFonts w:asciiTheme="majorHAnsi" w:hAnsiTheme="majorHAnsi" w:cstheme="majorHAnsi"/>
                <w:sz w:val="16"/>
                <w:szCs w:val="16"/>
              </w:rPr>
            </w:pPr>
            <w:r w:rsidRPr="00F16CB6">
              <w:rPr>
                <w:rFonts w:asciiTheme="majorHAnsi" w:hAnsiTheme="majorHAnsi" w:cstheme="majorHAnsi"/>
                <w:sz w:val="16"/>
                <w:szCs w:val="16"/>
              </w:rPr>
              <w:t> </w:t>
            </w:r>
          </w:p>
        </w:tc>
        <w:tc>
          <w:tcPr>
            <w:tcW w:w="798" w:type="pct"/>
            <w:tcBorders>
              <w:top w:val="nil"/>
              <w:left w:val="nil"/>
              <w:bottom w:val="nil"/>
              <w:right w:val="nil"/>
            </w:tcBorders>
            <w:shd w:val="clear" w:color="000000" w:fill="FFFFFF"/>
            <w:noWrap/>
            <w:vAlign w:val="bottom"/>
            <w:hideMark/>
          </w:tcPr>
          <w:p w14:paraId="239CD2D8" w14:textId="77777777" w:rsidR="00F16CB6" w:rsidRPr="00F16CB6" w:rsidRDefault="00F16CB6" w:rsidP="00F16CB6">
            <w:pPr>
              <w:ind w:hanging="69"/>
              <w:jc w:val="right"/>
              <w:rPr>
                <w:rFonts w:asciiTheme="majorHAnsi" w:hAnsiTheme="majorHAnsi" w:cstheme="majorHAnsi"/>
                <w:sz w:val="16"/>
                <w:szCs w:val="16"/>
              </w:rPr>
            </w:pPr>
            <w:r w:rsidRPr="00F16CB6">
              <w:rPr>
                <w:rFonts w:asciiTheme="majorHAnsi" w:hAnsiTheme="majorHAnsi" w:cstheme="majorHAnsi"/>
                <w:sz w:val="16"/>
                <w:szCs w:val="16"/>
              </w:rPr>
              <w:t>3.228.979</w:t>
            </w:r>
          </w:p>
        </w:tc>
        <w:tc>
          <w:tcPr>
            <w:tcW w:w="1015" w:type="pct"/>
            <w:tcBorders>
              <w:top w:val="nil"/>
              <w:left w:val="nil"/>
              <w:bottom w:val="nil"/>
              <w:right w:val="nil"/>
            </w:tcBorders>
            <w:shd w:val="clear" w:color="000000" w:fill="FFFFFF"/>
            <w:noWrap/>
            <w:vAlign w:val="bottom"/>
            <w:hideMark/>
          </w:tcPr>
          <w:p w14:paraId="52517AE4" w14:textId="77777777" w:rsidR="00F16CB6" w:rsidRPr="00F16CB6" w:rsidRDefault="00F16CB6" w:rsidP="00F16CB6">
            <w:pPr>
              <w:jc w:val="right"/>
              <w:rPr>
                <w:rFonts w:asciiTheme="majorHAnsi" w:hAnsiTheme="majorHAnsi" w:cstheme="majorHAnsi"/>
                <w:sz w:val="16"/>
                <w:szCs w:val="16"/>
              </w:rPr>
            </w:pPr>
            <w:r w:rsidRPr="00F16CB6">
              <w:rPr>
                <w:rFonts w:asciiTheme="majorHAnsi" w:hAnsiTheme="majorHAnsi" w:cstheme="majorHAnsi"/>
                <w:sz w:val="16"/>
                <w:szCs w:val="16"/>
              </w:rPr>
              <w:t>3.242.179</w:t>
            </w:r>
          </w:p>
        </w:tc>
      </w:tr>
      <w:tr w:rsidR="00F16CB6" w:rsidRPr="00F16CB6" w14:paraId="7DADA2AA" w14:textId="77777777" w:rsidTr="00F16CB6">
        <w:trPr>
          <w:trHeight w:hRule="exact" w:val="227"/>
        </w:trPr>
        <w:tc>
          <w:tcPr>
            <w:tcW w:w="1813" w:type="pct"/>
            <w:gridSpan w:val="2"/>
            <w:tcBorders>
              <w:top w:val="nil"/>
              <w:left w:val="nil"/>
              <w:bottom w:val="nil"/>
              <w:right w:val="nil"/>
            </w:tcBorders>
            <w:shd w:val="clear" w:color="000000" w:fill="FFFFFF"/>
            <w:noWrap/>
            <w:vAlign w:val="bottom"/>
            <w:hideMark/>
          </w:tcPr>
          <w:p w14:paraId="43BE3CBA" w14:textId="77777777" w:rsidR="00F16CB6" w:rsidRPr="00F16CB6" w:rsidRDefault="00F16CB6">
            <w:pPr>
              <w:rPr>
                <w:rFonts w:asciiTheme="majorHAnsi" w:hAnsiTheme="majorHAnsi" w:cstheme="majorHAnsi"/>
                <w:sz w:val="16"/>
                <w:szCs w:val="16"/>
              </w:rPr>
            </w:pPr>
            <w:r w:rsidRPr="00F16CB6">
              <w:rPr>
                <w:rFonts w:asciiTheme="majorHAnsi" w:hAnsiTheme="majorHAnsi" w:cstheme="majorHAnsi"/>
                <w:sz w:val="16"/>
                <w:szCs w:val="16"/>
              </w:rPr>
              <w:t xml:space="preserve">        Depreciação de Direito de Uso</w:t>
            </w:r>
          </w:p>
        </w:tc>
        <w:tc>
          <w:tcPr>
            <w:tcW w:w="1374" w:type="pct"/>
            <w:tcBorders>
              <w:top w:val="nil"/>
              <w:left w:val="nil"/>
              <w:bottom w:val="nil"/>
              <w:right w:val="nil"/>
            </w:tcBorders>
            <w:shd w:val="clear" w:color="000000" w:fill="FFFFFF"/>
            <w:noWrap/>
            <w:vAlign w:val="bottom"/>
            <w:hideMark/>
          </w:tcPr>
          <w:p w14:paraId="742C7B11" w14:textId="77777777" w:rsidR="00F16CB6" w:rsidRPr="00F16CB6" w:rsidRDefault="00F16CB6">
            <w:pPr>
              <w:rPr>
                <w:rFonts w:asciiTheme="majorHAnsi" w:hAnsiTheme="majorHAnsi" w:cstheme="majorHAnsi"/>
                <w:sz w:val="16"/>
                <w:szCs w:val="16"/>
              </w:rPr>
            </w:pPr>
            <w:r w:rsidRPr="00F16CB6">
              <w:rPr>
                <w:rFonts w:asciiTheme="majorHAnsi" w:hAnsiTheme="majorHAnsi" w:cstheme="majorHAnsi"/>
                <w:sz w:val="16"/>
                <w:szCs w:val="16"/>
              </w:rPr>
              <w:t> </w:t>
            </w:r>
          </w:p>
        </w:tc>
        <w:tc>
          <w:tcPr>
            <w:tcW w:w="798" w:type="pct"/>
            <w:tcBorders>
              <w:top w:val="nil"/>
              <w:left w:val="nil"/>
              <w:bottom w:val="nil"/>
              <w:right w:val="nil"/>
            </w:tcBorders>
            <w:shd w:val="clear" w:color="000000" w:fill="FFFFFF"/>
            <w:noWrap/>
            <w:vAlign w:val="bottom"/>
            <w:hideMark/>
          </w:tcPr>
          <w:p w14:paraId="697A30A9" w14:textId="77777777" w:rsidR="00F16CB6" w:rsidRPr="00F16CB6" w:rsidRDefault="00F16CB6" w:rsidP="00F16CB6">
            <w:pPr>
              <w:ind w:hanging="69"/>
              <w:jc w:val="right"/>
              <w:rPr>
                <w:rFonts w:asciiTheme="majorHAnsi" w:hAnsiTheme="majorHAnsi" w:cstheme="majorHAnsi"/>
                <w:sz w:val="16"/>
                <w:szCs w:val="16"/>
              </w:rPr>
            </w:pPr>
            <w:r w:rsidRPr="00F16CB6">
              <w:rPr>
                <w:rFonts w:asciiTheme="majorHAnsi" w:hAnsiTheme="majorHAnsi" w:cstheme="majorHAnsi"/>
                <w:sz w:val="16"/>
                <w:szCs w:val="16"/>
              </w:rPr>
              <w:t>774.508</w:t>
            </w:r>
          </w:p>
        </w:tc>
        <w:tc>
          <w:tcPr>
            <w:tcW w:w="1015" w:type="pct"/>
            <w:tcBorders>
              <w:top w:val="nil"/>
              <w:left w:val="nil"/>
              <w:bottom w:val="nil"/>
              <w:right w:val="nil"/>
            </w:tcBorders>
            <w:shd w:val="clear" w:color="000000" w:fill="FFFFFF"/>
            <w:noWrap/>
            <w:vAlign w:val="bottom"/>
            <w:hideMark/>
          </w:tcPr>
          <w:p w14:paraId="0FA9BC68" w14:textId="77777777" w:rsidR="00F16CB6" w:rsidRPr="00F16CB6" w:rsidRDefault="00F16CB6" w:rsidP="00F16CB6">
            <w:pPr>
              <w:jc w:val="right"/>
              <w:rPr>
                <w:rFonts w:asciiTheme="majorHAnsi" w:hAnsiTheme="majorHAnsi" w:cstheme="majorHAnsi"/>
                <w:sz w:val="16"/>
                <w:szCs w:val="16"/>
              </w:rPr>
            </w:pPr>
            <w:r w:rsidRPr="00F16CB6">
              <w:rPr>
                <w:rFonts w:asciiTheme="majorHAnsi" w:hAnsiTheme="majorHAnsi" w:cstheme="majorHAnsi"/>
                <w:sz w:val="16"/>
                <w:szCs w:val="16"/>
              </w:rPr>
              <w:t>2.343.272</w:t>
            </w:r>
          </w:p>
        </w:tc>
      </w:tr>
      <w:tr w:rsidR="00F16CB6" w:rsidRPr="00F16CB6" w14:paraId="34796EB5" w14:textId="77777777" w:rsidTr="00F16CB6">
        <w:trPr>
          <w:trHeight w:hRule="exact" w:val="227"/>
        </w:trPr>
        <w:tc>
          <w:tcPr>
            <w:tcW w:w="1727" w:type="pct"/>
            <w:tcBorders>
              <w:top w:val="nil"/>
              <w:left w:val="nil"/>
              <w:bottom w:val="nil"/>
              <w:right w:val="nil"/>
            </w:tcBorders>
            <w:shd w:val="clear" w:color="000000" w:fill="FFFFFF"/>
            <w:noWrap/>
            <w:vAlign w:val="bottom"/>
            <w:hideMark/>
          </w:tcPr>
          <w:p w14:paraId="09465F81" w14:textId="77777777" w:rsidR="00F16CB6" w:rsidRPr="00F16CB6" w:rsidRDefault="00F16CB6">
            <w:pPr>
              <w:rPr>
                <w:rFonts w:asciiTheme="majorHAnsi" w:hAnsiTheme="majorHAnsi" w:cstheme="majorHAnsi"/>
                <w:sz w:val="16"/>
                <w:szCs w:val="16"/>
              </w:rPr>
            </w:pPr>
            <w:r w:rsidRPr="00F16CB6">
              <w:rPr>
                <w:rFonts w:asciiTheme="majorHAnsi" w:hAnsiTheme="majorHAnsi" w:cstheme="majorHAnsi"/>
                <w:sz w:val="16"/>
                <w:szCs w:val="16"/>
              </w:rPr>
              <w:t> </w:t>
            </w:r>
          </w:p>
        </w:tc>
        <w:tc>
          <w:tcPr>
            <w:tcW w:w="86" w:type="pct"/>
            <w:tcBorders>
              <w:top w:val="nil"/>
              <w:left w:val="nil"/>
              <w:bottom w:val="nil"/>
              <w:right w:val="nil"/>
            </w:tcBorders>
            <w:shd w:val="clear" w:color="000000" w:fill="FFFFFF"/>
            <w:noWrap/>
            <w:vAlign w:val="bottom"/>
            <w:hideMark/>
          </w:tcPr>
          <w:p w14:paraId="6BCA8232" w14:textId="77777777" w:rsidR="00F16CB6" w:rsidRPr="00F16CB6" w:rsidRDefault="00F16CB6">
            <w:pPr>
              <w:rPr>
                <w:rFonts w:asciiTheme="majorHAnsi" w:hAnsiTheme="majorHAnsi" w:cstheme="majorHAnsi"/>
                <w:sz w:val="16"/>
                <w:szCs w:val="16"/>
              </w:rPr>
            </w:pPr>
            <w:r w:rsidRPr="00F16CB6">
              <w:rPr>
                <w:rFonts w:asciiTheme="majorHAnsi" w:hAnsiTheme="majorHAnsi" w:cstheme="majorHAnsi"/>
                <w:sz w:val="16"/>
                <w:szCs w:val="16"/>
              </w:rPr>
              <w:t> </w:t>
            </w:r>
          </w:p>
        </w:tc>
        <w:tc>
          <w:tcPr>
            <w:tcW w:w="1374" w:type="pct"/>
            <w:tcBorders>
              <w:top w:val="nil"/>
              <w:left w:val="nil"/>
              <w:bottom w:val="nil"/>
              <w:right w:val="nil"/>
            </w:tcBorders>
            <w:shd w:val="clear" w:color="000000" w:fill="FFFFFF"/>
            <w:noWrap/>
            <w:vAlign w:val="bottom"/>
            <w:hideMark/>
          </w:tcPr>
          <w:p w14:paraId="52F1AA0E" w14:textId="77777777" w:rsidR="00F16CB6" w:rsidRPr="00F16CB6" w:rsidRDefault="00F16CB6">
            <w:pPr>
              <w:rPr>
                <w:rFonts w:asciiTheme="majorHAnsi" w:hAnsiTheme="majorHAnsi" w:cstheme="majorHAnsi"/>
                <w:sz w:val="16"/>
                <w:szCs w:val="16"/>
              </w:rPr>
            </w:pPr>
            <w:r w:rsidRPr="00F16CB6">
              <w:rPr>
                <w:rFonts w:asciiTheme="majorHAnsi" w:hAnsiTheme="majorHAnsi" w:cstheme="majorHAnsi"/>
                <w:sz w:val="16"/>
                <w:szCs w:val="16"/>
              </w:rPr>
              <w:t> </w:t>
            </w:r>
          </w:p>
        </w:tc>
        <w:tc>
          <w:tcPr>
            <w:tcW w:w="798" w:type="pct"/>
            <w:tcBorders>
              <w:top w:val="nil"/>
              <w:left w:val="nil"/>
              <w:bottom w:val="nil"/>
              <w:right w:val="nil"/>
            </w:tcBorders>
            <w:shd w:val="clear" w:color="000000" w:fill="FFFFFF"/>
            <w:noWrap/>
            <w:vAlign w:val="bottom"/>
            <w:hideMark/>
          </w:tcPr>
          <w:p w14:paraId="1C15B886" w14:textId="77777777" w:rsidR="00F16CB6" w:rsidRPr="00F16CB6" w:rsidRDefault="00F16CB6" w:rsidP="00F16CB6">
            <w:pPr>
              <w:ind w:hanging="69"/>
              <w:jc w:val="right"/>
              <w:rPr>
                <w:rFonts w:asciiTheme="majorHAnsi" w:hAnsiTheme="majorHAnsi" w:cstheme="majorHAnsi"/>
                <w:sz w:val="16"/>
                <w:szCs w:val="16"/>
              </w:rPr>
            </w:pPr>
            <w:r w:rsidRPr="00F16CB6">
              <w:rPr>
                <w:rFonts w:asciiTheme="majorHAnsi" w:hAnsiTheme="majorHAnsi" w:cstheme="majorHAnsi"/>
                <w:sz w:val="16"/>
                <w:szCs w:val="16"/>
              </w:rPr>
              <w:t> </w:t>
            </w:r>
          </w:p>
        </w:tc>
        <w:tc>
          <w:tcPr>
            <w:tcW w:w="1015" w:type="pct"/>
            <w:tcBorders>
              <w:top w:val="nil"/>
              <w:left w:val="nil"/>
              <w:bottom w:val="nil"/>
              <w:right w:val="nil"/>
            </w:tcBorders>
            <w:shd w:val="clear" w:color="000000" w:fill="FFFFFF"/>
            <w:noWrap/>
            <w:vAlign w:val="bottom"/>
            <w:hideMark/>
          </w:tcPr>
          <w:p w14:paraId="0854B391" w14:textId="77777777" w:rsidR="00F16CB6" w:rsidRPr="00F16CB6" w:rsidRDefault="00F16CB6" w:rsidP="00F16CB6">
            <w:pPr>
              <w:jc w:val="right"/>
              <w:rPr>
                <w:rFonts w:asciiTheme="majorHAnsi" w:hAnsiTheme="majorHAnsi" w:cstheme="majorHAnsi"/>
                <w:sz w:val="16"/>
                <w:szCs w:val="16"/>
              </w:rPr>
            </w:pPr>
            <w:r w:rsidRPr="00F16CB6">
              <w:rPr>
                <w:rFonts w:asciiTheme="majorHAnsi" w:hAnsiTheme="majorHAnsi" w:cstheme="majorHAnsi"/>
                <w:sz w:val="16"/>
                <w:szCs w:val="16"/>
              </w:rPr>
              <w:t> </w:t>
            </w:r>
          </w:p>
        </w:tc>
      </w:tr>
      <w:tr w:rsidR="00F16CB6" w:rsidRPr="00F16CB6" w14:paraId="58FD9428" w14:textId="77777777" w:rsidTr="00F16CB6">
        <w:trPr>
          <w:trHeight w:hRule="exact" w:val="227"/>
        </w:trPr>
        <w:tc>
          <w:tcPr>
            <w:tcW w:w="1813" w:type="pct"/>
            <w:gridSpan w:val="2"/>
            <w:tcBorders>
              <w:top w:val="nil"/>
              <w:left w:val="nil"/>
              <w:bottom w:val="nil"/>
              <w:right w:val="nil"/>
            </w:tcBorders>
            <w:shd w:val="clear" w:color="000000" w:fill="FFFFFF"/>
            <w:noWrap/>
            <w:vAlign w:val="bottom"/>
            <w:hideMark/>
          </w:tcPr>
          <w:p w14:paraId="3198F5F7" w14:textId="77777777" w:rsidR="00F16CB6" w:rsidRPr="00F16CB6" w:rsidRDefault="00F16CB6">
            <w:pPr>
              <w:rPr>
                <w:rFonts w:asciiTheme="majorHAnsi" w:hAnsiTheme="majorHAnsi" w:cstheme="majorHAnsi"/>
                <w:b/>
                <w:bCs/>
                <w:sz w:val="16"/>
                <w:szCs w:val="16"/>
              </w:rPr>
            </w:pPr>
            <w:r w:rsidRPr="00F16CB6">
              <w:rPr>
                <w:rFonts w:asciiTheme="majorHAnsi" w:hAnsiTheme="majorHAnsi" w:cstheme="majorHAnsi"/>
                <w:b/>
                <w:bCs/>
                <w:sz w:val="16"/>
                <w:szCs w:val="16"/>
              </w:rPr>
              <w:t>V. VALOR ADICIONADO LÍQUIDO PRODUZIDO PELA ENTIDADE (III - IV)</w:t>
            </w:r>
          </w:p>
        </w:tc>
        <w:tc>
          <w:tcPr>
            <w:tcW w:w="1374" w:type="pct"/>
            <w:tcBorders>
              <w:top w:val="nil"/>
              <w:left w:val="nil"/>
              <w:bottom w:val="nil"/>
              <w:right w:val="nil"/>
            </w:tcBorders>
            <w:shd w:val="clear" w:color="000000" w:fill="FFFFFF"/>
            <w:noWrap/>
            <w:vAlign w:val="bottom"/>
            <w:hideMark/>
          </w:tcPr>
          <w:p w14:paraId="5420C0E6" w14:textId="77777777" w:rsidR="00F16CB6" w:rsidRPr="00F16CB6" w:rsidRDefault="00F16CB6">
            <w:pPr>
              <w:rPr>
                <w:rFonts w:asciiTheme="majorHAnsi" w:hAnsiTheme="majorHAnsi" w:cstheme="majorHAnsi"/>
                <w:sz w:val="16"/>
                <w:szCs w:val="16"/>
              </w:rPr>
            </w:pPr>
            <w:r w:rsidRPr="00F16CB6">
              <w:rPr>
                <w:rFonts w:asciiTheme="majorHAnsi" w:hAnsiTheme="majorHAnsi" w:cstheme="majorHAnsi"/>
                <w:sz w:val="16"/>
                <w:szCs w:val="16"/>
              </w:rPr>
              <w:t> </w:t>
            </w:r>
          </w:p>
        </w:tc>
        <w:tc>
          <w:tcPr>
            <w:tcW w:w="798" w:type="pct"/>
            <w:tcBorders>
              <w:top w:val="nil"/>
              <w:left w:val="nil"/>
              <w:bottom w:val="nil"/>
              <w:right w:val="nil"/>
            </w:tcBorders>
            <w:shd w:val="clear" w:color="000000" w:fill="FFFFFF"/>
            <w:noWrap/>
            <w:vAlign w:val="bottom"/>
            <w:hideMark/>
          </w:tcPr>
          <w:p w14:paraId="07950BED" w14:textId="77777777" w:rsidR="00F16CB6" w:rsidRPr="00F16CB6" w:rsidRDefault="00F16CB6" w:rsidP="00F16CB6">
            <w:pPr>
              <w:ind w:hanging="69"/>
              <w:jc w:val="right"/>
              <w:rPr>
                <w:rFonts w:asciiTheme="majorHAnsi" w:hAnsiTheme="majorHAnsi" w:cstheme="majorHAnsi"/>
                <w:b/>
                <w:bCs/>
                <w:sz w:val="16"/>
                <w:szCs w:val="16"/>
              </w:rPr>
            </w:pPr>
            <w:r w:rsidRPr="00F16CB6">
              <w:rPr>
                <w:rFonts w:asciiTheme="majorHAnsi" w:hAnsiTheme="majorHAnsi" w:cstheme="majorHAnsi"/>
                <w:b/>
                <w:bCs/>
                <w:sz w:val="16"/>
                <w:szCs w:val="16"/>
              </w:rPr>
              <w:t xml:space="preserve">          109.005.674 </w:t>
            </w:r>
          </w:p>
        </w:tc>
        <w:tc>
          <w:tcPr>
            <w:tcW w:w="1015" w:type="pct"/>
            <w:tcBorders>
              <w:top w:val="nil"/>
              <w:left w:val="nil"/>
              <w:bottom w:val="nil"/>
              <w:right w:val="nil"/>
            </w:tcBorders>
            <w:shd w:val="clear" w:color="000000" w:fill="FFFFFF"/>
            <w:noWrap/>
            <w:vAlign w:val="bottom"/>
            <w:hideMark/>
          </w:tcPr>
          <w:p w14:paraId="7BF74ACD" w14:textId="77777777" w:rsidR="00F16CB6" w:rsidRPr="00F16CB6" w:rsidRDefault="00F16CB6" w:rsidP="00F16CB6">
            <w:pPr>
              <w:jc w:val="right"/>
              <w:rPr>
                <w:rFonts w:asciiTheme="majorHAnsi" w:hAnsiTheme="majorHAnsi" w:cstheme="majorHAnsi"/>
                <w:b/>
                <w:bCs/>
                <w:sz w:val="16"/>
                <w:szCs w:val="16"/>
              </w:rPr>
            </w:pPr>
            <w:r w:rsidRPr="00F16CB6">
              <w:rPr>
                <w:rFonts w:asciiTheme="majorHAnsi" w:hAnsiTheme="majorHAnsi" w:cstheme="majorHAnsi"/>
                <w:b/>
                <w:bCs/>
                <w:sz w:val="16"/>
                <w:szCs w:val="16"/>
              </w:rPr>
              <w:t xml:space="preserve">                         21.410.471 </w:t>
            </w:r>
          </w:p>
        </w:tc>
      </w:tr>
      <w:tr w:rsidR="00F16CB6" w:rsidRPr="00F16CB6" w14:paraId="4E1765C7" w14:textId="77777777" w:rsidTr="00F16CB6">
        <w:trPr>
          <w:trHeight w:hRule="exact" w:val="227"/>
        </w:trPr>
        <w:tc>
          <w:tcPr>
            <w:tcW w:w="1727" w:type="pct"/>
            <w:tcBorders>
              <w:top w:val="nil"/>
              <w:left w:val="nil"/>
              <w:bottom w:val="nil"/>
              <w:right w:val="nil"/>
            </w:tcBorders>
            <w:shd w:val="clear" w:color="000000" w:fill="FFFFFF"/>
            <w:noWrap/>
            <w:vAlign w:val="bottom"/>
            <w:hideMark/>
          </w:tcPr>
          <w:p w14:paraId="13299BC6" w14:textId="77777777" w:rsidR="00F16CB6" w:rsidRPr="00F16CB6" w:rsidRDefault="00F16CB6">
            <w:pPr>
              <w:rPr>
                <w:rFonts w:asciiTheme="majorHAnsi" w:hAnsiTheme="majorHAnsi" w:cstheme="majorHAnsi"/>
                <w:sz w:val="16"/>
                <w:szCs w:val="16"/>
              </w:rPr>
            </w:pPr>
            <w:r w:rsidRPr="00F16CB6">
              <w:rPr>
                <w:rFonts w:asciiTheme="majorHAnsi" w:hAnsiTheme="majorHAnsi" w:cstheme="majorHAnsi"/>
                <w:sz w:val="16"/>
                <w:szCs w:val="16"/>
              </w:rPr>
              <w:t> </w:t>
            </w:r>
          </w:p>
        </w:tc>
        <w:tc>
          <w:tcPr>
            <w:tcW w:w="86" w:type="pct"/>
            <w:tcBorders>
              <w:top w:val="nil"/>
              <w:left w:val="nil"/>
              <w:bottom w:val="nil"/>
              <w:right w:val="nil"/>
            </w:tcBorders>
            <w:shd w:val="clear" w:color="000000" w:fill="FFFFFF"/>
            <w:noWrap/>
            <w:vAlign w:val="bottom"/>
            <w:hideMark/>
          </w:tcPr>
          <w:p w14:paraId="3E49BB38" w14:textId="77777777" w:rsidR="00F16CB6" w:rsidRPr="00F16CB6" w:rsidRDefault="00F16CB6">
            <w:pPr>
              <w:rPr>
                <w:rFonts w:asciiTheme="majorHAnsi" w:hAnsiTheme="majorHAnsi" w:cstheme="majorHAnsi"/>
                <w:sz w:val="16"/>
                <w:szCs w:val="16"/>
              </w:rPr>
            </w:pPr>
            <w:r w:rsidRPr="00F16CB6">
              <w:rPr>
                <w:rFonts w:asciiTheme="majorHAnsi" w:hAnsiTheme="majorHAnsi" w:cstheme="majorHAnsi"/>
                <w:sz w:val="16"/>
                <w:szCs w:val="16"/>
              </w:rPr>
              <w:t> </w:t>
            </w:r>
          </w:p>
        </w:tc>
        <w:tc>
          <w:tcPr>
            <w:tcW w:w="1374" w:type="pct"/>
            <w:tcBorders>
              <w:top w:val="nil"/>
              <w:left w:val="nil"/>
              <w:bottom w:val="nil"/>
              <w:right w:val="nil"/>
            </w:tcBorders>
            <w:shd w:val="clear" w:color="000000" w:fill="FFFFFF"/>
            <w:noWrap/>
            <w:vAlign w:val="bottom"/>
            <w:hideMark/>
          </w:tcPr>
          <w:p w14:paraId="2DA02757" w14:textId="77777777" w:rsidR="00F16CB6" w:rsidRPr="00F16CB6" w:rsidRDefault="00F16CB6">
            <w:pPr>
              <w:rPr>
                <w:rFonts w:asciiTheme="majorHAnsi" w:hAnsiTheme="majorHAnsi" w:cstheme="majorHAnsi"/>
                <w:sz w:val="16"/>
                <w:szCs w:val="16"/>
              </w:rPr>
            </w:pPr>
            <w:r w:rsidRPr="00F16CB6">
              <w:rPr>
                <w:rFonts w:asciiTheme="majorHAnsi" w:hAnsiTheme="majorHAnsi" w:cstheme="majorHAnsi"/>
                <w:sz w:val="16"/>
                <w:szCs w:val="16"/>
              </w:rPr>
              <w:t> </w:t>
            </w:r>
          </w:p>
        </w:tc>
        <w:tc>
          <w:tcPr>
            <w:tcW w:w="798" w:type="pct"/>
            <w:tcBorders>
              <w:top w:val="nil"/>
              <w:left w:val="nil"/>
              <w:bottom w:val="nil"/>
              <w:right w:val="nil"/>
            </w:tcBorders>
            <w:shd w:val="clear" w:color="000000" w:fill="FFFFFF"/>
            <w:noWrap/>
            <w:vAlign w:val="bottom"/>
            <w:hideMark/>
          </w:tcPr>
          <w:p w14:paraId="7411FFD5" w14:textId="77777777" w:rsidR="00F16CB6" w:rsidRPr="00F16CB6" w:rsidRDefault="00F16CB6" w:rsidP="00F16CB6">
            <w:pPr>
              <w:ind w:hanging="69"/>
              <w:jc w:val="right"/>
              <w:rPr>
                <w:rFonts w:asciiTheme="majorHAnsi" w:hAnsiTheme="majorHAnsi" w:cstheme="majorHAnsi"/>
                <w:sz w:val="16"/>
                <w:szCs w:val="16"/>
              </w:rPr>
            </w:pPr>
            <w:r w:rsidRPr="00F16CB6">
              <w:rPr>
                <w:rFonts w:asciiTheme="majorHAnsi" w:hAnsiTheme="majorHAnsi" w:cstheme="majorHAnsi"/>
                <w:sz w:val="16"/>
                <w:szCs w:val="16"/>
              </w:rPr>
              <w:t> </w:t>
            </w:r>
          </w:p>
        </w:tc>
        <w:tc>
          <w:tcPr>
            <w:tcW w:w="1015" w:type="pct"/>
            <w:tcBorders>
              <w:top w:val="nil"/>
              <w:left w:val="nil"/>
              <w:bottom w:val="nil"/>
              <w:right w:val="nil"/>
            </w:tcBorders>
            <w:shd w:val="clear" w:color="000000" w:fill="FFFFFF"/>
            <w:noWrap/>
            <w:vAlign w:val="bottom"/>
            <w:hideMark/>
          </w:tcPr>
          <w:p w14:paraId="7190764D" w14:textId="77777777" w:rsidR="00F16CB6" w:rsidRPr="00F16CB6" w:rsidRDefault="00F16CB6" w:rsidP="00F16CB6">
            <w:pPr>
              <w:jc w:val="right"/>
              <w:rPr>
                <w:rFonts w:asciiTheme="majorHAnsi" w:hAnsiTheme="majorHAnsi" w:cstheme="majorHAnsi"/>
                <w:b/>
                <w:bCs/>
                <w:sz w:val="16"/>
                <w:szCs w:val="16"/>
              </w:rPr>
            </w:pPr>
            <w:r w:rsidRPr="00F16CB6">
              <w:rPr>
                <w:rFonts w:asciiTheme="majorHAnsi" w:hAnsiTheme="majorHAnsi" w:cstheme="majorHAnsi"/>
                <w:b/>
                <w:bCs/>
                <w:sz w:val="16"/>
                <w:szCs w:val="16"/>
              </w:rPr>
              <w:t> </w:t>
            </w:r>
          </w:p>
        </w:tc>
      </w:tr>
      <w:tr w:rsidR="00F16CB6" w:rsidRPr="00F16CB6" w14:paraId="6B83C0CF" w14:textId="77777777" w:rsidTr="00F16CB6">
        <w:trPr>
          <w:trHeight w:hRule="exact" w:val="227"/>
        </w:trPr>
        <w:tc>
          <w:tcPr>
            <w:tcW w:w="1813" w:type="pct"/>
            <w:gridSpan w:val="2"/>
            <w:tcBorders>
              <w:top w:val="nil"/>
              <w:left w:val="nil"/>
              <w:bottom w:val="nil"/>
              <w:right w:val="nil"/>
            </w:tcBorders>
            <w:shd w:val="clear" w:color="000000" w:fill="FFFFFF"/>
            <w:noWrap/>
            <w:vAlign w:val="bottom"/>
            <w:hideMark/>
          </w:tcPr>
          <w:p w14:paraId="72A85C3B" w14:textId="77777777" w:rsidR="00F16CB6" w:rsidRPr="00F16CB6" w:rsidRDefault="00F16CB6">
            <w:pPr>
              <w:rPr>
                <w:rFonts w:asciiTheme="majorHAnsi" w:hAnsiTheme="majorHAnsi" w:cstheme="majorHAnsi"/>
                <w:b/>
                <w:bCs/>
                <w:sz w:val="16"/>
                <w:szCs w:val="16"/>
              </w:rPr>
            </w:pPr>
            <w:r w:rsidRPr="00F16CB6">
              <w:rPr>
                <w:rFonts w:asciiTheme="majorHAnsi" w:hAnsiTheme="majorHAnsi" w:cstheme="majorHAnsi"/>
                <w:b/>
                <w:bCs/>
                <w:sz w:val="16"/>
                <w:szCs w:val="16"/>
              </w:rPr>
              <w:t xml:space="preserve">VI. VALOR ADICIONADO RECEBIDO EM TRANSFERÊNCIAS </w:t>
            </w:r>
          </w:p>
        </w:tc>
        <w:tc>
          <w:tcPr>
            <w:tcW w:w="1374" w:type="pct"/>
            <w:tcBorders>
              <w:top w:val="nil"/>
              <w:left w:val="nil"/>
              <w:bottom w:val="nil"/>
              <w:right w:val="nil"/>
            </w:tcBorders>
            <w:shd w:val="clear" w:color="000000" w:fill="FFFFFF"/>
            <w:noWrap/>
            <w:vAlign w:val="bottom"/>
            <w:hideMark/>
          </w:tcPr>
          <w:p w14:paraId="3FE73493" w14:textId="77777777" w:rsidR="00F16CB6" w:rsidRPr="00F16CB6" w:rsidRDefault="00F16CB6">
            <w:pPr>
              <w:rPr>
                <w:rFonts w:asciiTheme="majorHAnsi" w:hAnsiTheme="majorHAnsi" w:cstheme="majorHAnsi"/>
                <w:sz w:val="16"/>
                <w:szCs w:val="16"/>
              </w:rPr>
            </w:pPr>
            <w:r w:rsidRPr="00F16CB6">
              <w:rPr>
                <w:rFonts w:asciiTheme="majorHAnsi" w:hAnsiTheme="majorHAnsi" w:cstheme="majorHAnsi"/>
                <w:sz w:val="16"/>
                <w:szCs w:val="16"/>
              </w:rPr>
              <w:t> </w:t>
            </w:r>
          </w:p>
        </w:tc>
        <w:tc>
          <w:tcPr>
            <w:tcW w:w="798" w:type="pct"/>
            <w:tcBorders>
              <w:top w:val="nil"/>
              <w:left w:val="nil"/>
              <w:bottom w:val="nil"/>
              <w:right w:val="nil"/>
            </w:tcBorders>
            <w:shd w:val="clear" w:color="000000" w:fill="FFFFFF"/>
            <w:noWrap/>
            <w:vAlign w:val="bottom"/>
            <w:hideMark/>
          </w:tcPr>
          <w:p w14:paraId="23D8D008" w14:textId="77777777" w:rsidR="00F16CB6" w:rsidRPr="00F16CB6" w:rsidRDefault="00F16CB6" w:rsidP="00F16CB6">
            <w:pPr>
              <w:ind w:hanging="69"/>
              <w:jc w:val="right"/>
              <w:rPr>
                <w:rFonts w:asciiTheme="majorHAnsi" w:hAnsiTheme="majorHAnsi" w:cstheme="majorHAnsi"/>
                <w:b/>
                <w:bCs/>
                <w:sz w:val="16"/>
                <w:szCs w:val="16"/>
              </w:rPr>
            </w:pPr>
            <w:r w:rsidRPr="00F16CB6">
              <w:rPr>
                <w:rFonts w:asciiTheme="majorHAnsi" w:hAnsiTheme="majorHAnsi" w:cstheme="majorHAnsi"/>
                <w:b/>
                <w:bCs/>
                <w:sz w:val="16"/>
                <w:szCs w:val="16"/>
              </w:rPr>
              <w:t xml:space="preserve">           (10.435.996)</w:t>
            </w:r>
          </w:p>
        </w:tc>
        <w:tc>
          <w:tcPr>
            <w:tcW w:w="1015" w:type="pct"/>
            <w:tcBorders>
              <w:top w:val="nil"/>
              <w:left w:val="nil"/>
              <w:bottom w:val="nil"/>
              <w:right w:val="nil"/>
            </w:tcBorders>
            <w:shd w:val="clear" w:color="000000" w:fill="FFFFFF"/>
            <w:noWrap/>
            <w:vAlign w:val="bottom"/>
            <w:hideMark/>
          </w:tcPr>
          <w:p w14:paraId="4FB19A92" w14:textId="77777777" w:rsidR="00F16CB6" w:rsidRPr="00F16CB6" w:rsidRDefault="00F16CB6" w:rsidP="00F16CB6">
            <w:pPr>
              <w:jc w:val="right"/>
              <w:rPr>
                <w:rFonts w:asciiTheme="majorHAnsi" w:hAnsiTheme="majorHAnsi" w:cstheme="majorHAnsi"/>
                <w:b/>
                <w:bCs/>
                <w:sz w:val="16"/>
                <w:szCs w:val="16"/>
              </w:rPr>
            </w:pPr>
            <w:r w:rsidRPr="00F16CB6">
              <w:rPr>
                <w:rFonts w:asciiTheme="majorHAnsi" w:hAnsiTheme="majorHAnsi" w:cstheme="majorHAnsi"/>
                <w:b/>
                <w:bCs/>
                <w:sz w:val="16"/>
                <w:szCs w:val="16"/>
              </w:rPr>
              <w:t xml:space="preserve">                       (12.775.881)</w:t>
            </w:r>
          </w:p>
        </w:tc>
      </w:tr>
      <w:tr w:rsidR="00F16CB6" w:rsidRPr="00F16CB6" w14:paraId="756D8228" w14:textId="77777777" w:rsidTr="00F16CB6">
        <w:trPr>
          <w:trHeight w:hRule="exact" w:val="227"/>
        </w:trPr>
        <w:tc>
          <w:tcPr>
            <w:tcW w:w="1813" w:type="pct"/>
            <w:gridSpan w:val="2"/>
            <w:tcBorders>
              <w:top w:val="nil"/>
              <w:left w:val="nil"/>
              <w:bottom w:val="nil"/>
              <w:right w:val="nil"/>
            </w:tcBorders>
            <w:shd w:val="clear" w:color="000000" w:fill="FFFFFF"/>
            <w:noWrap/>
            <w:vAlign w:val="center"/>
            <w:hideMark/>
          </w:tcPr>
          <w:p w14:paraId="3888A303" w14:textId="77777777" w:rsidR="00F16CB6" w:rsidRPr="00F16CB6" w:rsidRDefault="00F16CB6">
            <w:pPr>
              <w:rPr>
                <w:rFonts w:asciiTheme="majorHAnsi" w:hAnsiTheme="majorHAnsi" w:cstheme="majorHAnsi"/>
                <w:sz w:val="16"/>
                <w:szCs w:val="16"/>
              </w:rPr>
            </w:pPr>
            <w:r w:rsidRPr="00F16CB6">
              <w:rPr>
                <w:rFonts w:asciiTheme="majorHAnsi" w:hAnsiTheme="majorHAnsi" w:cstheme="majorHAnsi"/>
                <w:sz w:val="16"/>
                <w:szCs w:val="16"/>
              </w:rPr>
              <w:t xml:space="preserve">        Receitas Financeiras</w:t>
            </w:r>
          </w:p>
        </w:tc>
        <w:tc>
          <w:tcPr>
            <w:tcW w:w="1374" w:type="pct"/>
            <w:tcBorders>
              <w:top w:val="nil"/>
              <w:left w:val="nil"/>
              <w:bottom w:val="nil"/>
              <w:right w:val="nil"/>
            </w:tcBorders>
            <w:shd w:val="clear" w:color="000000" w:fill="FFFFFF"/>
            <w:noWrap/>
            <w:vAlign w:val="bottom"/>
            <w:hideMark/>
          </w:tcPr>
          <w:p w14:paraId="6CE26D73" w14:textId="77777777" w:rsidR="00F16CB6" w:rsidRPr="00F16CB6" w:rsidRDefault="00F16CB6">
            <w:pPr>
              <w:rPr>
                <w:rFonts w:asciiTheme="majorHAnsi" w:hAnsiTheme="majorHAnsi" w:cstheme="majorHAnsi"/>
                <w:sz w:val="16"/>
                <w:szCs w:val="16"/>
              </w:rPr>
            </w:pPr>
            <w:r w:rsidRPr="00F16CB6">
              <w:rPr>
                <w:rFonts w:asciiTheme="majorHAnsi" w:hAnsiTheme="majorHAnsi" w:cstheme="majorHAnsi"/>
                <w:sz w:val="16"/>
                <w:szCs w:val="16"/>
              </w:rPr>
              <w:t> </w:t>
            </w:r>
          </w:p>
        </w:tc>
        <w:tc>
          <w:tcPr>
            <w:tcW w:w="798" w:type="pct"/>
            <w:tcBorders>
              <w:top w:val="nil"/>
              <w:left w:val="nil"/>
              <w:bottom w:val="nil"/>
              <w:right w:val="nil"/>
            </w:tcBorders>
            <w:shd w:val="clear" w:color="000000" w:fill="FFFFFF"/>
            <w:noWrap/>
            <w:vAlign w:val="bottom"/>
            <w:hideMark/>
          </w:tcPr>
          <w:p w14:paraId="458DB9EE" w14:textId="77777777" w:rsidR="00F16CB6" w:rsidRPr="00F16CB6" w:rsidRDefault="00F16CB6" w:rsidP="00F16CB6">
            <w:pPr>
              <w:ind w:hanging="69"/>
              <w:jc w:val="right"/>
              <w:rPr>
                <w:rFonts w:asciiTheme="majorHAnsi" w:hAnsiTheme="majorHAnsi" w:cstheme="majorHAnsi"/>
                <w:sz w:val="16"/>
                <w:szCs w:val="16"/>
              </w:rPr>
            </w:pPr>
            <w:r w:rsidRPr="00F16CB6">
              <w:rPr>
                <w:rFonts w:asciiTheme="majorHAnsi" w:hAnsiTheme="majorHAnsi" w:cstheme="majorHAnsi"/>
                <w:sz w:val="16"/>
                <w:szCs w:val="16"/>
              </w:rPr>
              <w:t>3.609.081</w:t>
            </w:r>
          </w:p>
        </w:tc>
        <w:tc>
          <w:tcPr>
            <w:tcW w:w="1015" w:type="pct"/>
            <w:tcBorders>
              <w:top w:val="nil"/>
              <w:left w:val="nil"/>
              <w:bottom w:val="nil"/>
              <w:right w:val="nil"/>
            </w:tcBorders>
            <w:shd w:val="clear" w:color="000000" w:fill="FFFFFF"/>
            <w:noWrap/>
            <w:vAlign w:val="bottom"/>
            <w:hideMark/>
          </w:tcPr>
          <w:p w14:paraId="6922C1B1" w14:textId="77777777" w:rsidR="00F16CB6" w:rsidRPr="00F16CB6" w:rsidRDefault="00F16CB6" w:rsidP="00F16CB6">
            <w:pPr>
              <w:jc w:val="right"/>
              <w:rPr>
                <w:rFonts w:asciiTheme="majorHAnsi" w:hAnsiTheme="majorHAnsi" w:cstheme="majorHAnsi"/>
                <w:sz w:val="16"/>
                <w:szCs w:val="16"/>
              </w:rPr>
            </w:pPr>
            <w:r w:rsidRPr="00F16CB6">
              <w:rPr>
                <w:rFonts w:asciiTheme="majorHAnsi" w:hAnsiTheme="majorHAnsi" w:cstheme="majorHAnsi"/>
                <w:sz w:val="16"/>
                <w:szCs w:val="16"/>
              </w:rPr>
              <w:t xml:space="preserve">                           3.461.839 </w:t>
            </w:r>
          </w:p>
        </w:tc>
      </w:tr>
      <w:tr w:rsidR="00F16CB6" w:rsidRPr="00F16CB6" w14:paraId="09F4A27C" w14:textId="77777777" w:rsidTr="00F16CB6">
        <w:trPr>
          <w:trHeight w:hRule="exact" w:val="227"/>
        </w:trPr>
        <w:tc>
          <w:tcPr>
            <w:tcW w:w="1727" w:type="pct"/>
            <w:tcBorders>
              <w:top w:val="nil"/>
              <w:left w:val="nil"/>
              <w:bottom w:val="nil"/>
              <w:right w:val="nil"/>
            </w:tcBorders>
            <w:shd w:val="clear" w:color="000000" w:fill="FFFFFF"/>
            <w:noWrap/>
            <w:vAlign w:val="center"/>
            <w:hideMark/>
          </w:tcPr>
          <w:p w14:paraId="05273717" w14:textId="77777777" w:rsidR="00F16CB6" w:rsidRPr="00F16CB6" w:rsidRDefault="00F16CB6">
            <w:pPr>
              <w:rPr>
                <w:rFonts w:asciiTheme="majorHAnsi" w:hAnsiTheme="majorHAnsi" w:cstheme="majorHAnsi"/>
                <w:sz w:val="16"/>
                <w:szCs w:val="16"/>
              </w:rPr>
            </w:pPr>
            <w:r w:rsidRPr="00F16CB6">
              <w:rPr>
                <w:rFonts w:asciiTheme="majorHAnsi" w:hAnsiTheme="majorHAnsi" w:cstheme="majorHAnsi"/>
                <w:sz w:val="16"/>
                <w:szCs w:val="16"/>
              </w:rPr>
              <w:t xml:space="preserve">        Doações</w:t>
            </w:r>
          </w:p>
        </w:tc>
        <w:tc>
          <w:tcPr>
            <w:tcW w:w="86" w:type="pct"/>
            <w:tcBorders>
              <w:top w:val="nil"/>
              <w:left w:val="nil"/>
              <w:bottom w:val="nil"/>
              <w:right w:val="nil"/>
            </w:tcBorders>
            <w:shd w:val="clear" w:color="000000" w:fill="FFFFFF"/>
            <w:noWrap/>
            <w:vAlign w:val="bottom"/>
            <w:hideMark/>
          </w:tcPr>
          <w:p w14:paraId="4C7918E3" w14:textId="77777777" w:rsidR="00F16CB6" w:rsidRPr="00F16CB6" w:rsidRDefault="00F16CB6">
            <w:pPr>
              <w:rPr>
                <w:rFonts w:asciiTheme="majorHAnsi" w:hAnsiTheme="majorHAnsi" w:cstheme="majorHAnsi"/>
                <w:sz w:val="16"/>
                <w:szCs w:val="16"/>
              </w:rPr>
            </w:pPr>
            <w:r w:rsidRPr="00F16CB6">
              <w:rPr>
                <w:rFonts w:asciiTheme="majorHAnsi" w:hAnsiTheme="majorHAnsi" w:cstheme="majorHAnsi"/>
                <w:sz w:val="16"/>
                <w:szCs w:val="16"/>
              </w:rPr>
              <w:t> </w:t>
            </w:r>
          </w:p>
        </w:tc>
        <w:tc>
          <w:tcPr>
            <w:tcW w:w="1374" w:type="pct"/>
            <w:tcBorders>
              <w:top w:val="nil"/>
              <w:left w:val="nil"/>
              <w:bottom w:val="nil"/>
              <w:right w:val="nil"/>
            </w:tcBorders>
            <w:shd w:val="clear" w:color="000000" w:fill="FFFFFF"/>
            <w:noWrap/>
            <w:vAlign w:val="bottom"/>
            <w:hideMark/>
          </w:tcPr>
          <w:p w14:paraId="5CBCAAC2" w14:textId="77777777" w:rsidR="00F16CB6" w:rsidRPr="00F16CB6" w:rsidRDefault="00F16CB6">
            <w:pPr>
              <w:rPr>
                <w:rFonts w:asciiTheme="majorHAnsi" w:hAnsiTheme="majorHAnsi" w:cstheme="majorHAnsi"/>
                <w:sz w:val="16"/>
                <w:szCs w:val="16"/>
              </w:rPr>
            </w:pPr>
            <w:r w:rsidRPr="00F16CB6">
              <w:rPr>
                <w:rFonts w:asciiTheme="majorHAnsi" w:hAnsiTheme="majorHAnsi" w:cstheme="majorHAnsi"/>
                <w:sz w:val="16"/>
                <w:szCs w:val="16"/>
              </w:rPr>
              <w:t> </w:t>
            </w:r>
          </w:p>
        </w:tc>
        <w:tc>
          <w:tcPr>
            <w:tcW w:w="798" w:type="pct"/>
            <w:tcBorders>
              <w:top w:val="nil"/>
              <w:left w:val="nil"/>
              <w:bottom w:val="nil"/>
              <w:right w:val="nil"/>
            </w:tcBorders>
            <w:shd w:val="clear" w:color="000000" w:fill="FFFFFF"/>
            <w:noWrap/>
            <w:vAlign w:val="bottom"/>
            <w:hideMark/>
          </w:tcPr>
          <w:p w14:paraId="4CEFBCB4" w14:textId="77777777" w:rsidR="00F16CB6" w:rsidRPr="00F16CB6" w:rsidRDefault="00F16CB6" w:rsidP="00F16CB6">
            <w:pPr>
              <w:ind w:hanging="69"/>
              <w:jc w:val="right"/>
              <w:rPr>
                <w:rFonts w:asciiTheme="majorHAnsi" w:hAnsiTheme="majorHAnsi" w:cstheme="majorHAnsi"/>
                <w:sz w:val="16"/>
                <w:szCs w:val="16"/>
              </w:rPr>
            </w:pPr>
            <w:r w:rsidRPr="00F16CB6">
              <w:rPr>
                <w:rFonts w:asciiTheme="majorHAnsi" w:hAnsiTheme="majorHAnsi" w:cstheme="majorHAnsi"/>
                <w:sz w:val="16"/>
                <w:szCs w:val="16"/>
              </w:rPr>
              <w:t xml:space="preserve">                             -   </w:t>
            </w:r>
          </w:p>
        </w:tc>
        <w:tc>
          <w:tcPr>
            <w:tcW w:w="1015" w:type="pct"/>
            <w:tcBorders>
              <w:top w:val="nil"/>
              <w:left w:val="nil"/>
              <w:bottom w:val="nil"/>
              <w:right w:val="nil"/>
            </w:tcBorders>
            <w:shd w:val="clear" w:color="000000" w:fill="FFFFFF"/>
            <w:noWrap/>
            <w:vAlign w:val="bottom"/>
            <w:hideMark/>
          </w:tcPr>
          <w:p w14:paraId="24271245" w14:textId="77777777" w:rsidR="00F16CB6" w:rsidRPr="00F16CB6" w:rsidRDefault="00F16CB6" w:rsidP="00F16CB6">
            <w:pPr>
              <w:jc w:val="right"/>
              <w:rPr>
                <w:rFonts w:asciiTheme="majorHAnsi" w:hAnsiTheme="majorHAnsi" w:cstheme="majorHAnsi"/>
                <w:sz w:val="16"/>
                <w:szCs w:val="16"/>
              </w:rPr>
            </w:pPr>
            <w:r w:rsidRPr="00F16CB6">
              <w:rPr>
                <w:rFonts w:asciiTheme="majorHAnsi" w:hAnsiTheme="majorHAnsi" w:cstheme="majorHAnsi"/>
                <w:sz w:val="16"/>
                <w:szCs w:val="16"/>
              </w:rPr>
              <w:t xml:space="preserve">                              365.849 </w:t>
            </w:r>
          </w:p>
        </w:tc>
      </w:tr>
      <w:tr w:rsidR="00F16CB6" w:rsidRPr="00F16CB6" w14:paraId="0DA62A5D" w14:textId="77777777" w:rsidTr="00F16CB6">
        <w:trPr>
          <w:trHeight w:hRule="exact" w:val="227"/>
        </w:trPr>
        <w:tc>
          <w:tcPr>
            <w:tcW w:w="1813" w:type="pct"/>
            <w:gridSpan w:val="2"/>
            <w:tcBorders>
              <w:top w:val="nil"/>
              <w:left w:val="nil"/>
              <w:bottom w:val="nil"/>
              <w:right w:val="nil"/>
            </w:tcBorders>
            <w:shd w:val="clear" w:color="000000" w:fill="FFFFFF"/>
            <w:noWrap/>
            <w:vAlign w:val="bottom"/>
            <w:hideMark/>
          </w:tcPr>
          <w:p w14:paraId="090A121E" w14:textId="77777777" w:rsidR="00F16CB6" w:rsidRPr="00F16CB6" w:rsidRDefault="00F16CB6">
            <w:pPr>
              <w:rPr>
                <w:rFonts w:asciiTheme="majorHAnsi" w:hAnsiTheme="majorHAnsi" w:cstheme="majorHAnsi"/>
                <w:sz w:val="16"/>
                <w:szCs w:val="16"/>
              </w:rPr>
            </w:pPr>
            <w:r w:rsidRPr="00F16CB6">
              <w:rPr>
                <w:rFonts w:asciiTheme="majorHAnsi" w:hAnsiTheme="majorHAnsi" w:cstheme="majorHAnsi"/>
                <w:sz w:val="16"/>
                <w:szCs w:val="16"/>
              </w:rPr>
              <w:t xml:space="preserve">        Repasse Concedido</w:t>
            </w:r>
          </w:p>
        </w:tc>
        <w:tc>
          <w:tcPr>
            <w:tcW w:w="1374" w:type="pct"/>
            <w:tcBorders>
              <w:top w:val="nil"/>
              <w:left w:val="nil"/>
              <w:bottom w:val="nil"/>
              <w:right w:val="nil"/>
            </w:tcBorders>
            <w:shd w:val="clear" w:color="000000" w:fill="FFFFFF"/>
            <w:noWrap/>
            <w:vAlign w:val="bottom"/>
            <w:hideMark/>
          </w:tcPr>
          <w:p w14:paraId="6265BCAC" w14:textId="77777777" w:rsidR="00F16CB6" w:rsidRPr="00F16CB6" w:rsidRDefault="00F16CB6">
            <w:pPr>
              <w:rPr>
                <w:rFonts w:asciiTheme="majorHAnsi" w:hAnsiTheme="majorHAnsi" w:cstheme="majorHAnsi"/>
                <w:sz w:val="16"/>
                <w:szCs w:val="16"/>
              </w:rPr>
            </w:pPr>
            <w:r w:rsidRPr="00F16CB6">
              <w:rPr>
                <w:rFonts w:asciiTheme="majorHAnsi" w:hAnsiTheme="majorHAnsi" w:cstheme="majorHAnsi"/>
                <w:sz w:val="16"/>
                <w:szCs w:val="16"/>
              </w:rPr>
              <w:t> </w:t>
            </w:r>
          </w:p>
        </w:tc>
        <w:tc>
          <w:tcPr>
            <w:tcW w:w="798" w:type="pct"/>
            <w:tcBorders>
              <w:top w:val="nil"/>
              <w:left w:val="nil"/>
              <w:bottom w:val="nil"/>
              <w:right w:val="nil"/>
            </w:tcBorders>
            <w:shd w:val="clear" w:color="000000" w:fill="FFFFFF"/>
            <w:noWrap/>
            <w:vAlign w:val="bottom"/>
            <w:hideMark/>
          </w:tcPr>
          <w:p w14:paraId="74040007" w14:textId="77777777" w:rsidR="00F16CB6" w:rsidRPr="00F16CB6" w:rsidRDefault="00F16CB6" w:rsidP="00F16CB6">
            <w:pPr>
              <w:ind w:hanging="69"/>
              <w:jc w:val="right"/>
              <w:rPr>
                <w:rFonts w:asciiTheme="majorHAnsi" w:hAnsiTheme="majorHAnsi" w:cstheme="majorHAnsi"/>
                <w:sz w:val="16"/>
                <w:szCs w:val="16"/>
              </w:rPr>
            </w:pPr>
            <w:r w:rsidRPr="00F16CB6">
              <w:rPr>
                <w:rFonts w:asciiTheme="majorHAnsi" w:hAnsiTheme="majorHAnsi" w:cstheme="majorHAnsi"/>
                <w:sz w:val="16"/>
                <w:szCs w:val="16"/>
              </w:rPr>
              <w:t xml:space="preserve">                (913.733)</w:t>
            </w:r>
          </w:p>
        </w:tc>
        <w:tc>
          <w:tcPr>
            <w:tcW w:w="1015" w:type="pct"/>
            <w:tcBorders>
              <w:top w:val="nil"/>
              <w:left w:val="nil"/>
              <w:bottom w:val="nil"/>
              <w:right w:val="nil"/>
            </w:tcBorders>
            <w:shd w:val="clear" w:color="000000" w:fill="FFFFFF"/>
            <w:noWrap/>
            <w:vAlign w:val="bottom"/>
            <w:hideMark/>
          </w:tcPr>
          <w:p w14:paraId="5881FBCF" w14:textId="77777777" w:rsidR="00F16CB6" w:rsidRPr="00F16CB6" w:rsidRDefault="00F16CB6" w:rsidP="00F16CB6">
            <w:pPr>
              <w:jc w:val="right"/>
              <w:rPr>
                <w:rFonts w:asciiTheme="majorHAnsi" w:hAnsiTheme="majorHAnsi" w:cstheme="majorHAnsi"/>
                <w:sz w:val="16"/>
                <w:szCs w:val="16"/>
              </w:rPr>
            </w:pPr>
            <w:r w:rsidRPr="00F16CB6">
              <w:rPr>
                <w:rFonts w:asciiTheme="majorHAnsi" w:hAnsiTheme="majorHAnsi" w:cstheme="majorHAnsi"/>
                <w:sz w:val="16"/>
                <w:szCs w:val="16"/>
              </w:rPr>
              <w:t xml:space="preserve">                            (326.239)</w:t>
            </w:r>
          </w:p>
        </w:tc>
      </w:tr>
      <w:tr w:rsidR="00F16CB6" w:rsidRPr="00F16CB6" w14:paraId="6E3116E5" w14:textId="77777777" w:rsidTr="00F16CB6">
        <w:trPr>
          <w:trHeight w:hRule="exact" w:val="227"/>
        </w:trPr>
        <w:tc>
          <w:tcPr>
            <w:tcW w:w="1813" w:type="pct"/>
            <w:gridSpan w:val="2"/>
            <w:tcBorders>
              <w:top w:val="nil"/>
              <w:left w:val="nil"/>
              <w:bottom w:val="nil"/>
              <w:right w:val="nil"/>
            </w:tcBorders>
            <w:shd w:val="clear" w:color="000000" w:fill="FFFFFF"/>
            <w:noWrap/>
            <w:vAlign w:val="bottom"/>
            <w:hideMark/>
          </w:tcPr>
          <w:p w14:paraId="3AB3F66C" w14:textId="77777777" w:rsidR="00F16CB6" w:rsidRPr="00F16CB6" w:rsidRDefault="00F16CB6">
            <w:pPr>
              <w:rPr>
                <w:rFonts w:asciiTheme="majorHAnsi" w:hAnsiTheme="majorHAnsi" w:cstheme="majorHAnsi"/>
                <w:b/>
                <w:bCs/>
                <w:sz w:val="16"/>
                <w:szCs w:val="16"/>
              </w:rPr>
            </w:pPr>
            <w:r w:rsidRPr="00F16CB6">
              <w:rPr>
                <w:rFonts w:asciiTheme="majorHAnsi" w:hAnsiTheme="majorHAnsi" w:cstheme="majorHAnsi"/>
                <w:b/>
                <w:bCs/>
                <w:sz w:val="16"/>
                <w:szCs w:val="16"/>
              </w:rPr>
              <w:t xml:space="preserve">        </w:t>
            </w:r>
            <w:r w:rsidRPr="00F16CB6">
              <w:rPr>
                <w:rFonts w:asciiTheme="majorHAnsi" w:hAnsiTheme="majorHAnsi" w:cstheme="majorHAnsi"/>
                <w:sz w:val="16"/>
                <w:szCs w:val="16"/>
              </w:rPr>
              <w:t>Resultado de Equivalência Patrimonial</w:t>
            </w:r>
          </w:p>
        </w:tc>
        <w:tc>
          <w:tcPr>
            <w:tcW w:w="1374" w:type="pct"/>
            <w:tcBorders>
              <w:top w:val="nil"/>
              <w:left w:val="nil"/>
              <w:bottom w:val="nil"/>
              <w:right w:val="nil"/>
            </w:tcBorders>
            <w:shd w:val="clear" w:color="000000" w:fill="FFFFFF"/>
            <w:noWrap/>
            <w:vAlign w:val="bottom"/>
            <w:hideMark/>
          </w:tcPr>
          <w:p w14:paraId="25014F66" w14:textId="77777777" w:rsidR="00F16CB6" w:rsidRPr="00F16CB6" w:rsidRDefault="00F16CB6">
            <w:pPr>
              <w:rPr>
                <w:rFonts w:asciiTheme="majorHAnsi" w:hAnsiTheme="majorHAnsi" w:cstheme="majorHAnsi"/>
                <w:sz w:val="16"/>
                <w:szCs w:val="16"/>
              </w:rPr>
            </w:pPr>
            <w:r w:rsidRPr="00F16CB6">
              <w:rPr>
                <w:rFonts w:asciiTheme="majorHAnsi" w:hAnsiTheme="majorHAnsi" w:cstheme="majorHAnsi"/>
                <w:sz w:val="16"/>
                <w:szCs w:val="16"/>
              </w:rPr>
              <w:t> </w:t>
            </w:r>
          </w:p>
        </w:tc>
        <w:tc>
          <w:tcPr>
            <w:tcW w:w="798" w:type="pct"/>
            <w:tcBorders>
              <w:top w:val="nil"/>
              <w:left w:val="nil"/>
              <w:bottom w:val="nil"/>
              <w:right w:val="nil"/>
            </w:tcBorders>
            <w:shd w:val="clear" w:color="000000" w:fill="FFFFFF"/>
            <w:noWrap/>
            <w:vAlign w:val="bottom"/>
            <w:hideMark/>
          </w:tcPr>
          <w:p w14:paraId="3E4FBE71" w14:textId="77777777" w:rsidR="00F16CB6" w:rsidRPr="00F16CB6" w:rsidRDefault="00F16CB6" w:rsidP="00F16CB6">
            <w:pPr>
              <w:ind w:hanging="69"/>
              <w:jc w:val="right"/>
              <w:rPr>
                <w:rFonts w:asciiTheme="majorHAnsi" w:hAnsiTheme="majorHAnsi" w:cstheme="majorHAnsi"/>
                <w:sz w:val="16"/>
                <w:szCs w:val="16"/>
              </w:rPr>
            </w:pPr>
            <w:r w:rsidRPr="00F16CB6">
              <w:rPr>
                <w:rFonts w:asciiTheme="majorHAnsi" w:hAnsiTheme="majorHAnsi" w:cstheme="majorHAnsi"/>
                <w:sz w:val="16"/>
                <w:szCs w:val="16"/>
              </w:rPr>
              <w:t xml:space="preserve">           (13.131.344)</w:t>
            </w:r>
          </w:p>
        </w:tc>
        <w:tc>
          <w:tcPr>
            <w:tcW w:w="1015" w:type="pct"/>
            <w:tcBorders>
              <w:top w:val="nil"/>
              <w:left w:val="nil"/>
              <w:bottom w:val="nil"/>
              <w:right w:val="nil"/>
            </w:tcBorders>
            <w:shd w:val="clear" w:color="000000" w:fill="FFFFFF"/>
            <w:noWrap/>
            <w:vAlign w:val="bottom"/>
            <w:hideMark/>
          </w:tcPr>
          <w:p w14:paraId="1449CC58" w14:textId="77777777" w:rsidR="00F16CB6" w:rsidRPr="00F16CB6" w:rsidRDefault="00F16CB6" w:rsidP="00F16CB6">
            <w:pPr>
              <w:jc w:val="right"/>
              <w:rPr>
                <w:rFonts w:asciiTheme="majorHAnsi" w:hAnsiTheme="majorHAnsi" w:cstheme="majorHAnsi"/>
                <w:sz w:val="16"/>
                <w:szCs w:val="16"/>
              </w:rPr>
            </w:pPr>
            <w:r w:rsidRPr="00F16CB6">
              <w:rPr>
                <w:rFonts w:asciiTheme="majorHAnsi" w:hAnsiTheme="majorHAnsi" w:cstheme="majorHAnsi"/>
                <w:sz w:val="16"/>
                <w:szCs w:val="16"/>
              </w:rPr>
              <w:t xml:space="preserve">                       (16.277.330)</w:t>
            </w:r>
          </w:p>
        </w:tc>
      </w:tr>
      <w:tr w:rsidR="00F16CB6" w:rsidRPr="00F16CB6" w14:paraId="52AEB24B" w14:textId="77777777" w:rsidTr="00F16CB6">
        <w:trPr>
          <w:trHeight w:hRule="exact" w:val="227"/>
        </w:trPr>
        <w:tc>
          <w:tcPr>
            <w:tcW w:w="1727" w:type="pct"/>
            <w:tcBorders>
              <w:top w:val="nil"/>
              <w:left w:val="nil"/>
              <w:bottom w:val="nil"/>
              <w:right w:val="nil"/>
            </w:tcBorders>
            <w:shd w:val="clear" w:color="000000" w:fill="FFFFFF"/>
            <w:hideMark/>
          </w:tcPr>
          <w:p w14:paraId="6C48419B" w14:textId="77777777" w:rsidR="00F16CB6" w:rsidRPr="00F16CB6" w:rsidRDefault="00F16CB6">
            <w:pPr>
              <w:rPr>
                <w:rFonts w:asciiTheme="majorHAnsi" w:hAnsiTheme="majorHAnsi" w:cstheme="majorHAnsi"/>
                <w:b/>
                <w:bCs/>
                <w:sz w:val="16"/>
                <w:szCs w:val="16"/>
              </w:rPr>
            </w:pPr>
            <w:r w:rsidRPr="00F16CB6">
              <w:rPr>
                <w:rFonts w:asciiTheme="majorHAnsi" w:hAnsiTheme="majorHAnsi" w:cstheme="majorHAnsi"/>
                <w:b/>
                <w:bCs/>
                <w:sz w:val="16"/>
                <w:szCs w:val="16"/>
              </w:rPr>
              <w:t> </w:t>
            </w:r>
          </w:p>
        </w:tc>
        <w:tc>
          <w:tcPr>
            <w:tcW w:w="86" w:type="pct"/>
            <w:tcBorders>
              <w:top w:val="nil"/>
              <w:left w:val="nil"/>
              <w:bottom w:val="nil"/>
              <w:right w:val="nil"/>
            </w:tcBorders>
            <w:shd w:val="clear" w:color="000000" w:fill="FFFFFF"/>
            <w:noWrap/>
            <w:vAlign w:val="bottom"/>
            <w:hideMark/>
          </w:tcPr>
          <w:p w14:paraId="2B09BF3C" w14:textId="77777777" w:rsidR="00F16CB6" w:rsidRPr="00F16CB6" w:rsidRDefault="00F16CB6">
            <w:pPr>
              <w:rPr>
                <w:rFonts w:asciiTheme="majorHAnsi" w:hAnsiTheme="majorHAnsi" w:cstheme="majorHAnsi"/>
                <w:sz w:val="16"/>
                <w:szCs w:val="16"/>
              </w:rPr>
            </w:pPr>
            <w:r w:rsidRPr="00F16CB6">
              <w:rPr>
                <w:rFonts w:asciiTheme="majorHAnsi" w:hAnsiTheme="majorHAnsi" w:cstheme="majorHAnsi"/>
                <w:sz w:val="16"/>
                <w:szCs w:val="16"/>
              </w:rPr>
              <w:t> </w:t>
            </w:r>
          </w:p>
        </w:tc>
        <w:tc>
          <w:tcPr>
            <w:tcW w:w="1374" w:type="pct"/>
            <w:tcBorders>
              <w:top w:val="nil"/>
              <w:left w:val="nil"/>
              <w:bottom w:val="nil"/>
              <w:right w:val="nil"/>
            </w:tcBorders>
            <w:shd w:val="clear" w:color="000000" w:fill="FFFFFF"/>
            <w:noWrap/>
            <w:vAlign w:val="bottom"/>
            <w:hideMark/>
          </w:tcPr>
          <w:p w14:paraId="2FFA383D" w14:textId="77777777" w:rsidR="00F16CB6" w:rsidRPr="00F16CB6" w:rsidRDefault="00F16CB6">
            <w:pPr>
              <w:rPr>
                <w:rFonts w:asciiTheme="majorHAnsi" w:hAnsiTheme="majorHAnsi" w:cstheme="majorHAnsi"/>
                <w:sz w:val="16"/>
                <w:szCs w:val="16"/>
              </w:rPr>
            </w:pPr>
            <w:r w:rsidRPr="00F16CB6">
              <w:rPr>
                <w:rFonts w:asciiTheme="majorHAnsi" w:hAnsiTheme="majorHAnsi" w:cstheme="majorHAnsi"/>
                <w:sz w:val="16"/>
                <w:szCs w:val="16"/>
              </w:rPr>
              <w:t> </w:t>
            </w:r>
          </w:p>
        </w:tc>
        <w:tc>
          <w:tcPr>
            <w:tcW w:w="798" w:type="pct"/>
            <w:tcBorders>
              <w:top w:val="nil"/>
              <w:left w:val="nil"/>
              <w:bottom w:val="nil"/>
              <w:right w:val="nil"/>
            </w:tcBorders>
            <w:shd w:val="clear" w:color="000000" w:fill="FFFFFF"/>
            <w:noWrap/>
            <w:vAlign w:val="bottom"/>
            <w:hideMark/>
          </w:tcPr>
          <w:p w14:paraId="2D4C5507" w14:textId="77777777" w:rsidR="00F16CB6" w:rsidRPr="00F16CB6" w:rsidRDefault="00F16CB6" w:rsidP="00F16CB6">
            <w:pPr>
              <w:ind w:hanging="69"/>
              <w:jc w:val="right"/>
              <w:rPr>
                <w:rFonts w:asciiTheme="majorHAnsi" w:hAnsiTheme="majorHAnsi" w:cstheme="majorHAnsi"/>
                <w:sz w:val="16"/>
                <w:szCs w:val="16"/>
              </w:rPr>
            </w:pPr>
            <w:r w:rsidRPr="00F16CB6">
              <w:rPr>
                <w:rFonts w:asciiTheme="majorHAnsi" w:hAnsiTheme="majorHAnsi" w:cstheme="majorHAnsi"/>
                <w:sz w:val="16"/>
                <w:szCs w:val="16"/>
              </w:rPr>
              <w:t> </w:t>
            </w:r>
          </w:p>
        </w:tc>
        <w:tc>
          <w:tcPr>
            <w:tcW w:w="1015" w:type="pct"/>
            <w:tcBorders>
              <w:top w:val="nil"/>
              <w:left w:val="nil"/>
              <w:bottom w:val="nil"/>
              <w:right w:val="nil"/>
            </w:tcBorders>
            <w:shd w:val="clear" w:color="000000" w:fill="FFFFFF"/>
            <w:noWrap/>
            <w:vAlign w:val="bottom"/>
            <w:hideMark/>
          </w:tcPr>
          <w:p w14:paraId="6466B15A" w14:textId="77777777" w:rsidR="00F16CB6" w:rsidRPr="00F16CB6" w:rsidRDefault="00F16CB6" w:rsidP="00F16CB6">
            <w:pPr>
              <w:jc w:val="right"/>
              <w:rPr>
                <w:rFonts w:asciiTheme="majorHAnsi" w:hAnsiTheme="majorHAnsi" w:cstheme="majorHAnsi"/>
                <w:sz w:val="16"/>
                <w:szCs w:val="16"/>
              </w:rPr>
            </w:pPr>
            <w:r w:rsidRPr="00F16CB6">
              <w:rPr>
                <w:rFonts w:asciiTheme="majorHAnsi" w:hAnsiTheme="majorHAnsi" w:cstheme="majorHAnsi"/>
                <w:sz w:val="16"/>
                <w:szCs w:val="16"/>
              </w:rPr>
              <w:t> </w:t>
            </w:r>
          </w:p>
        </w:tc>
      </w:tr>
      <w:tr w:rsidR="00F16CB6" w:rsidRPr="00F16CB6" w14:paraId="4FF17368" w14:textId="77777777" w:rsidTr="00F16CB6">
        <w:trPr>
          <w:trHeight w:hRule="exact" w:val="227"/>
        </w:trPr>
        <w:tc>
          <w:tcPr>
            <w:tcW w:w="1813" w:type="pct"/>
            <w:gridSpan w:val="2"/>
            <w:tcBorders>
              <w:top w:val="nil"/>
              <w:left w:val="nil"/>
              <w:bottom w:val="nil"/>
              <w:right w:val="nil"/>
            </w:tcBorders>
            <w:shd w:val="clear" w:color="000000" w:fill="FFFFFF"/>
            <w:noWrap/>
            <w:vAlign w:val="bottom"/>
            <w:hideMark/>
          </w:tcPr>
          <w:p w14:paraId="12FAD6F8" w14:textId="77777777" w:rsidR="00F16CB6" w:rsidRPr="00F16CB6" w:rsidRDefault="00F16CB6">
            <w:pPr>
              <w:rPr>
                <w:rFonts w:asciiTheme="majorHAnsi" w:hAnsiTheme="majorHAnsi" w:cstheme="majorHAnsi"/>
                <w:b/>
                <w:bCs/>
                <w:sz w:val="16"/>
                <w:szCs w:val="16"/>
              </w:rPr>
            </w:pPr>
            <w:r w:rsidRPr="00F16CB6">
              <w:rPr>
                <w:rFonts w:asciiTheme="majorHAnsi" w:hAnsiTheme="majorHAnsi" w:cstheme="majorHAnsi"/>
                <w:b/>
                <w:bCs/>
                <w:sz w:val="16"/>
                <w:szCs w:val="16"/>
              </w:rPr>
              <w:t>VII. VALOR ADICIONADO TOTAL A DISTRIBUIR (V + VI)</w:t>
            </w:r>
          </w:p>
        </w:tc>
        <w:tc>
          <w:tcPr>
            <w:tcW w:w="1374" w:type="pct"/>
            <w:tcBorders>
              <w:top w:val="nil"/>
              <w:left w:val="nil"/>
              <w:bottom w:val="nil"/>
              <w:right w:val="nil"/>
            </w:tcBorders>
            <w:shd w:val="clear" w:color="000000" w:fill="FFFFFF"/>
            <w:noWrap/>
            <w:vAlign w:val="bottom"/>
            <w:hideMark/>
          </w:tcPr>
          <w:p w14:paraId="3C1594E7" w14:textId="77777777" w:rsidR="00F16CB6" w:rsidRPr="00F16CB6" w:rsidRDefault="00F16CB6">
            <w:pPr>
              <w:rPr>
                <w:rFonts w:asciiTheme="majorHAnsi" w:hAnsiTheme="majorHAnsi" w:cstheme="majorHAnsi"/>
                <w:sz w:val="16"/>
                <w:szCs w:val="16"/>
              </w:rPr>
            </w:pPr>
            <w:r w:rsidRPr="00F16CB6">
              <w:rPr>
                <w:rFonts w:asciiTheme="majorHAnsi" w:hAnsiTheme="majorHAnsi" w:cstheme="majorHAnsi"/>
                <w:sz w:val="16"/>
                <w:szCs w:val="16"/>
              </w:rPr>
              <w:t> </w:t>
            </w:r>
          </w:p>
        </w:tc>
        <w:tc>
          <w:tcPr>
            <w:tcW w:w="798" w:type="pct"/>
            <w:tcBorders>
              <w:top w:val="nil"/>
              <w:left w:val="nil"/>
              <w:bottom w:val="nil"/>
              <w:right w:val="nil"/>
            </w:tcBorders>
            <w:shd w:val="clear" w:color="000000" w:fill="FFFFFF"/>
            <w:noWrap/>
            <w:vAlign w:val="bottom"/>
            <w:hideMark/>
          </w:tcPr>
          <w:p w14:paraId="22FE2D39" w14:textId="77777777" w:rsidR="00F16CB6" w:rsidRPr="00F16CB6" w:rsidRDefault="00F16CB6" w:rsidP="00F16CB6">
            <w:pPr>
              <w:ind w:hanging="69"/>
              <w:jc w:val="right"/>
              <w:rPr>
                <w:rFonts w:asciiTheme="majorHAnsi" w:hAnsiTheme="majorHAnsi" w:cstheme="majorHAnsi"/>
                <w:b/>
                <w:bCs/>
                <w:sz w:val="16"/>
                <w:szCs w:val="16"/>
              </w:rPr>
            </w:pPr>
            <w:r w:rsidRPr="00F16CB6">
              <w:rPr>
                <w:rFonts w:asciiTheme="majorHAnsi" w:hAnsiTheme="majorHAnsi" w:cstheme="majorHAnsi"/>
                <w:b/>
                <w:bCs/>
                <w:sz w:val="16"/>
                <w:szCs w:val="16"/>
              </w:rPr>
              <w:t xml:space="preserve">            98.569.678 </w:t>
            </w:r>
          </w:p>
        </w:tc>
        <w:tc>
          <w:tcPr>
            <w:tcW w:w="1015" w:type="pct"/>
            <w:tcBorders>
              <w:top w:val="nil"/>
              <w:left w:val="nil"/>
              <w:bottom w:val="nil"/>
              <w:right w:val="nil"/>
            </w:tcBorders>
            <w:shd w:val="clear" w:color="000000" w:fill="FFFFFF"/>
            <w:noWrap/>
            <w:vAlign w:val="bottom"/>
            <w:hideMark/>
          </w:tcPr>
          <w:p w14:paraId="0C19AC3E" w14:textId="77777777" w:rsidR="00F16CB6" w:rsidRPr="00F16CB6" w:rsidRDefault="00F16CB6" w:rsidP="00F16CB6">
            <w:pPr>
              <w:jc w:val="right"/>
              <w:rPr>
                <w:rFonts w:asciiTheme="majorHAnsi" w:hAnsiTheme="majorHAnsi" w:cstheme="majorHAnsi"/>
                <w:b/>
                <w:bCs/>
                <w:sz w:val="16"/>
                <w:szCs w:val="16"/>
              </w:rPr>
            </w:pPr>
            <w:r w:rsidRPr="00F16CB6">
              <w:rPr>
                <w:rFonts w:asciiTheme="majorHAnsi" w:hAnsiTheme="majorHAnsi" w:cstheme="majorHAnsi"/>
                <w:b/>
                <w:bCs/>
                <w:sz w:val="16"/>
                <w:szCs w:val="16"/>
              </w:rPr>
              <w:t xml:space="preserve">                           8.634.590 </w:t>
            </w:r>
          </w:p>
        </w:tc>
      </w:tr>
      <w:tr w:rsidR="00F16CB6" w:rsidRPr="00F16CB6" w14:paraId="31FB7E9E" w14:textId="77777777" w:rsidTr="00F16CB6">
        <w:trPr>
          <w:trHeight w:hRule="exact" w:val="227"/>
        </w:trPr>
        <w:tc>
          <w:tcPr>
            <w:tcW w:w="1727" w:type="pct"/>
            <w:tcBorders>
              <w:top w:val="nil"/>
              <w:left w:val="nil"/>
              <w:bottom w:val="nil"/>
              <w:right w:val="nil"/>
            </w:tcBorders>
            <w:shd w:val="clear" w:color="000000" w:fill="FFFFFF"/>
            <w:noWrap/>
            <w:vAlign w:val="bottom"/>
            <w:hideMark/>
          </w:tcPr>
          <w:p w14:paraId="7CE52F0D" w14:textId="77777777" w:rsidR="00F16CB6" w:rsidRPr="00F16CB6" w:rsidRDefault="00F16CB6">
            <w:pPr>
              <w:rPr>
                <w:rFonts w:asciiTheme="majorHAnsi" w:hAnsiTheme="majorHAnsi" w:cstheme="majorHAnsi"/>
                <w:sz w:val="16"/>
                <w:szCs w:val="16"/>
              </w:rPr>
            </w:pPr>
            <w:r w:rsidRPr="00F16CB6">
              <w:rPr>
                <w:rFonts w:asciiTheme="majorHAnsi" w:hAnsiTheme="majorHAnsi" w:cstheme="majorHAnsi"/>
                <w:sz w:val="16"/>
                <w:szCs w:val="16"/>
              </w:rPr>
              <w:t> </w:t>
            </w:r>
          </w:p>
        </w:tc>
        <w:tc>
          <w:tcPr>
            <w:tcW w:w="86" w:type="pct"/>
            <w:tcBorders>
              <w:top w:val="nil"/>
              <w:left w:val="nil"/>
              <w:bottom w:val="nil"/>
              <w:right w:val="nil"/>
            </w:tcBorders>
            <w:shd w:val="clear" w:color="000000" w:fill="FFFFFF"/>
            <w:noWrap/>
            <w:vAlign w:val="bottom"/>
            <w:hideMark/>
          </w:tcPr>
          <w:p w14:paraId="7F4AF07E" w14:textId="77777777" w:rsidR="00F16CB6" w:rsidRPr="00F16CB6" w:rsidRDefault="00F16CB6">
            <w:pPr>
              <w:rPr>
                <w:rFonts w:asciiTheme="majorHAnsi" w:hAnsiTheme="majorHAnsi" w:cstheme="majorHAnsi"/>
                <w:color w:val="FF0000"/>
                <w:sz w:val="16"/>
                <w:szCs w:val="16"/>
              </w:rPr>
            </w:pPr>
            <w:r w:rsidRPr="00F16CB6">
              <w:rPr>
                <w:rFonts w:asciiTheme="majorHAnsi" w:hAnsiTheme="majorHAnsi" w:cstheme="majorHAnsi"/>
                <w:color w:val="FF0000"/>
                <w:sz w:val="16"/>
                <w:szCs w:val="16"/>
              </w:rPr>
              <w:t> </w:t>
            </w:r>
          </w:p>
        </w:tc>
        <w:tc>
          <w:tcPr>
            <w:tcW w:w="1374" w:type="pct"/>
            <w:tcBorders>
              <w:top w:val="nil"/>
              <w:left w:val="nil"/>
              <w:bottom w:val="nil"/>
              <w:right w:val="nil"/>
            </w:tcBorders>
            <w:shd w:val="clear" w:color="000000" w:fill="FFFFFF"/>
            <w:noWrap/>
            <w:vAlign w:val="bottom"/>
            <w:hideMark/>
          </w:tcPr>
          <w:p w14:paraId="78F90BD4" w14:textId="77777777" w:rsidR="00F16CB6" w:rsidRPr="00F16CB6" w:rsidRDefault="00F16CB6">
            <w:pPr>
              <w:rPr>
                <w:rFonts w:asciiTheme="majorHAnsi" w:hAnsiTheme="majorHAnsi" w:cstheme="majorHAnsi"/>
                <w:sz w:val="16"/>
                <w:szCs w:val="16"/>
              </w:rPr>
            </w:pPr>
            <w:r w:rsidRPr="00F16CB6">
              <w:rPr>
                <w:rFonts w:asciiTheme="majorHAnsi" w:hAnsiTheme="majorHAnsi" w:cstheme="majorHAnsi"/>
                <w:sz w:val="16"/>
                <w:szCs w:val="16"/>
              </w:rPr>
              <w:t> </w:t>
            </w:r>
          </w:p>
        </w:tc>
        <w:tc>
          <w:tcPr>
            <w:tcW w:w="798" w:type="pct"/>
            <w:tcBorders>
              <w:top w:val="nil"/>
              <w:left w:val="nil"/>
              <w:bottom w:val="nil"/>
              <w:right w:val="nil"/>
            </w:tcBorders>
            <w:shd w:val="clear" w:color="000000" w:fill="FFFFFF"/>
            <w:noWrap/>
            <w:vAlign w:val="bottom"/>
            <w:hideMark/>
          </w:tcPr>
          <w:p w14:paraId="0547C02D" w14:textId="77777777" w:rsidR="00F16CB6" w:rsidRPr="00F16CB6" w:rsidRDefault="00F16CB6" w:rsidP="00F16CB6">
            <w:pPr>
              <w:ind w:hanging="69"/>
              <w:jc w:val="right"/>
              <w:rPr>
                <w:rFonts w:asciiTheme="majorHAnsi" w:hAnsiTheme="majorHAnsi" w:cstheme="majorHAnsi"/>
                <w:sz w:val="16"/>
                <w:szCs w:val="16"/>
              </w:rPr>
            </w:pPr>
            <w:r w:rsidRPr="00F16CB6">
              <w:rPr>
                <w:rFonts w:asciiTheme="majorHAnsi" w:hAnsiTheme="majorHAnsi" w:cstheme="majorHAnsi"/>
                <w:sz w:val="16"/>
                <w:szCs w:val="16"/>
              </w:rPr>
              <w:t> </w:t>
            </w:r>
          </w:p>
        </w:tc>
        <w:tc>
          <w:tcPr>
            <w:tcW w:w="1015" w:type="pct"/>
            <w:tcBorders>
              <w:top w:val="nil"/>
              <w:left w:val="nil"/>
              <w:bottom w:val="nil"/>
              <w:right w:val="nil"/>
            </w:tcBorders>
            <w:shd w:val="clear" w:color="000000" w:fill="FFFFFF"/>
            <w:noWrap/>
            <w:vAlign w:val="bottom"/>
            <w:hideMark/>
          </w:tcPr>
          <w:p w14:paraId="2CA43113" w14:textId="77777777" w:rsidR="00F16CB6" w:rsidRPr="00F16CB6" w:rsidRDefault="00F16CB6" w:rsidP="00F16CB6">
            <w:pPr>
              <w:jc w:val="right"/>
              <w:rPr>
                <w:rFonts w:asciiTheme="majorHAnsi" w:hAnsiTheme="majorHAnsi" w:cstheme="majorHAnsi"/>
                <w:sz w:val="16"/>
                <w:szCs w:val="16"/>
              </w:rPr>
            </w:pPr>
            <w:r w:rsidRPr="00F16CB6">
              <w:rPr>
                <w:rFonts w:asciiTheme="majorHAnsi" w:hAnsiTheme="majorHAnsi" w:cstheme="majorHAnsi"/>
                <w:sz w:val="16"/>
                <w:szCs w:val="16"/>
              </w:rPr>
              <w:t> </w:t>
            </w:r>
          </w:p>
        </w:tc>
      </w:tr>
      <w:tr w:rsidR="00F16CB6" w:rsidRPr="00F16CB6" w14:paraId="2826D44F" w14:textId="77777777" w:rsidTr="00F16CB6">
        <w:trPr>
          <w:trHeight w:hRule="exact" w:val="227"/>
        </w:trPr>
        <w:tc>
          <w:tcPr>
            <w:tcW w:w="1813" w:type="pct"/>
            <w:gridSpan w:val="2"/>
            <w:tcBorders>
              <w:top w:val="nil"/>
              <w:left w:val="nil"/>
              <w:bottom w:val="nil"/>
              <w:right w:val="nil"/>
            </w:tcBorders>
            <w:shd w:val="clear" w:color="000000" w:fill="FFFFFF"/>
            <w:noWrap/>
            <w:vAlign w:val="bottom"/>
            <w:hideMark/>
          </w:tcPr>
          <w:p w14:paraId="18354FA3" w14:textId="77777777" w:rsidR="00F16CB6" w:rsidRPr="00F16CB6" w:rsidRDefault="00F16CB6">
            <w:pPr>
              <w:rPr>
                <w:rFonts w:asciiTheme="majorHAnsi" w:hAnsiTheme="majorHAnsi" w:cstheme="majorHAnsi"/>
                <w:b/>
                <w:bCs/>
                <w:sz w:val="16"/>
                <w:szCs w:val="16"/>
              </w:rPr>
            </w:pPr>
            <w:r w:rsidRPr="00F16CB6">
              <w:rPr>
                <w:rFonts w:asciiTheme="majorHAnsi" w:hAnsiTheme="majorHAnsi" w:cstheme="majorHAnsi"/>
                <w:b/>
                <w:bCs/>
                <w:sz w:val="16"/>
                <w:szCs w:val="16"/>
              </w:rPr>
              <w:t>VIII. DISTRIBUIÇÃO DO VALOR ADICIONADO</w:t>
            </w:r>
          </w:p>
        </w:tc>
        <w:tc>
          <w:tcPr>
            <w:tcW w:w="1374" w:type="pct"/>
            <w:tcBorders>
              <w:top w:val="nil"/>
              <w:left w:val="nil"/>
              <w:bottom w:val="nil"/>
              <w:right w:val="nil"/>
            </w:tcBorders>
            <w:shd w:val="clear" w:color="000000" w:fill="FFFFFF"/>
            <w:noWrap/>
            <w:vAlign w:val="bottom"/>
            <w:hideMark/>
          </w:tcPr>
          <w:p w14:paraId="503CEAB1" w14:textId="77777777" w:rsidR="00F16CB6" w:rsidRPr="00F16CB6" w:rsidRDefault="00F16CB6">
            <w:pPr>
              <w:rPr>
                <w:rFonts w:asciiTheme="majorHAnsi" w:hAnsiTheme="majorHAnsi" w:cstheme="majorHAnsi"/>
                <w:sz w:val="16"/>
                <w:szCs w:val="16"/>
              </w:rPr>
            </w:pPr>
            <w:r w:rsidRPr="00F16CB6">
              <w:rPr>
                <w:rFonts w:asciiTheme="majorHAnsi" w:hAnsiTheme="majorHAnsi" w:cstheme="majorHAnsi"/>
                <w:sz w:val="16"/>
                <w:szCs w:val="16"/>
              </w:rPr>
              <w:t> </w:t>
            </w:r>
          </w:p>
        </w:tc>
        <w:tc>
          <w:tcPr>
            <w:tcW w:w="798" w:type="pct"/>
            <w:tcBorders>
              <w:top w:val="nil"/>
              <w:left w:val="nil"/>
              <w:bottom w:val="nil"/>
              <w:right w:val="nil"/>
            </w:tcBorders>
            <w:shd w:val="clear" w:color="000000" w:fill="FFFFFF"/>
            <w:noWrap/>
            <w:vAlign w:val="bottom"/>
            <w:hideMark/>
          </w:tcPr>
          <w:p w14:paraId="4C047745" w14:textId="77777777" w:rsidR="00F16CB6" w:rsidRPr="00F16CB6" w:rsidRDefault="00F16CB6" w:rsidP="00F16CB6">
            <w:pPr>
              <w:ind w:hanging="69"/>
              <w:jc w:val="right"/>
              <w:rPr>
                <w:rFonts w:asciiTheme="majorHAnsi" w:hAnsiTheme="majorHAnsi" w:cstheme="majorHAnsi"/>
                <w:b/>
                <w:bCs/>
                <w:sz w:val="16"/>
                <w:szCs w:val="16"/>
              </w:rPr>
            </w:pPr>
            <w:r w:rsidRPr="00F16CB6">
              <w:rPr>
                <w:rFonts w:asciiTheme="majorHAnsi" w:hAnsiTheme="majorHAnsi" w:cstheme="majorHAnsi"/>
                <w:b/>
                <w:bCs/>
                <w:sz w:val="16"/>
                <w:szCs w:val="16"/>
              </w:rPr>
              <w:t xml:space="preserve">            98.569.678 </w:t>
            </w:r>
          </w:p>
        </w:tc>
        <w:tc>
          <w:tcPr>
            <w:tcW w:w="1015" w:type="pct"/>
            <w:tcBorders>
              <w:top w:val="nil"/>
              <w:left w:val="nil"/>
              <w:bottom w:val="nil"/>
              <w:right w:val="nil"/>
            </w:tcBorders>
            <w:shd w:val="clear" w:color="000000" w:fill="FFFFFF"/>
            <w:noWrap/>
            <w:vAlign w:val="bottom"/>
            <w:hideMark/>
          </w:tcPr>
          <w:p w14:paraId="62606C47" w14:textId="77777777" w:rsidR="00F16CB6" w:rsidRPr="00F16CB6" w:rsidRDefault="00F16CB6" w:rsidP="00F16CB6">
            <w:pPr>
              <w:jc w:val="right"/>
              <w:rPr>
                <w:rFonts w:asciiTheme="majorHAnsi" w:hAnsiTheme="majorHAnsi" w:cstheme="majorHAnsi"/>
                <w:b/>
                <w:bCs/>
                <w:sz w:val="16"/>
                <w:szCs w:val="16"/>
              </w:rPr>
            </w:pPr>
            <w:r w:rsidRPr="00F16CB6">
              <w:rPr>
                <w:rFonts w:asciiTheme="majorHAnsi" w:hAnsiTheme="majorHAnsi" w:cstheme="majorHAnsi"/>
                <w:b/>
                <w:bCs/>
                <w:sz w:val="16"/>
                <w:szCs w:val="16"/>
              </w:rPr>
              <w:t xml:space="preserve">                           8.634.590 </w:t>
            </w:r>
          </w:p>
        </w:tc>
      </w:tr>
      <w:tr w:rsidR="00F16CB6" w:rsidRPr="00F16CB6" w14:paraId="3206BA26" w14:textId="77777777" w:rsidTr="00F16CB6">
        <w:trPr>
          <w:trHeight w:hRule="exact" w:val="227"/>
        </w:trPr>
        <w:tc>
          <w:tcPr>
            <w:tcW w:w="1727" w:type="pct"/>
            <w:tcBorders>
              <w:top w:val="nil"/>
              <w:left w:val="nil"/>
              <w:bottom w:val="nil"/>
              <w:right w:val="nil"/>
            </w:tcBorders>
            <w:shd w:val="clear" w:color="000000" w:fill="FFFFFF"/>
            <w:noWrap/>
            <w:vAlign w:val="bottom"/>
            <w:hideMark/>
          </w:tcPr>
          <w:p w14:paraId="74AB9F7B" w14:textId="77777777" w:rsidR="00F16CB6" w:rsidRPr="00F16CB6" w:rsidRDefault="00F16CB6">
            <w:pPr>
              <w:rPr>
                <w:rFonts w:asciiTheme="majorHAnsi" w:hAnsiTheme="majorHAnsi" w:cstheme="majorHAnsi"/>
                <w:b/>
                <w:bCs/>
                <w:sz w:val="16"/>
                <w:szCs w:val="16"/>
              </w:rPr>
            </w:pPr>
            <w:r w:rsidRPr="00F16CB6">
              <w:rPr>
                <w:rFonts w:asciiTheme="majorHAnsi" w:hAnsiTheme="majorHAnsi" w:cstheme="majorHAnsi"/>
                <w:b/>
                <w:bCs/>
                <w:sz w:val="16"/>
                <w:szCs w:val="16"/>
              </w:rPr>
              <w:t> </w:t>
            </w:r>
          </w:p>
        </w:tc>
        <w:tc>
          <w:tcPr>
            <w:tcW w:w="86" w:type="pct"/>
            <w:tcBorders>
              <w:top w:val="nil"/>
              <w:left w:val="nil"/>
              <w:bottom w:val="nil"/>
              <w:right w:val="nil"/>
            </w:tcBorders>
            <w:shd w:val="clear" w:color="000000" w:fill="FFFFFF"/>
            <w:noWrap/>
            <w:vAlign w:val="bottom"/>
            <w:hideMark/>
          </w:tcPr>
          <w:p w14:paraId="77122824" w14:textId="77777777" w:rsidR="00F16CB6" w:rsidRPr="00F16CB6" w:rsidRDefault="00F16CB6">
            <w:pPr>
              <w:rPr>
                <w:rFonts w:asciiTheme="majorHAnsi" w:hAnsiTheme="majorHAnsi" w:cstheme="majorHAnsi"/>
                <w:sz w:val="16"/>
                <w:szCs w:val="16"/>
              </w:rPr>
            </w:pPr>
            <w:r w:rsidRPr="00F16CB6">
              <w:rPr>
                <w:rFonts w:asciiTheme="majorHAnsi" w:hAnsiTheme="majorHAnsi" w:cstheme="majorHAnsi"/>
                <w:sz w:val="16"/>
                <w:szCs w:val="16"/>
              </w:rPr>
              <w:t> </w:t>
            </w:r>
          </w:p>
        </w:tc>
        <w:tc>
          <w:tcPr>
            <w:tcW w:w="1374" w:type="pct"/>
            <w:tcBorders>
              <w:top w:val="nil"/>
              <w:left w:val="nil"/>
              <w:bottom w:val="nil"/>
              <w:right w:val="nil"/>
            </w:tcBorders>
            <w:shd w:val="clear" w:color="000000" w:fill="FFFFFF"/>
            <w:noWrap/>
            <w:vAlign w:val="bottom"/>
            <w:hideMark/>
          </w:tcPr>
          <w:p w14:paraId="0E9AF407" w14:textId="77777777" w:rsidR="00F16CB6" w:rsidRPr="00F16CB6" w:rsidRDefault="00F16CB6">
            <w:pPr>
              <w:rPr>
                <w:rFonts w:asciiTheme="majorHAnsi" w:hAnsiTheme="majorHAnsi" w:cstheme="majorHAnsi"/>
                <w:sz w:val="16"/>
                <w:szCs w:val="16"/>
              </w:rPr>
            </w:pPr>
            <w:r w:rsidRPr="00F16CB6">
              <w:rPr>
                <w:rFonts w:asciiTheme="majorHAnsi" w:hAnsiTheme="majorHAnsi" w:cstheme="majorHAnsi"/>
                <w:sz w:val="16"/>
                <w:szCs w:val="16"/>
              </w:rPr>
              <w:t> </w:t>
            </w:r>
          </w:p>
        </w:tc>
        <w:tc>
          <w:tcPr>
            <w:tcW w:w="798" w:type="pct"/>
            <w:tcBorders>
              <w:top w:val="nil"/>
              <w:left w:val="nil"/>
              <w:bottom w:val="nil"/>
              <w:right w:val="nil"/>
            </w:tcBorders>
            <w:shd w:val="clear" w:color="000000" w:fill="FFFFFF"/>
            <w:noWrap/>
            <w:vAlign w:val="bottom"/>
            <w:hideMark/>
          </w:tcPr>
          <w:p w14:paraId="69906943" w14:textId="77777777" w:rsidR="00F16CB6" w:rsidRPr="00F16CB6" w:rsidRDefault="00F16CB6" w:rsidP="00F16CB6">
            <w:pPr>
              <w:ind w:hanging="69"/>
              <w:jc w:val="right"/>
              <w:rPr>
                <w:rFonts w:asciiTheme="majorHAnsi" w:hAnsiTheme="majorHAnsi" w:cstheme="majorHAnsi"/>
                <w:b/>
                <w:bCs/>
                <w:sz w:val="16"/>
                <w:szCs w:val="16"/>
              </w:rPr>
            </w:pPr>
            <w:r w:rsidRPr="00F16CB6">
              <w:rPr>
                <w:rFonts w:asciiTheme="majorHAnsi" w:hAnsiTheme="majorHAnsi" w:cstheme="majorHAnsi"/>
                <w:b/>
                <w:bCs/>
                <w:sz w:val="16"/>
                <w:szCs w:val="16"/>
              </w:rPr>
              <w:t> </w:t>
            </w:r>
          </w:p>
        </w:tc>
        <w:tc>
          <w:tcPr>
            <w:tcW w:w="1015" w:type="pct"/>
            <w:tcBorders>
              <w:top w:val="nil"/>
              <w:left w:val="nil"/>
              <w:bottom w:val="nil"/>
              <w:right w:val="nil"/>
            </w:tcBorders>
            <w:shd w:val="clear" w:color="000000" w:fill="FFFFFF"/>
            <w:noWrap/>
            <w:vAlign w:val="bottom"/>
            <w:hideMark/>
          </w:tcPr>
          <w:p w14:paraId="64231C6F" w14:textId="77777777" w:rsidR="00F16CB6" w:rsidRPr="00F16CB6" w:rsidRDefault="00F16CB6" w:rsidP="00F16CB6">
            <w:pPr>
              <w:jc w:val="right"/>
              <w:rPr>
                <w:rFonts w:asciiTheme="majorHAnsi" w:hAnsiTheme="majorHAnsi" w:cstheme="majorHAnsi"/>
                <w:b/>
                <w:bCs/>
                <w:sz w:val="16"/>
                <w:szCs w:val="16"/>
              </w:rPr>
            </w:pPr>
            <w:r w:rsidRPr="00F16CB6">
              <w:rPr>
                <w:rFonts w:asciiTheme="majorHAnsi" w:hAnsiTheme="majorHAnsi" w:cstheme="majorHAnsi"/>
                <w:b/>
                <w:bCs/>
                <w:sz w:val="16"/>
                <w:szCs w:val="16"/>
              </w:rPr>
              <w:t> </w:t>
            </w:r>
          </w:p>
        </w:tc>
      </w:tr>
      <w:tr w:rsidR="00F16CB6" w:rsidRPr="00F16CB6" w14:paraId="3061B96B" w14:textId="77777777" w:rsidTr="00F16CB6">
        <w:trPr>
          <w:trHeight w:hRule="exact" w:val="227"/>
        </w:trPr>
        <w:tc>
          <w:tcPr>
            <w:tcW w:w="1727" w:type="pct"/>
            <w:tcBorders>
              <w:top w:val="nil"/>
              <w:left w:val="nil"/>
              <w:bottom w:val="nil"/>
              <w:right w:val="nil"/>
            </w:tcBorders>
            <w:shd w:val="clear" w:color="000000" w:fill="FFFFFF"/>
            <w:noWrap/>
            <w:vAlign w:val="bottom"/>
            <w:hideMark/>
          </w:tcPr>
          <w:p w14:paraId="472005E4" w14:textId="77777777" w:rsidR="00F16CB6" w:rsidRPr="00F16CB6" w:rsidRDefault="00F16CB6">
            <w:pPr>
              <w:rPr>
                <w:rFonts w:asciiTheme="majorHAnsi" w:hAnsiTheme="majorHAnsi" w:cstheme="majorHAnsi"/>
                <w:sz w:val="16"/>
                <w:szCs w:val="16"/>
              </w:rPr>
            </w:pPr>
            <w:r w:rsidRPr="00F16CB6">
              <w:rPr>
                <w:rFonts w:asciiTheme="majorHAnsi" w:hAnsiTheme="majorHAnsi" w:cstheme="majorHAnsi"/>
                <w:b/>
                <w:bCs/>
                <w:sz w:val="16"/>
                <w:szCs w:val="16"/>
              </w:rPr>
              <w:t>VIII. 1 PESSOAL</w:t>
            </w:r>
            <w:r w:rsidRPr="00F16CB6">
              <w:rPr>
                <w:rFonts w:asciiTheme="majorHAnsi" w:hAnsiTheme="majorHAnsi" w:cstheme="majorHAnsi"/>
                <w:sz w:val="16"/>
                <w:szCs w:val="16"/>
              </w:rPr>
              <w:t xml:space="preserve">   </w:t>
            </w:r>
          </w:p>
        </w:tc>
        <w:tc>
          <w:tcPr>
            <w:tcW w:w="86" w:type="pct"/>
            <w:tcBorders>
              <w:top w:val="nil"/>
              <w:left w:val="nil"/>
              <w:bottom w:val="nil"/>
              <w:right w:val="nil"/>
            </w:tcBorders>
            <w:shd w:val="clear" w:color="000000" w:fill="FFFFFF"/>
            <w:noWrap/>
            <w:vAlign w:val="bottom"/>
            <w:hideMark/>
          </w:tcPr>
          <w:p w14:paraId="328EDD9C" w14:textId="77777777" w:rsidR="00F16CB6" w:rsidRPr="00F16CB6" w:rsidRDefault="00F16CB6">
            <w:pPr>
              <w:rPr>
                <w:rFonts w:asciiTheme="majorHAnsi" w:hAnsiTheme="majorHAnsi" w:cstheme="majorHAnsi"/>
                <w:sz w:val="16"/>
                <w:szCs w:val="16"/>
              </w:rPr>
            </w:pPr>
            <w:r w:rsidRPr="00F16CB6">
              <w:rPr>
                <w:rFonts w:asciiTheme="majorHAnsi" w:hAnsiTheme="majorHAnsi" w:cstheme="majorHAnsi"/>
                <w:sz w:val="16"/>
                <w:szCs w:val="16"/>
              </w:rPr>
              <w:t> </w:t>
            </w:r>
          </w:p>
        </w:tc>
        <w:tc>
          <w:tcPr>
            <w:tcW w:w="1374" w:type="pct"/>
            <w:tcBorders>
              <w:top w:val="nil"/>
              <w:left w:val="nil"/>
              <w:bottom w:val="nil"/>
              <w:right w:val="nil"/>
            </w:tcBorders>
            <w:shd w:val="clear" w:color="000000" w:fill="FFFFFF"/>
            <w:noWrap/>
            <w:vAlign w:val="bottom"/>
            <w:hideMark/>
          </w:tcPr>
          <w:p w14:paraId="2DD88516" w14:textId="77777777" w:rsidR="00F16CB6" w:rsidRPr="00F16CB6" w:rsidRDefault="00F16CB6">
            <w:pPr>
              <w:rPr>
                <w:rFonts w:asciiTheme="majorHAnsi" w:hAnsiTheme="majorHAnsi" w:cstheme="majorHAnsi"/>
                <w:sz w:val="16"/>
                <w:szCs w:val="16"/>
              </w:rPr>
            </w:pPr>
            <w:r w:rsidRPr="00F16CB6">
              <w:rPr>
                <w:rFonts w:asciiTheme="majorHAnsi" w:hAnsiTheme="majorHAnsi" w:cstheme="majorHAnsi"/>
                <w:sz w:val="16"/>
                <w:szCs w:val="16"/>
              </w:rPr>
              <w:t> </w:t>
            </w:r>
          </w:p>
        </w:tc>
        <w:tc>
          <w:tcPr>
            <w:tcW w:w="798" w:type="pct"/>
            <w:tcBorders>
              <w:top w:val="nil"/>
              <w:left w:val="nil"/>
              <w:bottom w:val="nil"/>
              <w:right w:val="nil"/>
            </w:tcBorders>
            <w:shd w:val="clear" w:color="000000" w:fill="FFFFFF"/>
            <w:noWrap/>
            <w:vAlign w:val="bottom"/>
            <w:hideMark/>
          </w:tcPr>
          <w:p w14:paraId="6676678B" w14:textId="77777777" w:rsidR="00F16CB6" w:rsidRPr="00F16CB6" w:rsidRDefault="00F16CB6" w:rsidP="00F16CB6">
            <w:pPr>
              <w:ind w:hanging="69"/>
              <w:jc w:val="right"/>
              <w:rPr>
                <w:rFonts w:asciiTheme="majorHAnsi" w:hAnsiTheme="majorHAnsi" w:cstheme="majorHAnsi"/>
                <w:b/>
                <w:bCs/>
                <w:sz w:val="16"/>
                <w:szCs w:val="16"/>
              </w:rPr>
            </w:pPr>
            <w:r w:rsidRPr="00F16CB6">
              <w:rPr>
                <w:rFonts w:asciiTheme="majorHAnsi" w:hAnsiTheme="majorHAnsi" w:cstheme="majorHAnsi"/>
                <w:b/>
                <w:bCs/>
                <w:sz w:val="16"/>
                <w:szCs w:val="16"/>
              </w:rPr>
              <w:t>53.350.897</w:t>
            </w:r>
          </w:p>
        </w:tc>
        <w:tc>
          <w:tcPr>
            <w:tcW w:w="1015" w:type="pct"/>
            <w:tcBorders>
              <w:top w:val="nil"/>
              <w:left w:val="nil"/>
              <w:bottom w:val="nil"/>
              <w:right w:val="nil"/>
            </w:tcBorders>
            <w:shd w:val="clear" w:color="000000" w:fill="FFFFFF"/>
            <w:noWrap/>
            <w:vAlign w:val="bottom"/>
            <w:hideMark/>
          </w:tcPr>
          <w:p w14:paraId="676F356E" w14:textId="77777777" w:rsidR="00F16CB6" w:rsidRPr="00F16CB6" w:rsidRDefault="00F16CB6" w:rsidP="00F16CB6">
            <w:pPr>
              <w:jc w:val="right"/>
              <w:rPr>
                <w:rFonts w:asciiTheme="majorHAnsi" w:hAnsiTheme="majorHAnsi" w:cstheme="majorHAnsi"/>
                <w:b/>
                <w:bCs/>
                <w:sz w:val="16"/>
                <w:szCs w:val="16"/>
              </w:rPr>
            </w:pPr>
            <w:r w:rsidRPr="00F16CB6">
              <w:rPr>
                <w:rFonts w:asciiTheme="majorHAnsi" w:hAnsiTheme="majorHAnsi" w:cstheme="majorHAnsi"/>
                <w:b/>
                <w:bCs/>
                <w:sz w:val="16"/>
                <w:szCs w:val="16"/>
              </w:rPr>
              <w:t>55.943.337</w:t>
            </w:r>
          </w:p>
        </w:tc>
      </w:tr>
      <w:tr w:rsidR="00F16CB6" w:rsidRPr="00F16CB6" w14:paraId="0755DB92" w14:textId="77777777" w:rsidTr="00F16CB6">
        <w:trPr>
          <w:trHeight w:hRule="exact" w:val="227"/>
        </w:trPr>
        <w:tc>
          <w:tcPr>
            <w:tcW w:w="1813" w:type="pct"/>
            <w:gridSpan w:val="2"/>
            <w:tcBorders>
              <w:top w:val="nil"/>
              <w:left w:val="nil"/>
              <w:bottom w:val="nil"/>
              <w:right w:val="nil"/>
            </w:tcBorders>
            <w:shd w:val="clear" w:color="000000" w:fill="FFFFFF"/>
            <w:noWrap/>
            <w:vAlign w:val="bottom"/>
            <w:hideMark/>
          </w:tcPr>
          <w:p w14:paraId="30130C66" w14:textId="77777777" w:rsidR="00F16CB6" w:rsidRPr="00F16CB6" w:rsidRDefault="00F16CB6">
            <w:pPr>
              <w:rPr>
                <w:rFonts w:asciiTheme="majorHAnsi" w:hAnsiTheme="majorHAnsi" w:cstheme="majorHAnsi"/>
                <w:b/>
                <w:bCs/>
                <w:sz w:val="16"/>
                <w:szCs w:val="16"/>
              </w:rPr>
            </w:pPr>
            <w:r w:rsidRPr="00F16CB6">
              <w:rPr>
                <w:rFonts w:asciiTheme="majorHAnsi" w:hAnsiTheme="majorHAnsi" w:cstheme="majorHAnsi"/>
                <w:b/>
                <w:bCs/>
                <w:sz w:val="16"/>
                <w:szCs w:val="16"/>
              </w:rPr>
              <w:t xml:space="preserve">         </w:t>
            </w:r>
            <w:r w:rsidRPr="00F16CB6">
              <w:rPr>
                <w:rFonts w:asciiTheme="majorHAnsi" w:hAnsiTheme="majorHAnsi" w:cstheme="majorHAnsi"/>
                <w:sz w:val="16"/>
                <w:szCs w:val="16"/>
              </w:rPr>
              <w:t>Remuneração Direta</w:t>
            </w:r>
          </w:p>
        </w:tc>
        <w:tc>
          <w:tcPr>
            <w:tcW w:w="1374" w:type="pct"/>
            <w:tcBorders>
              <w:top w:val="nil"/>
              <w:left w:val="nil"/>
              <w:bottom w:val="nil"/>
              <w:right w:val="nil"/>
            </w:tcBorders>
            <w:shd w:val="clear" w:color="000000" w:fill="FFFFFF"/>
            <w:noWrap/>
            <w:vAlign w:val="bottom"/>
            <w:hideMark/>
          </w:tcPr>
          <w:p w14:paraId="65CF6651" w14:textId="77777777" w:rsidR="00F16CB6" w:rsidRPr="00F16CB6" w:rsidRDefault="00F16CB6">
            <w:pPr>
              <w:rPr>
                <w:rFonts w:asciiTheme="majorHAnsi" w:hAnsiTheme="majorHAnsi" w:cstheme="majorHAnsi"/>
                <w:sz w:val="16"/>
                <w:szCs w:val="16"/>
              </w:rPr>
            </w:pPr>
            <w:r w:rsidRPr="00F16CB6">
              <w:rPr>
                <w:rFonts w:asciiTheme="majorHAnsi" w:hAnsiTheme="majorHAnsi" w:cstheme="majorHAnsi"/>
                <w:sz w:val="16"/>
                <w:szCs w:val="16"/>
              </w:rPr>
              <w:t> </w:t>
            </w:r>
          </w:p>
        </w:tc>
        <w:tc>
          <w:tcPr>
            <w:tcW w:w="798" w:type="pct"/>
            <w:tcBorders>
              <w:top w:val="nil"/>
              <w:left w:val="nil"/>
              <w:bottom w:val="nil"/>
              <w:right w:val="nil"/>
            </w:tcBorders>
            <w:shd w:val="clear" w:color="000000" w:fill="FFFFFF"/>
            <w:noWrap/>
            <w:vAlign w:val="bottom"/>
            <w:hideMark/>
          </w:tcPr>
          <w:p w14:paraId="60951348" w14:textId="77777777" w:rsidR="00F16CB6" w:rsidRPr="00F16CB6" w:rsidRDefault="00F16CB6" w:rsidP="00F16CB6">
            <w:pPr>
              <w:ind w:hanging="69"/>
              <w:jc w:val="right"/>
              <w:rPr>
                <w:rFonts w:asciiTheme="majorHAnsi" w:hAnsiTheme="majorHAnsi" w:cstheme="majorHAnsi"/>
                <w:sz w:val="16"/>
                <w:szCs w:val="16"/>
              </w:rPr>
            </w:pPr>
            <w:r w:rsidRPr="00F16CB6">
              <w:rPr>
                <w:rFonts w:asciiTheme="majorHAnsi" w:hAnsiTheme="majorHAnsi" w:cstheme="majorHAnsi"/>
                <w:sz w:val="16"/>
                <w:szCs w:val="16"/>
              </w:rPr>
              <w:t>42.322.101</w:t>
            </w:r>
          </w:p>
        </w:tc>
        <w:tc>
          <w:tcPr>
            <w:tcW w:w="1015" w:type="pct"/>
            <w:tcBorders>
              <w:top w:val="nil"/>
              <w:left w:val="nil"/>
              <w:bottom w:val="nil"/>
              <w:right w:val="nil"/>
            </w:tcBorders>
            <w:shd w:val="clear" w:color="000000" w:fill="FFFFFF"/>
            <w:noWrap/>
            <w:vAlign w:val="bottom"/>
            <w:hideMark/>
          </w:tcPr>
          <w:p w14:paraId="52119389" w14:textId="77777777" w:rsidR="00F16CB6" w:rsidRPr="00F16CB6" w:rsidRDefault="00F16CB6" w:rsidP="00F16CB6">
            <w:pPr>
              <w:jc w:val="right"/>
              <w:rPr>
                <w:rFonts w:asciiTheme="majorHAnsi" w:hAnsiTheme="majorHAnsi" w:cstheme="majorHAnsi"/>
                <w:sz w:val="16"/>
                <w:szCs w:val="16"/>
              </w:rPr>
            </w:pPr>
            <w:r w:rsidRPr="00F16CB6">
              <w:rPr>
                <w:rFonts w:asciiTheme="majorHAnsi" w:hAnsiTheme="majorHAnsi" w:cstheme="majorHAnsi"/>
                <w:sz w:val="16"/>
                <w:szCs w:val="16"/>
              </w:rPr>
              <w:t>47.360.793</w:t>
            </w:r>
          </w:p>
        </w:tc>
      </w:tr>
      <w:tr w:rsidR="00F16CB6" w:rsidRPr="00F16CB6" w14:paraId="42C0468F" w14:textId="77777777" w:rsidTr="00F16CB6">
        <w:trPr>
          <w:trHeight w:hRule="exact" w:val="227"/>
        </w:trPr>
        <w:tc>
          <w:tcPr>
            <w:tcW w:w="1727" w:type="pct"/>
            <w:tcBorders>
              <w:top w:val="nil"/>
              <w:left w:val="nil"/>
              <w:bottom w:val="nil"/>
              <w:right w:val="nil"/>
            </w:tcBorders>
            <w:shd w:val="clear" w:color="000000" w:fill="FFFFFF"/>
            <w:noWrap/>
            <w:vAlign w:val="bottom"/>
            <w:hideMark/>
          </w:tcPr>
          <w:p w14:paraId="03D519A1" w14:textId="77777777" w:rsidR="00F16CB6" w:rsidRPr="00F16CB6" w:rsidRDefault="00F16CB6">
            <w:pPr>
              <w:rPr>
                <w:rFonts w:asciiTheme="majorHAnsi" w:hAnsiTheme="majorHAnsi" w:cstheme="majorHAnsi"/>
                <w:b/>
                <w:bCs/>
                <w:sz w:val="16"/>
                <w:szCs w:val="16"/>
              </w:rPr>
            </w:pPr>
            <w:r w:rsidRPr="00F16CB6">
              <w:rPr>
                <w:rFonts w:asciiTheme="majorHAnsi" w:hAnsiTheme="majorHAnsi" w:cstheme="majorHAnsi"/>
                <w:b/>
                <w:bCs/>
                <w:sz w:val="16"/>
                <w:szCs w:val="16"/>
              </w:rPr>
              <w:t xml:space="preserve">         </w:t>
            </w:r>
            <w:r w:rsidRPr="00F16CB6">
              <w:rPr>
                <w:rFonts w:asciiTheme="majorHAnsi" w:hAnsiTheme="majorHAnsi" w:cstheme="majorHAnsi"/>
                <w:sz w:val="16"/>
                <w:szCs w:val="16"/>
              </w:rPr>
              <w:t>Benefícios</w:t>
            </w:r>
          </w:p>
        </w:tc>
        <w:tc>
          <w:tcPr>
            <w:tcW w:w="86" w:type="pct"/>
            <w:tcBorders>
              <w:top w:val="nil"/>
              <w:left w:val="nil"/>
              <w:bottom w:val="nil"/>
              <w:right w:val="nil"/>
            </w:tcBorders>
            <w:shd w:val="clear" w:color="000000" w:fill="FFFFFF"/>
            <w:noWrap/>
            <w:vAlign w:val="bottom"/>
            <w:hideMark/>
          </w:tcPr>
          <w:p w14:paraId="2144E1B3" w14:textId="77777777" w:rsidR="00F16CB6" w:rsidRPr="00F16CB6" w:rsidRDefault="00F16CB6">
            <w:pPr>
              <w:rPr>
                <w:rFonts w:asciiTheme="majorHAnsi" w:hAnsiTheme="majorHAnsi" w:cstheme="majorHAnsi"/>
                <w:sz w:val="16"/>
                <w:szCs w:val="16"/>
              </w:rPr>
            </w:pPr>
            <w:r w:rsidRPr="00F16CB6">
              <w:rPr>
                <w:rFonts w:asciiTheme="majorHAnsi" w:hAnsiTheme="majorHAnsi" w:cstheme="majorHAnsi"/>
                <w:sz w:val="16"/>
                <w:szCs w:val="16"/>
              </w:rPr>
              <w:t> </w:t>
            </w:r>
          </w:p>
        </w:tc>
        <w:tc>
          <w:tcPr>
            <w:tcW w:w="1374" w:type="pct"/>
            <w:tcBorders>
              <w:top w:val="nil"/>
              <w:left w:val="nil"/>
              <w:bottom w:val="nil"/>
              <w:right w:val="nil"/>
            </w:tcBorders>
            <w:shd w:val="clear" w:color="000000" w:fill="FFFFFF"/>
            <w:noWrap/>
            <w:vAlign w:val="bottom"/>
            <w:hideMark/>
          </w:tcPr>
          <w:p w14:paraId="6A9349F2" w14:textId="77777777" w:rsidR="00F16CB6" w:rsidRPr="00F16CB6" w:rsidRDefault="00F16CB6">
            <w:pPr>
              <w:rPr>
                <w:rFonts w:asciiTheme="majorHAnsi" w:hAnsiTheme="majorHAnsi" w:cstheme="majorHAnsi"/>
                <w:sz w:val="16"/>
                <w:szCs w:val="16"/>
              </w:rPr>
            </w:pPr>
            <w:r w:rsidRPr="00F16CB6">
              <w:rPr>
                <w:rFonts w:asciiTheme="majorHAnsi" w:hAnsiTheme="majorHAnsi" w:cstheme="majorHAnsi"/>
                <w:sz w:val="16"/>
                <w:szCs w:val="16"/>
              </w:rPr>
              <w:t> </w:t>
            </w:r>
          </w:p>
        </w:tc>
        <w:tc>
          <w:tcPr>
            <w:tcW w:w="798" w:type="pct"/>
            <w:tcBorders>
              <w:top w:val="nil"/>
              <w:left w:val="nil"/>
              <w:bottom w:val="nil"/>
              <w:right w:val="nil"/>
            </w:tcBorders>
            <w:shd w:val="clear" w:color="000000" w:fill="FFFFFF"/>
            <w:noWrap/>
            <w:vAlign w:val="bottom"/>
            <w:hideMark/>
          </w:tcPr>
          <w:p w14:paraId="2F88B26A" w14:textId="77777777" w:rsidR="00F16CB6" w:rsidRPr="00F16CB6" w:rsidRDefault="00F16CB6" w:rsidP="00F16CB6">
            <w:pPr>
              <w:ind w:hanging="69"/>
              <w:jc w:val="right"/>
              <w:rPr>
                <w:rFonts w:asciiTheme="majorHAnsi" w:hAnsiTheme="majorHAnsi" w:cstheme="majorHAnsi"/>
                <w:sz w:val="16"/>
                <w:szCs w:val="16"/>
              </w:rPr>
            </w:pPr>
            <w:r w:rsidRPr="00F16CB6">
              <w:rPr>
                <w:rFonts w:asciiTheme="majorHAnsi" w:hAnsiTheme="majorHAnsi" w:cstheme="majorHAnsi"/>
                <w:sz w:val="16"/>
                <w:szCs w:val="16"/>
              </w:rPr>
              <w:t>7.152.241</w:t>
            </w:r>
          </w:p>
        </w:tc>
        <w:tc>
          <w:tcPr>
            <w:tcW w:w="1015" w:type="pct"/>
            <w:tcBorders>
              <w:top w:val="nil"/>
              <w:left w:val="nil"/>
              <w:bottom w:val="nil"/>
              <w:right w:val="nil"/>
            </w:tcBorders>
            <w:shd w:val="clear" w:color="000000" w:fill="FFFFFF"/>
            <w:noWrap/>
            <w:vAlign w:val="bottom"/>
            <w:hideMark/>
          </w:tcPr>
          <w:p w14:paraId="2A315CC2" w14:textId="77777777" w:rsidR="00F16CB6" w:rsidRPr="00F16CB6" w:rsidRDefault="00F16CB6" w:rsidP="00F16CB6">
            <w:pPr>
              <w:jc w:val="right"/>
              <w:rPr>
                <w:rFonts w:asciiTheme="majorHAnsi" w:hAnsiTheme="majorHAnsi" w:cstheme="majorHAnsi"/>
                <w:sz w:val="16"/>
                <w:szCs w:val="16"/>
              </w:rPr>
            </w:pPr>
            <w:r w:rsidRPr="00F16CB6">
              <w:rPr>
                <w:rFonts w:asciiTheme="majorHAnsi" w:hAnsiTheme="majorHAnsi" w:cstheme="majorHAnsi"/>
                <w:sz w:val="16"/>
                <w:szCs w:val="16"/>
              </w:rPr>
              <w:t>5.387.262</w:t>
            </w:r>
          </w:p>
        </w:tc>
      </w:tr>
      <w:tr w:rsidR="00F16CB6" w:rsidRPr="00F16CB6" w14:paraId="7442534A" w14:textId="77777777" w:rsidTr="00F16CB6">
        <w:trPr>
          <w:trHeight w:hRule="exact" w:val="227"/>
        </w:trPr>
        <w:tc>
          <w:tcPr>
            <w:tcW w:w="1727" w:type="pct"/>
            <w:tcBorders>
              <w:top w:val="nil"/>
              <w:left w:val="nil"/>
              <w:bottom w:val="nil"/>
              <w:right w:val="nil"/>
            </w:tcBorders>
            <w:shd w:val="clear" w:color="000000" w:fill="FFFFFF"/>
            <w:noWrap/>
            <w:vAlign w:val="bottom"/>
            <w:hideMark/>
          </w:tcPr>
          <w:p w14:paraId="655FABBF" w14:textId="77777777" w:rsidR="00F16CB6" w:rsidRPr="00F16CB6" w:rsidRDefault="00F16CB6">
            <w:pPr>
              <w:rPr>
                <w:rFonts w:asciiTheme="majorHAnsi" w:hAnsiTheme="majorHAnsi" w:cstheme="majorHAnsi"/>
                <w:sz w:val="16"/>
                <w:szCs w:val="16"/>
              </w:rPr>
            </w:pPr>
            <w:r w:rsidRPr="00F16CB6">
              <w:rPr>
                <w:rFonts w:asciiTheme="majorHAnsi" w:hAnsiTheme="majorHAnsi" w:cstheme="majorHAnsi"/>
                <w:sz w:val="16"/>
                <w:szCs w:val="16"/>
              </w:rPr>
              <w:t xml:space="preserve">         FGTS</w:t>
            </w:r>
          </w:p>
        </w:tc>
        <w:tc>
          <w:tcPr>
            <w:tcW w:w="86" w:type="pct"/>
            <w:tcBorders>
              <w:top w:val="nil"/>
              <w:left w:val="nil"/>
              <w:bottom w:val="nil"/>
              <w:right w:val="nil"/>
            </w:tcBorders>
            <w:shd w:val="clear" w:color="000000" w:fill="FFFFFF"/>
            <w:noWrap/>
            <w:vAlign w:val="bottom"/>
            <w:hideMark/>
          </w:tcPr>
          <w:p w14:paraId="224CA963" w14:textId="77777777" w:rsidR="00F16CB6" w:rsidRPr="00F16CB6" w:rsidRDefault="00F16CB6">
            <w:pPr>
              <w:rPr>
                <w:rFonts w:asciiTheme="majorHAnsi" w:hAnsiTheme="majorHAnsi" w:cstheme="majorHAnsi"/>
                <w:sz w:val="16"/>
                <w:szCs w:val="16"/>
              </w:rPr>
            </w:pPr>
            <w:r w:rsidRPr="00F16CB6">
              <w:rPr>
                <w:rFonts w:asciiTheme="majorHAnsi" w:hAnsiTheme="majorHAnsi" w:cstheme="majorHAnsi"/>
                <w:sz w:val="16"/>
                <w:szCs w:val="16"/>
              </w:rPr>
              <w:t> </w:t>
            </w:r>
          </w:p>
        </w:tc>
        <w:tc>
          <w:tcPr>
            <w:tcW w:w="1374" w:type="pct"/>
            <w:tcBorders>
              <w:top w:val="nil"/>
              <w:left w:val="nil"/>
              <w:bottom w:val="nil"/>
              <w:right w:val="nil"/>
            </w:tcBorders>
            <w:shd w:val="clear" w:color="000000" w:fill="FFFFFF"/>
            <w:noWrap/>
            <w:vAlign w:val="bottom"/>
            <w:hideMark/>
          </w:tcPr>
          <w:p w14:paraId="720AFD20" w14:textId="77777777" w:rsidR="00F16CB6" w:rsidRPr="00F16CB6" w:rsidRDefault="00F16CB6">
            <w:pPr>
              <w:rPr>
                <w:rFonts w:asciiTheme="majorHAnsi" w:hAnsiTheme="majorHAnsi" w:cstheme="majorHAnsi"/>
                <w:sz w:val="16"/>
                <w:szCs w:val="16"/>
              </w:rPr>
            </w:pPr>
            <w:r w:rsidRPr="00F16CB6">
              <w:rPr>
                <w:rFonts w:asciiTheme="majorHAnsi" w:hAnsiTheme="majorHAnsi" w:cstheme="majorHAnsi"/>
                <w:sz w:val="16"/>
                <w:szCs w:val="16"/>
              </w:rPr>
              <w:t> </w:t>
            </w:r>
          </w:p>
        </w:tc>
        <w:tc>
          <w:tcPr>
            <w:tcW w:w="798" w:type="pct"/>
            <w:tcBorders>
              <w:top w:val="nil"/>
              <w:left w:val="nil"/>
              <w:bottom w:val="nil"/>
              <w:right w:val="nil"/>
            </w:tcBorders>
            <w:shd w:val="clear" w:color="000000" w:fill="FFFFFF"/>
            <w:noWrap/>
            <w:vAlign w:val="bottom"/>
            <w:hideMark/>
          </w:tcPr>
          <w:p w14:paraId="2A9D9D60" w14:textId="77777777" w:rsidR="00F16CB6" w:rsidRPr="00F16CB6" w:rsidRDefault="00F16CB6" w:rsidP="00F16CB6">
            <w:pPr>
              <w:ind w:hanging="69"/>
              <w:jc w:val="right"/>
              <w:rPr>
                <w:rFonts w:asciiTheme="majorHAnsi" w:hAnsiTheme="majorHAnsi" w:cstheme="majorHAnsi"/>
                <w:sz w:val="16"/>
                <w:szCs w:val="16"/>
              </w:rPr>
            </w:pPr>
            <w:r w:rsidRPr="00F16CB6">
              <w:rPr>
                <w:rFonts w:asciiTheme="majorHAnsi" w:hAnsiTheme="majorHAnsi" w:cstheme="majorHAnsi"/>
                <w:sz w:val="16"/>
                <w:szCs w:val="16"/>
              </w:rPr>
              <w:t>3.876.554</w:t>
            </w:r>
          </w:p>
        </w:tc>
        <w:tc>
          <w:tcPr>
            <w:tcW w:w="1015" w:type="pct"/>
            <w:tcBorders>
              <w:top w:val="nil"/>
              <w:left w:val="nil"/>
              <w:bottom w:val="nil"/>
              <w:right w:val="nil"/>
            </w:tcBorders>
            <w:shd w:val="clear" w:color="000000" w:fill="FFFFFF"/>
            <w:noWrap/>
            <w:vAlign w:val="bottom"/>
            <w:hideMark/>
          </w:tcPr>
          <w:p w14:paraId="7BAB4350" w14:textId="77777777" w:rsidR="00F16CB6" w:rsidRPr="00F16CB6" w:rsidRDefault="00F16CB6" w:rsidP="00F16CB6">
            <w:pPr>
              <w:jc w:val="right"/>
              <w:rPr>
                <w:rFonts w:asciiTheme="majorHAnsi" w:hAnsiTheme="majorHAnsi" w:cstheme="majorHAnsi"/>
                <w:sz w:val="16"/>
                <w:szCs w:val="16"/>
              </w:rPr>
            </w:pPr>
            <w:r w:rsidRPr="00F16CB6">
              <w:rPr>
                <w:rFonts w:asciiTheme="majorHAnsi" w:hAnsiTheme="majorHAnsi" w:cstheme="majorHAnsi"/>
                <w:sz w:val="16"/>
                <w:szCs w:val="16"/>
              </w:rPr>
              <w:t>3.195.283</w:t>
            </w:r>
          </w:p>
        </w:tc>
      </w:tr>
      <w:tr w:rsidR="00F16CB6" w:rsidRPr="00F16CB6" w14:paraId="223A811E" w14:textId="77777777" w:rsidTr="00F16CB6">
        <w:trPr>
          <w:trHeight w:hRule="exact" w:val="227"/>
        </w:trPr>
        <w:tc>
          <w:tcPr>
            <w:tcW w:w="1813" w:type="pct"/>
            <w:gridSpan w:val="2"/>
            <w:tcBorders>
              <w:top w:val="nil"/>
              <w:left w:val="nil"/>
              <w:bottom w:val="nil"/>
              <w:right w:val="nil"/>
            </w:tcBorders>
            <w:shd w:val="clear" w:color="000000" w:fill="FFFFFF"/>
            <w:noWrap/>
            <w:vAlign w:val="bottom"/>
            <w:hideMark/>
          </w:tcPr>
          <w:p w14:paraId="2F822835" w14:textId="77777777" w:rsidR="00F16CB6" w:rsidRPr="00F16CB6" w:rsidRDefault="00F16CB6">
            <w:pPr>
              <w:rPr>
                <w:rFonts w:asciiTheme="majorHAnsi" w:hAnsiTheme="majorHAnsi" w:cstheme="majorHAnsi"/>
                <w:b/>
                <w:bCs/>
                <w:sz w:val="16"/>
                <w:szCs w:val="16"/>
              </w:rPr>
            </w:pPr>
            <w:r w:rsidRPr="00F16CB6">
              <w:rPr>
                <w:rFonts w:asciiTheme="majorHAnsi" w:hAnsiTheme="majorHAnsi" w:cstheme="majorHAnsi"/>
                <w:b/>
                <w:bCs/>
                <w:sz w:val="16"/>
                <w:szCs w:val="16"/>
              </w:rPr>
              <w:t>VIII. 2 IMPOSTOS, TAXAS E CONTRIBUIÇÕES</w:t>
            </w:r>
          </w:p>
        </w:tc>
        <w:tc>
          <w:tcPr>
            <w:tcW w:w="1374" w:type="pct"/>
            <w:tcBorders>
              <w:top w:val="nil"/>
              <w:left w:val="nil"/>
              <w:bottom w:val="nil"/>
              <w:right w:val="nil"/>
            </w:tcBorders>
            <w:shd w:val="clear" w:color="000000" w:fill="FFFFFF"/>
            <w:noWrap/>
            <w:vAlign w:val="bottom"/>
            <w:hideMark/>
          </w:tcPr>
          <w:p w14:paraId="2F4D4981" w14:textId="77777777" w:rsidR="00F16CB6" w:rsidRPr="00F16CB6" w:rsidRDefault="00F16CB6">
            <w:pPr>
              <w:rPr>
                <w:rFonts w:asciiTheme="majorHAnsi" w:hAnsiTheme="majorHAnsi" w:cstheme="majorHAnsi"/>
                <w:sz w:val="16"/>
                <w:szCs w:val="16"/>
              </w:rPr>
            </w:pPr>
            <w:r w:rsidRPr="00F16CB6">
              <w:rPr>
                <w:rFonts w:asciiTheme="majorHAnsi" w:hAnsiTheme="majorHAnsi" w:cstheme="majorHAnsi"/>
                <w:sz w:val="16"/>
                <w:szCs w:val="16"/>
              </w:rPr>
              <w:t> </w:t>
            </w:r>
          </w:p>
        </w:tc>
        <w:tc>
          <w:tcPr>
            <w:tcW w:w="798" w:type="pct"/>
            <w:tcBorders>
              <w:top w:val="nil"/>
              <w:left w:val="nil"/>
              <w:bottom w:val="nil"/>
              <w:right w:val="nil"/>
            </w:tcBorders>
            <w:shd w:val="clear" w:color="000000" w:fill="FFFFFF"/>
            <w:noWrap/>
            <w:vAlign w:val="bottom"/>
            <w:hideMark/>
          </w:tcPr>
          <w:p w14:paraId="4309A1F2" w14:textId="77777777" w:rsidR="00F16CB6" w:rsidRPr="00F16CB6" w:rsidRDefault="00F16CB6" w:rsidP="00F16CB6">
            <w:pPr>
              <w:ind w:hanging="69"/>
              <w:jc w:val="right"/>
              <w:rPr>
                <w:rFonts w:asciiTheme="majorHAnsi" w:hAnsiTheme="majorHAnsi" w:cstheme="majorHAnsi"/>
                <w:b/>
                <w:bCs/>
                <w:sz w:val="16"/>
                <w:szCs w:val="16"/>
              </w:rPr>
            </w:pPr>
            <w:r w:rsidRPr="00F16CB6">
              <w:rPr>
                <w:rFonts w:asciiTheme="majorHAnsi" w:hAnsiTheme="majorHAnsi" w:cstheme="majorHAnsi"/>
                <w:b/>
                <w:bCs/>
                <w:sz w:val="16"/>
                <w:szCs w:val="16"/>
              </w:rPr>
              <w:t>9.656.357</w:t>
            </w:r>
          </w:p>
        </w:tc>
        <w:tc>
          <w:tcPr>
            <w:tcW w:w="1015" w:type="pct"/>
            <w:tcBorders>
              <w:top w:val="nil"/>
              <w:left w:val="nil"/>
              <w:bottom w:val="nil"/>
              <w:right w:val="nil"/>
            </w:tcBorders>
            <w:shd w:val="clear" w:color="000000" w:fill="FFFFFF"/>
            <w:noWrap/>
            <w:vAlign w:val="bottom"/>
            <w:hideMark/>
          </w:tcPr>
          <w:p w14:paraId="639690B6" w14:textId="77777777" w:rsidR="00F16CB6" w:rsidRPr="00F16CB6" w:rsidRDefault="00F16CB6" w:rsidP="00F16CB6">
            <w:pPr>
              <w:jc w:val="right"/>
              <w:rPr>
                <w:rFonts w:asciiTheme="majorHAnsi" w:hAnsiTheme="majorHAnsi" w:cstheme="majorHAnsi"/>
                <w:b/>
                <w:bCs/>
                <w:sz w:val="16"/>
                <w:szCs w:val="16"/>
              </w:rPr>
            </w:pPr>
            <w:r w:rsidRPr="00F16CB6">
              <w:rPr>
                <w:rFonts w:asciiTheme="majorHAnsi" w:hAnsiTheme="majorHAnsi" w:cstheme="majorHAnsi"/>
                <w:b/>
                <w:bCs/>
                <w:sz w:val="16"/>
                <w:szCs w:val="16"/>
              </w:rPr>
              <w:t>11.168.634</w:t>
            </w:r>
          </w:p>
        </w:tc>
      </w:tr>
      <w:tr w:rsidR="00F16CB6" w:rsidRPr="00F16CB6" w14:paraId="7E57EA9D" w14:textId="77777777" w:rsidTr="00F16CB6">
        <w:trPr>
          <w:trHeight w:hRule="exact" w:val="227"/>
        </w:trPr>
        <w:tc>
          <w:tcPr>
            <w:tcW w:w="1727" w:type="pct"/>
            <w:tcBorders>
              <w:top w:val="nil"/>
              <w:left w:val="nil"/>
              <w:bottom w:val="nil"/>
              <w:right w:val="nil"/>
            </w:tcBorders>
            <w:shd w:val="clear" w:color="000000" w:fill="FFFFFF"/>
            <w:noWrap/>
            <w:vAlign w:val="bottom"/>
            <w:hideMark/>
          </w:tcPr>
          <w:p w14:paraId="39781E10" w14:textId="77777777" w:rsidR="00F16CB6" w:rsidRPr="00F16CB6" w:rsidRDefault="00F16CB6">
            <w:pPr>
              <w:rPr>
                <w:rFonts w:asciiTheme="majorHAnsi" w:hAnsiTheme="majorHAnsi" w:cstheme="majorHAnsi"/>
                <w:sz w:val="16"/>
                <w:szCs w:val="16"/>
              </w:rPr>
            </w:pPr>
            <w:r w:rsidRPr="00F16CB6">
              <w:rPr>
                <w:rFonts w:asciiTheme="majorHAnsi" w:hAnsiTheme="majorHAnsi" w:cstheme="majorHAnsi"/>
                <w:sz w:val="16"/>
                <w:szCs w:val="16"/>
              </w:rPr>
              <w:t xml:space="preserve">         Federais</w:t>
            </w:r>
          </w:p>
        </w:tc>
        <w:tc>
          <w:tcPr>
            <w:tcW w:w="86" w:type="pct"/>
            <w:tcBorders>
              <w:top w:val="nil"/>
              <w:left w:val="nil"/>
              <w:bottom w:val="nil"/>
              <w:right w:val="nil"/>
            </w:tcBorders>
            <w:shd w:val="clear" w:color="000000" w:fill="FFFFFF"/>
            <w:noWrap/>
            <w:vAlign w:val="bottom"/>
            <w:hideMark/>
          </w:tcPr>
          <w:p w14:paraId="50260E33" w14:textId="77777777" w:rsidR="00F16CB6" w:rsidRPr="00F16CB6" w:rsidRDefault="00F16CB6">
            <w:pPr>
              <w:rPr>
                <w:rFonts w:asciiTheme="majorHAnsi" w:hAnsiTheme="majorHAnsi" w:cstheme="majorHAnsi"/>
                <w:sz w:val="16"/>
                <w:szCs w:val="16"/>
              </w:rPr>
            </w:pPr>
            <w:r w:rsidRPr="00F16CB6">
              <w:rPr>
                <w:rFonts w:asciiTheme="majorHAnsi" w:hAnsiTheme="majorHAnsi" w:cstheme="majorHAnsi"/>
                <w:sz w:val="16"/>
                <w:szCs w:val="16"/>
              </w:rPr>
              <w:t> </w:t>
            </w:r>
          </w:p>
        </w:tc>
        <w:tc>
          <w:tcPr>
            <w:tcW w:w="1374" w:type="pct"/>
            <w:tcBorders>
              <w:top w:val="nil"/>
              <w:left w:val="nil"/>
              <w:bottom w:val="nil"/>
              <w:right w:val="nil"/>
            </w:tcBorders>
            <w:shd w:val="clear" w:color="000000" w:fill="FFFFFF"/>
            <w:noWrap/>
            <w:vAlign w:val="bottom"/>
            <w:hideMark/>
          </w:tcPr>
          <w:p w14:paraId="5EFB91D1" w14:textId="77777777" w:rsidR="00F16CB6" w:rsidRPr="00F16CB6" w:rsidRDefault="00F16CB6">
            <w:pPr>
              <w:rPr>
                <w:rFonts w:asciiTheme="majorHAnsi" w:hAnsiTheme="majorHAnsi" w:cstheme="majorHAnsi"/>
                <w:sz w:val="16"/>
                <w:szCs w:val="16"/>
              </w:rPr>
            </w:pPr>
            <w:r w:rsidRPr="00F16CB6">
              <w:rPr>
                <w:rFonts w:asciiTheme="majorHAnsi" w:hAnsiTheme="majorHAnsi" w:cstheme="majorHAnsi"/>
                <w:sz w:val="16"/>
                <w:szCs w:val="16"/>
              </w:rPr>
              <w:t> </w:t>
            </w:r>
          </w:p>
        </w:tc>
        <w:tc>
          <w:tcPr>
            <w:tcW w:w="798" w:type="pct"/>
            <w:tcBorders>
              <w:top w:val="nil"/>
              <w:left w:val="nil"/>
              <w:bottom w:val="nil"/>
              <w:right w:val="nil"/>
            </w:tcBorders>
            <w:shd w:val="clear" w:color="000000" w:fill="FFFFFF"/>
            <w:noWrap/>
            <w:vAlign w:val="bottom"/>
            <w:hideMark/>
          </w:tcPr>
          <w:p w14:paraId="7415F037" w14:textId="77777777" w:rsidR="00F16CB6" w:rsidRPr="00F16CB6" w:rsidRDefault="00F16CB6" w:rsidP="00F16CB6">
            <w:pPr>
              <w:ind w:hanging="69"/>
              <w:jc w:val="right"/>
              <w:rPr>
                <w:rFonts w:asciiTheme="majorHAnsi" w:hAnsiTheme="majorHAnsi" w:cstheme="majorHAnsi"/>
                <w:sz w:val="16"/>
                <w:szCs w:val="16"/>
              </w:rPr>
            </w:pPr>
            <w:r w:rsidRPr="00F16CB6">
              <w:rPr>
                <w:rFonts w:asciiTheme="majorHAnsi" w:hAnsiTheme="majorHAnsi" w:cstheme="majorHAnsi"/>
                <w:sz w:val="16"/>
                <w:szCs w:val="16"/>
              </w:rPr>
              <w:t>9.639.082</w:t>
            </w:r>
          </w:p>
        </w:tc>
        <w:tc>
          <w:tcPr>
            <w:tcW w:w="1015" w:type="pct"/>
            <w:tcBorders>
              <w:top w:val="nil"/>
              <w:left w:val="nil"/>
              <w:bottom w:val="nil"/>
              <w:right w:val="nil"/>
            </w:tcBorders>
            <w:shd w:val="clear" w:color="000000" w:fill="FFFFFF"/>
            <w:noWrap/>
            <w:vAlign w:val="bottom"/>
            <w:hideMark/>
          </w:tcPr>
          <w:p w14:paraId="08AD6066" w14:textId="77777777" w:rsidR="00F16CB6" w:rsidRPr="00F16CB6" w:rsidRDefault="00F16CB6" w:rsidP="00F16CB6">
            <w:pPr>
              <w:jc w:val="right"/>
              <w:rPr>
                <w:rFonts w:asciiTheme="majorHAnsi" w:hAnsiTheme="majorHAnsi" w:cstheme="majorHAnsi"/>
                <w:sz w:val="16"/>
                <w:szCs w:val="16"/>
              </w:rPr>
            </w:pPr>
            <w:r w:rsidRPr="00F16CB6">
              <w:rPr>
                <w:rFonts w:asciiTheme="majorHAnsi" w:hAnsiTheme="majorHAnsi" w:cstheme="majorHAnsi"/>
                <w:sz w:val="16"/>
                <w:szCs w:val="16"/>
              </w:rPr>
              <w:t>11.142.398</w:t>
            </w:r>
          </w:p>
        </w:tc>
      </w:tr>
      <w:tr w:rsidR="00F16CB6" w:rsidRPr="00F16CB6" w14:paraId="48BCF461" w14:textId="77777777" w:rsidTr="00F16CB6">
        <w:trPr>
          <w:trHeight w:hRule="exact" w:val="227"/>
        </w:trPr>
        <w:tc>
          <w:tcPr>
            <w:tcW w:w="1727" w:type="pct"/>
            <w:tcBorders>
              <w:top w:val="nil"/>
              <w:left w:val="nil"/>
              <w:bottom w:val="nil"/>
              <w:right w:val="nil"/>
            </w:tcBorders>
            <w:shd w:val="clear" w:color="000000" w:fill="FFFFFF"/>
            <w:noWrap/>
            <w:vAlign w:val="bottom"/>
            <w:hideMark/>
          </w:tcPr>
          <w:p w14:paraId="0DD086C5" w14:textId="77777777" w:rsidR="00F16CB6" w:rsidRPr="00F16CB6" w:rsidRDefault="00F16CB6">
            <w:pPr>
              <w:rPr>
                <w:rFonts w:asciiTheme="majorHAnsi" w:hAnsiTheme="majorHAnsi" w:cstheme="majorHAnsi"/>
                <w:sz w:val="16"/>
                <w:szCs w:val="16"/>
              </w:rPr>
            </w:pPr>
            <w:r w:rsidRPr="00F16CB6">
              <w:rPr>
                <w:rFonts w:asciiTheme="majorHAnsi" w:hAnsiTheme="majorHAnsi" w:cstheme="majorHAnsi"/>
                <w:sz w:val="16"/>
                <w:szCs w:val="16"/>
              </w:rPr>
              <w:t xml:space="preserve">         Estaduais</w:t>
            </w:r>
          </w:p>
        </w:tc>
        <w:tc>
          <w:tcPr>
            <w:tcW w:w="86" w:type="pct"/>
            <w:tcBorders>
              <w:top w:val="nil"/>
              <w:left w:val="nil"/>
              <w:bottom w:val="nil"/>
              <w:right w:val="nil"/>
            </w:tcBorders>
            <w:shd w:val="clear" w:color="000000" w:fill="FFFFFF"/>
            <w:noWrap/>
            <w:vAlign w:val="bottom"/>
            <w:hideMark/>
          </w:tcPr>
          <w:p w14:paraId="13CEDF41" w14:textId="77777777" w:rsidR="00F16CB6" w:rsidRPr="00F16CB6" w:rsidRDefault="00F16CB6">
            <w:pPr>
              <w:rPr>
                <w:rFonts w:asciiTheme="majorHAnsi" w:hAnsiTheme="majorHAnsi" w:cstheme="majorHAnsi"/>
                <w:sz w:val="16"/>
                <w:szCs w:val="16"/>
              </w:rPr>
            </w:pPr>
            <w:r w:rsidRPr="00F16CB6">
              <w:rPr>
                <w:rFonts w:asciiTheme="majorHAnsi" w:hAnsiTheme="majorHAnsi" w:cstheme="majorHAnsi"/>
                <w:sz w:val="16"/>
                <w:szCs w:val="16"/>
              </w:rPr>
              <w:t> </w:t>
            </w:r>
          </w:p>
        </w:tc>
        <w:tc>
          <w:tcPr>
            <w:tcW w:w="1374" w:type="pct"/>
            <w:tcBorders>
              <w:top w:val="nil"/>
              <w:left w:val="nil"/>
              <w:bottom w:val="nil"/>
              <w:right w:val="nil"/>
            </w:tcBorders>
            <w:shd w:val="clear" w:color="000000" w:fill="FFFFFF"/>
            <w:noWrap/>
            <w:vAlign w:val="bottom"/>
            <w:hideMark/>
          </w:tcPr>
          <w:p w14:paraId="0257701F" w14:textId="77777777" w:rsidR="00F16CB6" w:rsidRPr="00F16CB6" w:rsidRDefault="00F16CB6">
            <w:pPr>
              <w:rPr>
                <w:rFonts w:asciiTheme="majorHAnsi" w:hAnsiTheme="majorHAnsi" w:cstheme="majorHAnsi"/>
                <w:sz w:val="16"/>
                <w:szCs w:val="16"/>
              </w:rPr>
            </w:pPr>
            <w:r w:rsidRPr="00F16CB6">
              <w:rPr>
                <w:rFonts w:asciiTheme="majorHAnsi" w:hAnsiTheme="majorHAnsi" w:cstheme="majorHAnsi"/>
                <w:sz w:val="16"/>
                <w:szCs w:val="16"/>
              </w:rPr>
              <w:t> </w:t>
            </w:r>
          </w:p>
        </w:tc>
        <w:tc>
          <w:tcPr>
            <w:tcW w:w="798" w:type="pct"/>
            <w:tcBorders>
              <w:top w:val="nil"/>
              <w:left w:val="nil"/>
              <w:bottom w:val="nil"/>
              <w:right w:val="nil"/>
            </w:tcBorders>
            <w:shd w:val="clear" w:color="000000" w:fill="FFFFFF"/>
            <w:noWrap/>
            <w:vAlign w:val="bottom"/>
            <w:hideMark/>
          </w:tcPr>
          <w:p w14:paraId="6F750EE1" w14:textId="77777777" w:rsidR="00F16CB6" w:rsidRPr="00F16CB6" w:rsidRDefault="00F16CB6" w:rsidP="00F16CB6">
            <w:pPr>
              <w:ind w:hanging="69"/>
              <w:jc w:val="right"/>
              <w:rPr>
                <w:rFonts w:asciiTheme="majorHAnsi" w:hAnsiTheme="majorHAnsi" w:cstheme="majorHAnsi"/>
                <w:sz w:val="16"/>
                <w:szCs w:val="16"/>
              </w:rPr>
            </w:pPr>
            <w:r w:rsidRPr="00F16CB6">
              <w:rPr>
                <w:rFonts w:asciiTheme="majorHAnsi" w:hAnsiTheme="majorHAnsi" w:cstheme="majorHAnsi"/>
                <w:sz w:val="16"/>
                <w:szCs w:val="16"/>
              </w:rPr>
              <w:t xml:space="preserve">                             -   </w:t>
            </w:r>
          </w:p>
        </w:tc>
        <w:tc>
          <w:tcPr>
            <w:tcW w:w="1015" w:type="pct"/>
            <w:tcBorders>
              <w:top w:val="nil"/>
              <w:left w:val="nil"/>
              <w:bottom w:val="nil"/>
              <w:right w:val="nil"/>
            </w:tcBorders>
            <w:shd w:val="clear" w:color="000000" w:fill="FFFFFF"/>
            <w:noWrap/>
            <w:vAlign w:val="bottom"/>
            <w:hideMark/>
          </w:tcPr>
          <w:p w14:paraId="78C8C1BA" w14:textId="77777777" w:rsidR="00F16CB6" w:rsidRPr="00F16CB6" w:rsidRDefault="00F16CB6" w:rsidP="00F16CB6">
            <w:pPr>
              <w:jc w:val="right"/>
              <w:rPr>
                <w:rFonts w:asciiTheme="majorHAnsi" w:hAnsiTheme="majorHAnsi" w:cstheme="majorHAnsi"/>
                <w:sz w:val="16"/>
                <w:szCs w:val="16"/>
              </w:rPr>
            </w:pPr>
            <w:r w:rsidRPr="00F16CB6">
              <w:rPr>
                <w:rFonts w:asciiTheme="majorHAnsi" w:hAnsiTheme="majorHAnsi" w:cstheme="majorHAnsi"/>
                <w:sz w:val="16"/>
                <w:szCs w:val="16"/>
              </w:rPr>
              <w:t xml:space="preserve">                                         -   </w:t>
            </w:r>
          </w:p>
        </w:tc>
      </w:tr>
      <w:tr w:rsidR="00F16CB6" w:rsidRPr="00F16CB6" w14:paraId="5DD8C930" w14:textId="77777777" w:rsidTr="00F16CB6">
        <w:trPr>
          <w:trHeight w:hRule="exact" w:val="227"/>
        </w:trPr>
        <w:tc>
          <w:tcPr>
            <w:tcW w:w="1727" w:type="pct"/>
            <w:tcBorders>
              <w:top w:val="nil"/>
              <w:left w:val="nil"/>
              <w:bottom w:val="nil"/>
              <w:right w:val="nil"/>
            </w:tcBorders>
            <w:shd w:val="clear" w:color="000000" w:fill="FFFFFF"/>
            <w:noWrap/>
            <w:vAlign w:val="bottom"/>
            <w:hideMark/>
          </w:tcPr>
          <w:p w14:paraId="13F8182A" w14:textId="77777777" w:rsidR="00F16CB6" w:rsidRPr="00F16CB6" w:rsidRDefault="00F16CB6">
            <w:pPr>
              <w:rPr>
                <w:rFonts w:asciiTheme="majorHAnsi" w:hAnsiTheme="majorHAnsi" w:cstheme="majorHAnsi"/>
                <w:sz w:val="16"/>
                <w:szCs w:val="16"/>
              </w:rPr>
            </w:pPr>
            <w:r w:rsidRPr="00F16CB6">
              <w:rPr>
                <w:rFonts w:asciiTheme="majorHAnsi" w:hAnsiTheme="majorHAnsi" w:cstheme="majorHAnsi"/>
                <w:sz w:val="16"/>
                <w:szCs w:val="16"/>
              </w:rPr>
              <w:lastRenderedPageBreak/>
              <w:t xml:space="preserve">         Municipais</w:t>
            </w:r>
          </w:p>
        </w:tc>
        <w:tc>
          <w:tcPr>
            <w:tcW w:w="86" w:type="pct"/>
            <w:tcBorders>
              <w:top w:val="nil"/>
              <w:left w:val="nil"/>
              <w:bottom w:val="nil"/>
              <w:right w:val="nil"/>
            </w:tcBorders>
            <w:shd w:val="clear" w:color="000000" w:fill="FFFFFF"/>
            <w:noWrap/>
            <w:vAlign w:val="bottom"/>
            <w:hideMark/>
          </w:tcPr>
          <w:p w14:paraId="2FC3BE74" w14:textId="77777777" w:rsidR="00F16CB6" w:rsidRPr="00F16CB6" w:rsidRDefault="00F16CB6">
            <w:pPr>
              <w:rPr>
                <w:rFonts w:asciiTheme="majorHAnsi" w:hAnsiTheme="majorHAnsi" w:cstheme="majorHAnsi"/>
                <w:sz w:val="16"/>
                <w:szCs w:val="16"/>
              </w:rPr>
            </w:pPr>
            <w:r w:rsidRPr="00F16CB6">
              <w:rPr>
                <w:rFonts w:asciiTheme="majorHAnsi" w:hAnsiTheme="majorHAnsi" w:cstheme="majorHAnsi"/>
                <w:sz w:val="16"/>
                <w:szCs w:val="16"/>
              </w:rPr>
              <w:t> </w:t>
            </w:r>
          </w:p>
        </w:tc>
        <w:tc>
          <w:tcPr>
            <w:tcW w:w="1374" w:type="pct"/>
            <w:tcBorders>
              <w:top w:val="nil"/>
              <w:left w:val="nil"/>
              <w:bottom w:val="nil"/>
              <w:right w:val="nil"/>
            </w:tcBorders>
            <w:shd w:val="clear" w:color="000000" w:fill="FFFFFF"/>
            <w:noWrap/>
            <w:vAlign w:val="bottom"/>
            <w:hideMark/>
          </w:tcPr>
          <w:p w14:paraId="036E2EA7" w14:textId="77777777" w:rsidR="00F16CB6" w:rsidRPr="00F16CB6" w:rsidRDefault="00F16CB6">
            <w:pPr>
              <w:rPr>
                <w:rFonts w:asciiTheme="majorHAnsi" w:hAnsiTheme="majorHAnsi" w:cstheme="majorHAnsi"/>
                <w:sz w:val="16"/>
                <w:szCs w:val="16"/>
              </w:rPr>
            </w:pPr>
            <w:r w:rsidRPr="00F16CB6">
              <w:rPr>
                <w:rFonts w:asciiTheme="majorHAnsi" w:hAnsiTheme="majorHAnsi" w:cstheme="majorHAnsi"/>
                <w:sz w:val="16"/>
                <w:szCs w:val="16"/>
              </w:rPr>
              <w:t> </w:t>
            </w:r>
          </w:p>
        </w:tc>
        <w:tc>
          <w:tcPr>
            <w:tcW w:w="798" w:type="pct"/>
            <w:tcBorders>
              <w:top w:val="nil"/>
              <w:left w:val="nil"/>
              <w:bottom w:val="nil"/>
              <w:right w:val="nil"/>
            </w:tcBorders>
            <w:shd w:val="clear" w:color="000000" w:fill="FFFFFF"/>
            <w:noWrap/>
            <w:vAlign w:val="bottom"/>
            <w:hideMark/>
          </w:tcPr>
          <w:p w14:paraId="35006D39" w14:textId="77777777" w:rsidR="00F16CB6" w:rsidRPr="00F16CB6" w:rsidRDefault="00F16CB6" w:rsidP="00F16CB6">
            <w:pPr>
              <w:ind w:hanging="69"/>
              <w:jc w:val="right"/>
              <w:rPr>
                <w:rFonts w:asciiTheme="majorHAnsi" w:hAnsiTheme="majorHAnsi" w:cstheme="majorHAnsi"/>
                <w:sz w:val="16"/>
                <w:szCs w:val="16"/>
              </w:rPr>
            </w:pPr>
            <w:r w:rsidRPr="00F16CB6">
              <w:rPr>
                <w:rFonts w:asciiTheme="majorHAnsi" w:hAnsiTheme="majorHAnsi" w:cstheme="majorHAnsi"/>
                <w:sz w:val="16"/>
                <w:szCs w:val="16"/>
              </w:rPr>
              <w:t>17.275</w:t>
            </w:r>
          </w:p>
        </w:tc>
        <w:tc>
          <w:tcPr>
            <w:tcW w:w="1015" w:type="pct"/>
            <w:tcBorders>
              <w:top w:val="nil"/>
              <w:left w:val="nil"/>
              <w:bottom w:val="nil"/>
              <w:right w:val="nil"/>
            </w:tcBorders>
            <w:shd w:val="clear" w:color="000000" w:fill="FFFFFF"/>
            <w:noWrap/>
            <w:vAlign w:val="bottom"/>
            <w:hideMark/>
          </w:tcPr>
          <w:p w14:paraId="6C6AF228" w14:textId="77777777" w:rsidR="00F16CB6" w:rsidRPr="00F16CB6" w:rsidRDefault="00F16CB6" w:rsidP="00F16CB6">
            <w:pPr>
              <w:jc w:val="right"/>
              <w:rPr>
                <w:rFonts w:asciiTheme="majorHAnsi" w:hAnsiTheme="majorHAnsi" w:cstheme="majorHAnsi"/>
                <w:sz w:val="16"/>
                <w:szCs w:val="16"/>
              </w:rPr>
            </w:pPr>
            <w:r w:rsidRPr="00F16CB6">
              <w:rPr>
                <w:rFonts w:asciiTheme="majorHAnsi" w:hAnsiTheme="majorHAnsi" w:cstheme="majorHAnsi"/>
                <w:sz w:val="16"/>
                <w:szCs w:val="16"/>
              </w:rPr>
              <w:t xml:space="preserve">                                26.236 </w:t>
            </w:r>
          </w:p>
        </w:tc>
      </w:tr>
      <w:tr w:rsidR="00F16CB6" w:rsidRPr="00F16CB6" w14:paraId="72F3222D" w14:textId="77777777" w:rsidTr="00F16CB6">
        <w:trPr>
          <w:trHeight w:hRule="exact" w:val="227"/>
        </w:trPr>
        <w:tc>
          <w:tcPr>
            <w:tcW w:w="1813" w:type="pct"/>
            <w:gridSpan w:val="2"/>
            <w:tcBorders>
              <w:top w:val="nil"/>
              <w:left w:val="nil"/>
              <w:bottom w:val="nil"/>
              <w:right w:val="nil"/>
            </w:tcBorders>
            <w:shd w:val="clear" w:color="000000" w:fill="FFFFFF"/>
            <w:noWrap/>
            <w:vAlign w:val="bottom"/>
            <w:hideMark/>
          </w:tcPr>
          <w:p w14:paraId="60AB1C90" w14:textId="77777777" w:rsidR="00F16CB6" w:rsidRPr="00F16CB6" w:rsidRDefault="00F16CB6">
            <w:pPr>
              <w:rPr>
                <w:rFonts w:asciiTheme="majorHAnsi" w:hAnsiTheme="majorHAnsi" w:cstheme="majorHAnsi"/>
                <w:b/>
                <w:bCs/>
                <w:sz w:val="16"/>
                <w:szCs w:val="16"/>
              </w:rPr>
            </w:pPr>
            <w:r w:rsidRPr="00F16CB6">
              <w:rPr>
                <w:rFonts w:asciiTheme="majorHAnsi" w:hAnsiTheme="majorHAnsi" w:cstheme="majorHAnsi"/>
                <w:b/>
                <w:bCs/>
                <w:sz w:val="16"/>
                <w:szCs w:val="16"/>
              </w:rPr>
              <w:t>VIII. 3 REMUNERAÇÃO DE CAPITAIS DE TERCEIROS</w:t>
            </w:r>
          </w:p>
        </w:tc>
        <w:tc>
          <w:tcPr>
            <w:tcW w:w="1374" w:type="pct"/>
            <w:tcBorders>
              <w:top w:val="nil"/>
              <w:left w:val="nil"/>
              <w:bottom w:val="nil"/>
              <w:right w:val="nil"/>
            </w:tcBorders>
            <w:shd w:val="clear" w:color="000000" w:fill="FFFFFF"/>
            <w:noWrap/>
            <w:vAlign w:val="bottom"/>
            <w:hideMark/>
          </w:tcPr>
          <w:p w14:paraId="1F73B042" w14:textId="77777777" w:rsidR="00F16CB6" w:rsidRPr="00F16CB6" w:rsidRDefault="00F16CB6">
            <w:pPr>
              <w:rPr>
                <w:rFonts w:asciiTheme="majorHAnsi" w:hAnsiTheme="majorHAnsi" w:cstheme="majorHAnsi"/>
                <w:sz w:val="16"/>
                <w:szCs w:val="16"/>
              </w:rPr>
            </w:pPr>
            <w:r w:rsidRPr="00F16CB6">
              <w:rPr>
                <w:rFonts w:asciiTheme="majorHAnsi" w:hAnsiTheme="majorHAnsi" w:cstheme="majorHAnsi"/>
                <w:sz w:val="16"/>
                <w:szCs w:val="16"/>
              </w:rPr>
              <w:t> </w:t>
            </w:r>
          </w:p>
        </w:tc>
        <w:tc>
          <w:tcPr>
            <w:tcW w:w="798" w:type="pct"/>
            <w:tcBorders>
              <w:top w:val="nil"/>
              <w:left w:val="nil"/>
              <w:bottom w:val="nil"/>
              <w:right w:val="nil"/>
            </w:tcBorders>
            <w:shd w:val="clear" w:color="000000" w:fill="FFFFFF"/>
            <w:noWrap/>
            <w:vAlign w:val="bottom"/>
            <w:hideMark/>
          </w:tcPr>
          <w:p w14:paraId="343D95B1" w14:textId="77777777" w:rsidR="00F16CB6" w:rsidRPr="00F16CB6" w:rsidRDefault="00F16CB6" w:rsidP="00F16CB6">
            <w:pPr>
              <w:ind w:hanging="69"/>
              <w:jc w:val="right"/>
              <w:rPr>
                <w:rFonts w:asciiTheme="majorHAnsi" w:hAnsiTheme="majorHAnsi" w:cstheme="majorHAnsi"/>
                <w:b/>
                <w:bCs/>
                <w:sz w:val="16"/>
                <w:szCs w:val="16"/>
              </w:rPr>
            </w:pPr>
            <w:r w:rsidRPr="00F16CB6">
              <w:rPr>
                <w:rFonts w:asciiTheme="majorHAnsi" w:hAnsiTheme="majorHAnsi" w:cstheme="majorHAnsi"/>
                <w:b/>
                <w:bCs/>
                <w:sz w:val="16"/>
                <w:szCs w:val="16"/>
              </w:rPr>
              <w:t>2.731.372</w:t>
            </w:r>
          </w:p>
        </w:tc>
        <w:tc>
          <w:tcPr>
            <w:tcW w:w="1015" w:type="pct"/>
            <w:tcBorders>
              <w:top w:val="nil"/>
              <w:left w:val="nil"/>
              <w:bottom w:val="nil"/>
              <w:right w:val="nil"/>
            </w:tcBorders>
            <w:shd w:val="clear" w:color="000000" w:fill="FFFFFF"/>
            <w:noWrap/>
            <w:vAlign w:val="bottom"/>
            <w:hideMark/>
          </w:tcPr>
          <w:p w14:paraId="39A4663E" w14:textId="77777777" w:rsidR="00F16CB6" w:rsidRPr="00F16CB6" w:rsidRDefault="00F16CB6" w:rsidP="00F16CB6">
            <w:pPr>
              <w:jc w:val="right"/>
              <w:rPr>
                <w:rFonts w:asciiTheme="majorHAnsi" w:hAnsiTheme="majorHAnsi" w:cstheme="majorHAnsi"/>
                <w:b/>
                <w:bCs/>
                <w:sz w:val="16"/>
                <w:szCs w:val="16"/>
              </w:rPr>
            </w:pPr>
            <w:r w:rsidRPr="00F16CB6">
              <w:rPr>
                <w:rFonts w:asciiTheme="majorHAnsi" w:hAnsiTheme="majorHAnsi" w:cstheme="majorHAnsi"/>
                <w:b/>
                <w:bCs/>
                <w:sz w:val="16"/>
                <w:szCs w:val="16"/>
              </w:rPr>
              <w:t>619.150</w:t>
            </w:r>
          </w:p>
        </w:tc>
      </w:tr>
      <w:tr w:rsidR="00F16CB6" w:rsidRPr="00F16CB6" w14:paraId="184D577B" w14:textId="77777777" w:rsidTr="00F16CB6">
        <w:trPr>
          <w:trHeight w:hRule="exact" w:val="227"/>
        </w:trPr>
        <w:tc>
          <w:tcPr>
            <w:tcW w:w="1813" w:type="pct"/>
            <w:gridSpan w:val="2"/>
            <w:tcBorders>
              <w:top w:val="nil"/>
              <w:left w:val="nil"/>
              <w:bottom w:val="nil"/>
              <w:right w:val="nil"/>
            </w:tcBorders>
            <w:shd w:val="clear" w:color="000000" w:fill="FFFFFF"/>
            <w:noWrap/>
            <w:vAlign w:val="bottom"/>
            <w:hideMark/>
          </w:tcPr>
          <w:p w14:paraId="74730763" w14:textId="77777777" w:rsidR="00F16CB6" w:rsidRPr="00F16CB6" w:rsidRDefault="00F16CB6">
            <w:pPr>
              <w:rPr>
                <w:rFonts w:asciiTheme="majorHAnsi" w:hAnsiTheme="majorHAnsi" w:cstheme="majorHAnsi"/>
                <w:sz w:val="16"/>
                <w:szCs w:val="16"/>
              </w:rPr>
            </w:pPr>
            <w:r w:rsidRPr="00F16CB6">
              <w:rPr>
                <w:rFonts w:asciiTheme="majorHAnsi" w:hAnsiTheme="majorHAnsi" w:cstheme="majorHAnsi"/>
                <w:sz w:val="16"/>
                <w:szCs w:val="16"/>
              </w:rPr>
              <w:t xml:space="preserve">         Juros e Atualizações Monetárias</w:t>
            </w:r>
          </w:p>
        </w:tc>
        <w:tc>
          <w:tcPr>
            <w:tcW w:w="1374" w:type="pct"/>
            <w:tcBorders>
              <w:top w:val="nil"/>
              <w:left w:val="nil"/>
              <w:bottom w:val="nil"/>
              <w:right w:val="nil"/>
            </w:tcBorders>
            <w:shd w:val="clear" w:color="000000" w:fill="FFFFFF"/>
            <w:noWrap/>
            <w:vAlign w:val="bottom"/>
            <w:hideMark/>
          </w:tcPr>
          <w:p w14:paraId="7BEF68A8" w14:textId="77777777" w:rsidR="00F16CB6" w:rsidRPr="00F16CB6" w:rsidRDefault="00F16CB6">
            <w:pPr>
              <w:rPr>
                <w:rFonts w:asciiTheme="majorHAnsi" w:hAnsiTheme="majorHAnsi" w:cstheme="majorHAnsi"/>
                <w:sz w:val="16"/>
                <w:szCs w:val="16"/>
              </w:rPr>
            </w:pPr>
            <w:r w:rsidRPr="00F16CB6">
              <w:rPr>
                <w:rFonts w:asciiTheme="majorHAnsi" w:hAnsiTheme="majorHAnsi" w:cstheme="majorHAnsi"/>
                <w:sz w:val="16"/>
                <w:szCs w:val="16"/>
              </w:rPr>
              <w:t> </w:t>
            </w:r>
          </w:p>
        </w:tc>
        <w:tc>
          <w:tcPr>
            <w:tcW w:w="798" w:type="pct"/>
            <w:tcBorders>
              <w:top w:val="nil"/>
              <w:left w:val="nil"/>
              <w:bottom w:val="nil"/>
              <w:right w:val="nil"/>
            </w:tcBorders>
            <w:shd w:val="clear" w:color="000000" w:fill="FFFFFF"/>
            <w:noWrap/>
            <w:vAlign w:val="bottom"/>
            <w:hideMark/>
          </w:tcPr>
          <w:p w14:paraId="2A8EF370" w14:textId="77777777" w:rsidR="00F16CB6" w:rsidRPr="00F16CB6" w:rsidRDefault="00F16CB6" w:rsidP="00F16CB6">
            <w:pPr>
              <w:ind w:hanging="69"/>
              <w:jc w:val="right"/>
              <w:rPr>
                <w:rFonts w:asciiTheme="majorHAnsi" w:hAnsiTheme="majorHAnsi" w:cstheme="majorHAnsi"/>
                <w:sz w:val="16"/>
                <w:szCs w:val="16"/>
              </w:rPr>
            </w:pPr>
            <w:r w:rsidRPr="00F16CB6">
              <w:rPr>
                <w:rFonts w:asciiTheme="majorHAnsi" w:hAnsiTheme="majorHAnsi" w:cstheme="majorHAnsi"/>
                <w:sz w:val="16"/>
                <w:szCs w:val="16"/>
              </w:rPr>
              <w:t xml:space="preserve">                  576.632 </w:t>
            </w:r>
          </w:p>
        </w:tc>
        <w:tc>
          <w:tcPr>
            <w:tcW w:w="1015" w:type="pct"/>
            <w:tcBorders>
              <w:top w:val="nil"/>
              <w:left w:val="nil"/>
              <w:bottom w:val="nil"/>
              <w:right w:val="nil"/>
            </w:tcBorders>
            <w:shd w:val="clear" w:color="000000" w:fill="FFFFFF"/>
            <w:noWrap/>
            <w:vAlign w:val="bottom"/>
            <w:hideMark/>
          </w:tcPr>
          <w:p w14:paraId="491DD3A6" w14:textId="77777777" w:rsidR="00F16CB6" w:rsidRPr="00F16CB6" w:rsidRDefault="00F16CB6" w:rsidP="00F16CB6">
            <w:pPr>
              <w:jc w:val="right"/>
              <w:rPr>
                <w:rFonts w:asciiTheme="majorHAnsi" w:hAnsiTheme="majorHAnsi" w:cstheme="majorHAnsi"/>
                <w:sz w:val="16"/>
                <w:szCs w:val="16"/>
              </w:rPr>
            </w:pPr>
            <w:r w:rsidRPr="00F16CB6">
              <w:rPr>
                <w:rFonts w:asciiTheme="majorHAnsi" w:hAnsiTheme="majorHAnsi" w:cstheme="majorHAnsi"/>
                <w:sz w:val="16"/>
                <w:szCs w:val="16"/>
              </w:rPr>
              <w:t xml:space="preserve">                                         -   </w:t>
            </w:r>
          </w:p>
        </w:tc>
      </w:tr>
      <w:tr w:rsidR="00F16CB6" w:rsidRPr="00F16CB6" w14:paraId="20F45954" w14:textId="77777777" w:rsidTr="00F16CB6">
        <w:trPr>
          <w:trHeight w:hRule="exact" w:val="227"/>
        </w:trPr>
        <w:tc>
          <w:tcPr>
            <w:tcW w:w="1813" w:type="pct"/>
            <w:gridSpan w:val="2"/>
            <w:tcBorders>
              <w:top w:val="nil"/>
              <w:left w:val="nil"/>
              <w:bottom w:val="nil"/>
              <w:right w:val="nil"/>
            </w:tcBorders>
            <w:shd w:val="clear" w:color="000000" w:fill="FFFFFF"/>
            <w:noWrap/>
            <w:vAlign w:val="bottom"/>
            <w:hideMark/>
          </w:tcPr>
          <w:p w14:paraId="6A21CACB" w14:textId="77777777" w:rsidR="00F16CB6" w:rsidRPr="00F16CB6" w:rsidRDefault="00F16CB6">
            <w:pPr>
              <w:rPr>
                <w:rFonts w:asciiTheme="majorHAnsi" w:hAnsiTheme="majorHAnsi" w:cstheme="majorHAnsi"/>
                <w:sz w:val="16"/>
                <w:szCs w:val="16"/>
              </w:rPr>
            </w:pPr>
            <w:r w:rsidRPr="00F16CB6">
              <w:rPr>
                <w:rFonts w:asciiTheme="majorHAnsi" w:hAnsiTheme="majorHAnsi" w:cstheme="majorHAnsi"/>
                <w:sz w:val="16"/>
                <w:szCs w:val="16"/>
              </w:rPr>
              <w:t xml:space="preserve">         Locação de Máquinas e Equipamentos</w:t>
            </w:r>
          </w:p>
        </w:tc>
        <w:tc>
          <w:tcPr>
            <w:tcW w:w="1374" w:type="pct"/>
            <w:tcBorders>
              <w:top w:val="nil"/>
              <w:left w:val="nil"/>
              <w:bottom w:val="nil"/>
              <w:right w:val="nil"/>
            </w:tcBorders>
            <w:shd w:val="clear" w:color="000000" w:fill="FFFFFF"/>
            <w:noWrap/>
            <w:vAlign w:val="bottom"/>
            <w:hideMark/>
          </w:tcPr>
          <w:p w14:paraId="2D6DC808" w14:textId="77777777" w:rsidR="00F16CB6" w:rsidRPr="00F16CB6" w:rsidRDefault="00F16CB6">
            <w:pPr>
              <w:rPr>
                <w:rFonts w:asciiTheme="majorHAnsi" w:hAnsiTheme="majorHAnsi" w:cstheme="majorHAnsi"/>
                <w:sz w:val="16"/>
                <w:szCs w:val="16"/>
              </w:rPr>
            </w:pPr>
            <w:r w:rsidRPr="00F16CB6">
              <w:rPr>
                <w:rFonts w:asciiTheme="majorHAnsi" w:hAnsiTheme="majorHAnsi" w:cstheme="majorHAnsi"/>
                <w:sz w:val="16"/>
                <w:szCs w:val="16"/>
              </w:rPr>
              <w:t> </w:t>
            </w:r>
          </w:p>
        </w:tc>
        <w:tc>
          <w:tcPr>
            <w:tcW w:w="798" w:type="pct"/>
            <w:tcBorders>
              <w:top w:val="nil"/>
              <w:left w:val="nil"/>
              <w:bottom w:val="nil"/>
              <w:right w:val="nil"/>
            </w:tcBorders>
            <w:shd w:val="clear" w:color="000000" w:fill="FFFFFF"/>
            <w:noWrap/>
            <w:vAlign w:val="bottom"/>
            <w:hideMark/>
          </w:tcPr>
          <w:p w14:paraId="679F9F2A" w14:textId="77777777" w:rsidR="00F16CB6" w:rsidRPr="00F16CB6" w:rsidRDefault="00F16CB6" w:rsidP="00F16CB6">
            <w:pPr>
              <w:ind w:hanging="69"/>
              <w:jc w:val="right"/>
              <w:rPr>
                <w:rFonts w:asciiTheme="majorHAnsi" w:hAnsiTheme="majorHAnsi" w:cstheme="majorHAnsi"/>
                <w:sz w:val="16"/>
                <w:szCs w:val="16"/>
              </w:rPr>
            </w:pPr>
            <w:r w:rsidRPr="00F16CB6">
              <w:rPr>
                <w:rFonts w:asciiTheme="majorHAnsi" w:hAnsiTheme="majorHAnsi" w:cstheme="majorHAnsi"/>
                <w:sz w:val="16"/>
                <w:szCs w:val="16"/>
              </w:rPr>
              <w:t>2.154.740</w:t>
            </w:r>
          </w:p>
        </w:tc>
        <w:tc>
          <w:tcPr>
            <w:tcW w:w="1015" w:type="pct"/>
            <w:tcBorders>
              <w:top w:val="nil"/>
              <w:left w:val="nil"/>
              <w:bottom w:val="nil"/>
              <w:right w:val="nil"/>
            </w:tcBorders>
            <w:shd w:val="clear" w:color="000000" w:fill="FFFFFF"/>
            <w:noWrap/>
            <w:vAlign w:val="bottom"/>
            <w:hideMark/>
          </w:tcPr>
          <w:p w14:paraId="71A9FA4D" w14:textId="77777777" w:rsidR="00F16CB6" w:rsidRPr="00F16CB6" w:rsidRDefault="00F16CB6" w:rsidP="00F16CB6">
            <w:pPr>
              <w:jc w:val="right"/>
              <w:rPr>
                <w:rFonts w:asciiTheme="majorHAnsi" w:hAnsiTheme="majorHAnsi" w:cstheme="majorHAnsi"/>
                <w:sz w:val="16"/>
                <w:szCs w:val="16"/>
              </w:rPr>
            </w:pPr>
            <w:r w:rsidRPr="00F16CB6">
              <w:rPr>
                <w:rFonts w:asciiTheme="majorHAnsi" w:hAnsiTheme="majorHAnsi" w:cstheme="majorHAnsi"/>
                <w:sz w:val="16"/>
                <w:szCs w:val="16"/>
              </w:rPr>
              <w:t xml:space="preserve">                                619.150 </w:t>
            </w:r>
          </w:p>
        </w:tc>
      </w:tr>
      <w:tr w:rsidR="00F16CB6" w:rsidRPr="00F16CB6" w14:paraId="2E4F3F97" w14:textId="77777777" w:rsidTr="00F16CB6">
        <w:trPr>
          <w:trHeight w:hRule="exact" w:val="227"/>
        </w:trPr>
        <w:tc>
          <w:tcPr>
            <w:tcW w:w="1813" w:type="pct"/>
            <w:gridSpan w:val="2"/>
            <w:tcBorders>
              <w:top w:val="nil"/>
              <w:left w:val="nil"/>
              <w:bottom w:val="nil"/>
              <w:right w:val="nil"/>
            </w:tcBorders>
            <w:shd w:val="clear" w:color="000000" w:fill="FFFFFF"/>
            <w:noWrap/>
            <w:vAlign w:val="bottom"/>
            <w:hideMark/>
          </w:tcPr>
          <w:p w14:paraId="5913C102" w14:textId="77777777" w:rsidR="00F16CB6" w:rsidRPr="00F16CB6" w:rsidRDefault="00F16CB6">
            <w:pPr>
              <w:rPr>
                <w:rFonts w:asciiTheme="majorHAnsi" w:hAnsiTheme="majorHAnsi" w:cstheme="majorHAnsi"/>
                <w:b/>
                <w:bCs/>
                <w:sz w:val="16"/>
                <w:szCs w:val="16"/>
              </w:rPr>
            </w:pPr>
            <w:r w:rsidRPr="00F16CB6">
              <w:rPr>
                <w:rFonts w:asciiTheme="majorHAnsi" w:hAnsiTheme="majorHAnsi" w:cstheme="majorHAnsi"/>
                <w:b/>
                <w:bCs/>
                <w:sz w:val="16"/>
                <w:szCs w:val="16"/>
              </w:rPr>
              <w:t>VIII.4 REMUNERAÇÃO DE CAPITAIS PRÓPRIOS</w:t>
            </w:r>
          </w:p>
        </w:tc>
        <w:tc>
          <w:tcPr>
            <w:tcW w:w="1374" w:type="pct"/>
            <w:tcBorders>
              <w:top w:val="nil"/>
              <w:left w:val="nil"/>
              <w:bottom w:val="nil"/>
              <w:right w:val="nil"/>
            </w:tcBorders>
            <w:shd w:val="clear" w:color="000000" w:fill="FFFFFF"/>
            <w:noWrap/>
            <w:vAlign w:val="bottom"/>
            <w:hideMark/>
          </w:tcPr>
          <w:p w14:paraId="65E04D3B" w14:textId="77777777" w:rsidR="00F16CB6" w:rsidRPr="00F16CB6" w:rsidRDefault="00F16CB6">
            <w:pPr>
              <w:rPr>
                <w:rFonts w:asciiTheme="majorHAnsi" w:hAnsiTheme="majorHAnsi" w:cstheme="majorHAnsi"/>
                <w:sz w:val="16"/>
                <w:szCs w:val="16"/>
              </w:rPr>
            </w:pPr>
            <w:r w:rsidRPr="00F16CB6">
              <w:rPr>
                <w:rFonts w:asciiTheme="majorHAnsi" w:hAnsiTheme="majorHAnsi" w:cstheme="majorHAnsi"/>
                <w:sz w:val="16"/>
                <w:szCs w:val="16"/>
              </w:rPr>
              <w:t> </w:t>
            </w:r>
          </w:p>
        </w:tc>
        <w:tc>
          <w:tcPr>
            <w:tcW w:w="798" w:type="pct"/>
            <w:tcBorders>
              <w:top w:val="nil"/>
              <w:left w:val="nil"/>
              <w:bottom w:val="nil"/>
              <w:right w:val="nil"/>
            </w:tcBorders>
            <w:shd w:val="clear" w:color="000000" w:fill="FFFFFF"/>
            <w:noWrap/>
            <w:vAlign w:val="bottom"/>
            <w:hideMark/>
          </w:tcPr>
          <w:p w14:paraId="68FFB2AA" w14:textId="77777777" w:rsidR="00F16CB6" w:rsidRPr="00F16CB6" w:rsidRDefault="00F16CB6" w:rsidP="00F16CB6">
            <w:pPr>
              <w:ind w:hanging="69"/>
              <w:jc w:val="right"/>
              <w:rPr>
                <w:rFonts w:asciiTheme="majorHAnsi" w:hAnsiTheme="majorHAnsi" w:cstheme="majorHAnsi"/>
                <w:b/>
                <w:bCs/>
                <w:sz w:val="16"/>
                <w:szCs w:val="16"/>
              </w:rPr>
            </w:pPr>
            <w:r w:rsidRPr="00F16CB6">
              <w:rPr>
                <w:rFonts w:asciiTheme="majorHAnsi" w:hAnsiTheme="majorHAnsi" w:cstheme="majorHAnsi"/>
                <w:b/>
                <w:bCs/>
                <w:sz w:val="16"/>
                <w:szCs w:val="16"/>
              </w:rPr>
              <w:t xml:space="preserve">            32.831.052 </w:t>
            </w:r>
          </w:p>
        </w:tc>
        <w:tc>
          <w:tcPr>
            <w:tcW w:w="1015" w:type="pct"/>
            <w:tcBorders>
              <w:top w:val="nil"/>
              <w:left w:val="nil"/>
              <w:bottom w:val="nil"/>
              <w:right w:val="nil"/>
            </w:tcBorders>
            <w:shd w:val="clear" w:color="000000" w:fill="FFFFFF"/>
            <w:noWrap/>
            <w:vAlign w:val="bottom"/>
            <w:hideMark/>
          </w:tcPr>
          <w:p w14:paraId="3476029E" w14:textId="77777777" w:rsidR="00F16CB6" w:rsidRPr="00F16CB6" w:rsidRDefault="00F16CB6" w:rsidP="00F16CB6">
            <w:pPr>
              <w:jc w:val="right"/>
              <w:rPr>
                <w:rFonts w:asciiTheme="majorHAnsi" w:hAnsiTheme="majorHAnsi" w:cstheme="majorHAnsi"/>
                <w:b/>
                <w:bCs/>
                <w:sz w:val="16"/>
                <w:szCs w:val="16"/>
              </w:rPr>
            </w:pPr>
            <w:r w:rsidRPr="00F16CB6">
              <w:rPr>
                <w:rFonts w:asciiTheme="majorHAnsi" w:hAnsiTheme="majorHAnsi" w:cstheme="majorHAnsi"/>
                <w:b/>
                <w:bCs/>
                <w:sz w:val="16"/>
                <w:szCs w:val="16"/>
              </w:rPr>
              <w:t xml:space="preserve">                       (59.096.532)</w:t>
            </w:r>
          </w:p>
        </w:tc>
      </w:tr>
      <w:tr w:rsidR="00F16CB6" w:rsidRPr="00F16CB6" w14:paraId="0C50668A" w14:textId="77777777" w:rsidTr="00F16CB6">
        <w:trPr>
          <w:trHeight w:hRule="exact" w:val="227"/>
        </w:trPr>
        <w:tc>
          <w:tcPr>
            <w:tcW w:w="1813" w:type="pct"/>
            <w:gridSpan w:val="2"/>
            <w:tcBorders>
              <w:top w:val="nil"/>
              <w:left w:val="nil"/>
              <w:bottom w:val="nil"/>
              <w:right w:val="nil"/>
            </w:tcBorders>
            <w:shd w:val="clear" w:color="000000" w:fill="FFFFFF"/>
            <w:noWrap/>
            <w:vAlign w:val="bottom"/>
            <w:hideMark/>
          </w:tcPr>
          <w:p w14:paraId="314755AE" w14:textId="0A59B324" w:rsidR="00F16CB6" w:rsidRPr="00F16CB6" w:rsidRDefault="00F16CB6">
            <w:pPr>
              <w:rPr>
                <w:rFonts w:asciiTheme="majorHAnsi" w:hAnsiTheme="majorHAnsi" w:cstheme="majorHAnsi"/>
                <w:sz w:val="16"/>
                <w:szCs w:val="16"/>
              </w:rPr>
            </w:pPr>
            <w:r w:rsidRPr="00F16CB6">
              <w:rPr>
                <w:rFonts w:asciiTheme="majorHAnsi" w:hAnsiTheme="majorHAnsi" w:cstheme="majorHAnsi"/>
                <w:sz w:val="16"/>
                <w:szCs w:val="16"/>
              </w:rPr>
              <w:t xml:space="preserve">         Resultado do Período</w:t>
            </w:r>
          </w:p>
        </w:tc>
        <w:tc>
          <w:tcPr>
            <w:tcW w:w="1374" w:type="pct"/>
            <w:tcBorders>
              <w:top w:val="nil"/>
              <w:left w:val="nil"/>
              <w:bottom w:val="nil"/>
              <w:right w:val="nil"/>
            </w:tcBorders>
            <w:shd w:val="clear" w:color="000000" w:fill="FFFFFF"/>
            <w:noWrap/>
            <w:vAlign w:val="bottom"/>
            <w:hideMark/>
          </w:tcPr>
          <w:p w14:paraId="18AEB52D" w14:textId="77777777" w:rsidR="00F16CB6" w:rsidRPr="00F16CB6" w:rsidRDefault="00F16CB6">
            <w:pPr>
              <w:rPr>
                <w:rFonts w:asciiTheme="majorHAnsi" w:hAnsiTheme="majorHAnsi" w:cstheme="majorHAnsi"/>
                <w:sz w:val="16"/>
                <w:szCs w:val="16"/>
              </w:rPr>
            </w:pPr>
            <w:r w:rsidRPr="00F16CB6">
              <w:rPr>
                <w:rFonts w:asciiTheme="majorHAnsi" w:hAnsiTheme="majorHAnsi" w:cstheme="majorHAnsi"/>
                <w:sz w:val="16"/>
                <w:szCs w:val="16"/>
              </w:rPr>
              <w:t> </w:t>
            </w:r>
          </w:p>
        </w:tc>
        <w:tc>
          <w:tcPr>
            <w:tcW w:w="798" w:type="pct"/>
            <w:tcBorders>
              <w:top w:val="nil"/>
              <w:left w:val="nil"/>
              <w:bottom w:val="nil"/>
              <w:right w:val="nil"/>
            </w:tcBorders>
            <w:shd w:val="clear" w:color="000000" w:fill="FFFFFF"/>
            <w:noWrap/>
            <w:vAlign w:val="bottom"/>
            <w:hideMark/>
          </w:tcPr>
          <w:p w14:paraId="01694556" w14:textId="77777777" w:rsidR="00F16CB6" w:rsidRPr="00F16CB6" w:rsidRDefault="00F16CB6" w:rsidP="00F16CB6">
            <w:pPr>
              <w:ind w:hanging="69"/>
              <w:jc w:val="right"/>
              <w:rPr>
                <w:rFonts w:asciiTheme="majorHAnsi" w:hAnsiTheme="majorHAnsi" w:cstheme="majorHAnsi"/>
                <w:sz w:val="16"/>
                <w:szCs w:val="16"/>
              </w:rPr>
            </w:pPr>
            <w:r w:rsidRPr="00F16CB6">
              <w:rPr>
                <w:rFonts w:asciiTheme="majorHAnsi" w:hAnsiTheme="majorHAnsi" w:cstheme="majorHAnsi"/>
                <w:sz w:val="16"/>
                <w:szCs w:val="16"/>
              </w:rPr>
              <w:t xml:space="preserve">            32.831.052 </w:t>
            </w:r>
          </w:p>
        </w:tc>
        <w:tc>
          <w:tcPr>
            <w:tcW w:w="1015" w:type="pct"/>
            <w:tcBorders>
              <w:top w:val="nil"/>
              <w:left w:val="nil"/>
              <w:bottom w:val="nil"/>
              <w:right w:val="nil"/>
            </w:tcBorders>
            <w:shd w:val="clear" w:color="000000" w:fill="FFFFFF"/>
            <w:noWrap/>
            <w:vAlign w:val="bottom"/>
            <w:hideMark/>
          </w:tcPr>
          <w:p w14:paraId="3E959A62" w14:textId="77777777" w:rsidR="00F16CB6" w:rsidRPr="00F16CB6" w:rsidRDefault="00F16CB6" w:rsidP="00F16CB6">
            <w:pPr>
              <w:jc w:val="right"/>
              <w:rPr>
                <w:rFonts w:asciiTheme="majorHAnsi" w:hAnsiTheme="majorHAnsi" w:cstheme="majorHAnsi"/>
                <w:sz w:val="16"/>
                <w:szCs w:val="16"/>
              </w:rPr>
            </w:pPr>
            <w:r w:rsidRPr="00F16CB6">
              <w:rPr>
                <w:rFonts w:asciiTheme="majorHAnsi" w:hAnsiTheme="majorHAnsi" w:cstheme="majorHAnsi"/>
                <w:sz w:val="16"/>
                <w:szCs w:val="16"/>
              </w:rPr>
              <w:t xml:space="preserve">                         (59.096.532)</w:t>
            </w:r>
          </w:p>
        </w:tc>
      </w:tr>
      <w:tr w:rsidR="00F16CB6" w:rsidRPr="00F16CB6" w14:paraId="133077E0" w14:textId="77777777" w:rsidTr="00F16CB6">
        <w:trPr>
          <w:trHeight w:hRule="exact" w:val="227"/>
        </w:trPr>
        <w:tc>
          <w:tcPr>
            <w:tcW w:w="1727" w:type="pct"/>
            <w:tcBorders>
              <w:top w:val="nil"/>
              <w:left w:val="nil"/>
              <w:bottom w:val="nil"/>
              <w:right w:val="nil"/>
            </w:tcBorders>
            <w:shd w:val="clear" w:color="000000" w:fill="FFFFFF"/>
            <w:noWrap/>
            <w:vAlign w:val="bottom"/>
            <w:hideMark/>
          </w:tcPr>
          <w:p w14:paraId="037A7F46" w14:textId="77777777" w:rsidR="00F16CB6" w:rsidRPr="00F16CB6" w:rsidRDefault="00F16CB6">
            <w:pPr>
              <w:rPr>
                <w:rFonts w:asciiTheme="majorHAnsi" w:hAnsiTheme="majorHAnsi" w:cstheme="majorHAnsi"/>
                <w:sz w:val="16"/>
                <w:szCs w:val="16"/>
              </w:rPr>
            </w:pPr>
            <w:r w:rsidRPr="00F16CB6">
              <w:rPr>
                <w:rFonts w:asciiTheme="majorHAnsi" w:hAnsiTheme="majorHAnsi" w:cstheme="majorHAnsi"/>
                <w:sz w:val="16"/>
                <w:szCs w:val="16"/>
              </w:rPr>
              <w:t> </w:t>
            </w:r>
          </w:p>
        </w:tc>
        <w:tc>
          <w:tcPr>
            <w:tcW w:w="86" w:type="pct"/>
            <w:tcBorders>
              <w:top w:val="nil"/>
              <w:left w:val="nil"/>
              <w:bottom w:val="nil"/>
              <w:right w:val="nil"/>
            </w:tcBorders>
            <w:shd w:val="clear" w:color="000000" w:fill="FFFFFF"/>
            <w:noWrap/>
            <w:vAlign w:val="bottom"/>
            <w:hideMark/>
          </w:tcPr>
          <w:p w14:paraId="0D714A51" w14:textId="77777777" w:rsidR="00F16CB6" w:rsidRPr="00F16CB6" w:rsidRDefault="00F16CB6">
            <w:pPr>
              <w:rPr>
                <w:rFonts w:asciiTheme="majorHAnsi" w:hAnsiTheme="majorHAnsi" w:cstheme="majorHAnsi"/>
                <w:sz w:val="16"/>
                <w:szCs w:val="16"/>
              </w:rPr>
            </w:pPr>
            <w:r w:rsidRPr="00F16CB6">
              <w:rPr>
                <w:rFonts w:asciiTheme="majorHAnsi" w:hAnsiTheme="majorHAnsi" w:cstheme="majorHAnsi"/>
                <w:sz w:val="16"/>
                <w:szCs w:val="16"/>
              </w:rPr>
              <w:t> </w:t>
            </w:r>
          </w:p>
        </w:tc>
        <w:tc>
          <w:tcPr>
            <w:tcW w:w="1374" w:type="pct"/>
            <w:tcBorders>
              <w:top w:val="nil"/>
              <w:left w:val="nil"/>
              <w:bottom w:val="nil"/>
              <w:right w:val="nil"/>
            </w:tcBorders>
            <w:shd w:val="clear" w:color="000000" w:fill="FFFFFF"/>
            <w:noWrap/>
            <w:vAlign w:val="bottom"/>
            <w:hideMark/>
          </w:tcPr>
          <w:p w14:paraId="4E3CCD82" w14:textId="77777777" w:rsidR="00F16CB6" w:rsidRPr="00F16CB6" w:rsidRDefault="00F16CB6">
            <w:pPr>
              <w:rPr>
                <w:rFonts w:asciiTheme="majorHAnsi" w:hAnsiTheme="majorHAnsi" w:cstheme="majorHAnsi"/>
                <w:sz w:val="16"/>
                <w:szCs w:val="16"/>
              </w:rPr>
            </w:pPr>
            <w:r w:rsidRPr="00F16CB6">
              <w:rPr>
                <w:rFonts w:asciiTheme="majorHAnsi" w:hAnsiTheme="majorHAnsi" w:cstheme="majorHAnsi"/>
                <w:sz w:val="16"/>
                <w:szCs w:val="16"/>
              </w:rPr>
              <w:t> </w:t>
            </w:r>
          </w:p>
        </w:tc>
        <w:tc>
          <w:tcPr>
            <w:tcW w:w="798" w:type="pct"/>
            <w:tcBorders>
              <w:top w:val="nil"/>
              <w:left w:val="nil"/>
              <w:bottom w:val="nil"/>
              <w:right w:val="nil"/>
            </w:tcBorders>
            <w:shd w:val="clear" w:color="000000" w:fill="FFFFFF"/>
            <w:noWrap/>
            <w:vAlign w:val="bottom"/>
            <w:hideMark/>
          </w:tcPr>
          <w:p w14:paraId="0DA4C407" w14:textId="77777777" w:rsidR="00F16CB6" w:rsidRPr="00F16CB6" w:rsidRDefault="00F16CB6">
            <w:pPr>
              <w:jc w:val="right"/>
              <w:rPr>
                <w:rFonts w:asciiTheme="majorHAnsi" w:hAnsiTheme="majorHAnsi" w:cstheme="majorHAnsi"/>
                <w:sz w:val="16"/>
                <w:szCs w:val="16"/>
              </w:rPr>
            </w:pPr>
            <w:r w:rsidRPr="00F16CB6">
              <w:rPr>
                <w:rFonts w:asciiTheme="majorHAnsi" w:hAnsiTheme="majorHAnsi" w:cstheme="majorHAnsi"/>
                <w:sz w:val="16"/>
                <w:szCs w:val="16"/>
              </w:rPr>
              <w:t> </w:t>
            </w:r>
          </w:p>
        </w:tc>
        <w:tc>
          <w:tcPr>
            <w:tcW w:w="1015" w:type="pct"/>
            <w:tcBorders>
              <w:top w:val="nil"/>
              <w:left w:val="nil"/>
              <w:bottom w:val="nil"/>
              <w:right w:val="nil"/>
            </w:tcBorders>
            <w:shd w:val="clear" w:color="000000" w:fill="FFFFFF"/>
            <w:noWrap/>
            <w:vAlign w:val="bottom"/>
            <w:hideMark/>
          </w:tcPr>
          <w:p w14:paraId="0501052E" w14:textId="77777777" w:rsidR="00F16CB6" w:rsidRPr="00F16CB6" w:rsidRDefault="00F16CB6">
            <w:pPr>
              <w:jc w:val="right"/>
              <w:rPr>
                <w:rFonts w:asciiTheme="majorHAnsi" w:hAnsiTheme="majorHAnsi" w:cstheme="majorHAnsi"/>
                <w:sz w:val="16"/>
                <w:szCs w:val="16"/>
              </w:rPr>
            </w:pPr>
            <w:r w:rsidRPr="00F16CB6">
              <w:rPr>
                <w:rFonts w:asciiTheme="majorHAnsi" w:hAnsiTheme="majorHAnsi" w:cstheme="majorHAnsi"/>
                <w:sz w:val="16"/>
                <w:szCs w:val="16"/>
              </w:rPr>
              <w:t> </w:t>
            </w:r>
          </w:p>
        </w:tc>
      </w:tr>
      <w:tr w:rsidR="00F16CB6" w:rsidRPr="00F16CB6" w14:paraId="2B8485D5" w14:textId="77777777" w:rsidTr="00F16CB6">
        <w:trPr>
          <w:trHeight w:hRule="exact" w:val="227"/>
        </w:trPr>
        <w:tc>
          <w:tcPr>
            <w:tcW w:w="1727" w:type="pct"/>
            <w:tcBorders>
              <w:top w:val="nil"/>
              <w:left w:val="nil"/>
              <w:bottom w:val="nil"/>
              <w:right w:val="nil"/>
            </w:tcBorders>
            <w:shd w:val="clear" w:color="000000" w:fill="FFFFFF"/>
            <w:noWrap/>
            <w:vAlign w:val="bottom"/>
            <w:hideMark/>
          </w:tcPr>
          <w:p w14:paraId="02F91F3B" w14:textId="77777777" w:rsidR="00F16CB6" w:rsidRPr="00F16CB6" w:rsidRDefault="00F16CB6">
            <w:pPr>
              <w:rPr>
                <w:rFonts w:asciiTheme="majorHAnsi" w:hAnsiTheme="majorHAnsi" w:cstheme="majorHAnsi"/>
                <w:sz w:val="16"/>
                <w:szCs w:val="16"/>
              </w:rPr>
            </w:pPr>
            <w:r w:rsidRPr="00F16CB6">
              <w:rPr>
                <w:rFonts w:asciiTheme="majorHAnsi" w:hAnsiTheme="majorHAnsi" w:cstheme="majorHAnsi"/>
                <w:sz w:val="16"/>
                <w:szCs w:val="16"/>
              </w:rPr>
              <w:t> </w:t>
            </w:r>
          </w:p>
        </w:tc>
        <w:tc>
          <w:tcPr>
            <w:tcW w:w="86" w:type="pct"/>
            <w:tcBorders>
              <w:top w:val="nil"/>
              <w:left w:val="nil"/>
              <w:bottom w:val="nil"/>
              <w:right w:val="nil"/>
            </w:tcBorders>
            <w:shd w:val="clear" w:color="000000" w:fill="FFFFFF"/>
            <w:noWrap/>
            <w:vAlign w:val="bottom"/>
            <w:hideMark/>
          </w:tcPr>
          <w:p w14:paraId="2A2FB9E8" w14:textId="77777777" w:rsidR="00F16CB6" w:rsidRPr="00F16CB6" w:rsidRDefault="00F16CB6">
            <w:pPr>
              <w:rPr>
                <w:rFonts w:asciiTheme="majorHAnsi" w:hAnsiTheme="majorHAnsi" w:cstheme="majorHAnsi"/>
                <w:sz w:val="16"/>
                <w:szCs w:val="16"/>
              </w:rPr>
            </w:pPr>
            <w:r w:rsidRPr="00F16CB6">
              <w:rPr>
                <w:rFonts w:asciiTheme="majorHAnsi" w:hAnsiTheme="majorHAnsi" w:cstheme="majorHAnsi"/>
                <w:sz w:val="16"/>
                <w:szCs w:val="16"/>
              </w:rPr>
              <w:t> </w:t>
            </w:r>
          </w:p>
        </w:tc>
        <w:tc>
          <w:tcPr>
            <w:tcW w:w="1374" w:type="pct"/>
            <w:tcBorders>
              <w:top w:val="nil"/>
              <w:left w:val="nil"/>
              <w:bottom w:val="nil"/>
              <w:right w:val="nil"/>
            </w:tcBorders>
            <w:shd w:val="clear" w:color="000000" w:fill="FFFFFF"/>
            <w:noWrap/>
            <w:vAlign w:val="bottom"/>
            <w:hideMark/>
          </w:tcPr>
          <w:p w14:paraId="03FBB7DA" w14:textId="77777777" w:rsidR="00F16CB6" w:rsidRPr="00F16CB6" w:rsidRDefault="00F16CB6">
            <w:pPr>
              <w:rPr>
                <w:rFonts w:asciiTheme="majorHAnsi" w:hAnsiTheme="majorHAnsi" w:cstheme="majorHAnsi"/>
                <w:sz w:val="16"/>
                <w:szCs w:val="16"/>
              </w:rPr>
            </w:pPr>
            <w:r w:rsidRPr="00F16CB6">
              <w:rPr>
                <w:rFonts w:asciiTheme="majorHAnsi" w:hAnsiTheme="majorHAnsi" w:cstheme="majorHAnsi"/>
                <w:sz w:val="16"/>
                <w:szCs w:val="16"/>
              </w:rPr>
              <w:t> </w:t>
            </w:r>
          </w:p>
        </w:tc>
        <w:tc>
          <w:tcPr>
            <w:tcW w:w="798" w:type="pct"/>
            <w:tcBorders>
              <w:top w:val="nil"/>
              <w:left w:val="nil"/>
              <w:bottom w:val="nil"/>
              <w:right w:val="nil"/>
            </w:tcBorders>
            <w:shd w:val="clear" w:color="000000" w:fill="FFFFFF"/>
            <w:noWrap/>
            <w:vAlign w:val="bottom"/>
            <w:hideMark/>
          </w:tcPr>
          <w:p w14:paraId="6AC8E402" w14:textId="77777777" w:rsidR="00F16CB6" w:rsidRPr="00F16CB6" w:rsidRDefault="00F16CB6">
            <w:pPr>
              <w:jc w:val="right"/>
              <w:rPr>
                <w:rFonts w:asciiTheme="majorHAnsi" w:hAnsiTheme="majorHAnsi" w:cstheme="majorHAnsi"/>
                <w:sz w:val="16"/>
                <w:szCs w:val="16"/>
              </w:rPr>
            </w:pPr>
            <w:r w:rsidRPr="00F16CB6">
              <w:rPr>
                <w:rFonts w:asciiTheme="majorHAnsi" w:hAnsiTheme="majorHAnsi" w:cstheme="majorHAnsi"/>
                <w:sz w:val="16"/>
                <w:szCs w:val="16"/>
              </w:rPr>
              <w:t> </w:t>
            </w:r>
          </w:p>
        </w:tc>
        <w:tc>
          <w:tcPr>
            <w:tcW w:w="1015" w:type="pct"/>
            <w:tcBorders>
              <w:top w:val="nil"/>
              <w:left w:val="nil"/>
              <w:bottom w:val="nil"/>
              <w:right w:val="nil"/>
            </w:tcBorders>
            <w:shd w:val="clear" w:color="000000" w:fill="FFFFFF"/>
            <w:noWrap/>
            <w:vAlign w:val="bottom"/>
            <w:hideMark/>
          </w:tcPr>
          <w:p w14:paraId="37E01B4F" w14:textId="77777777" w:rsidR="00F16CB6" w:rsidRPr="00F16CB6" w:rsidRDefault="00F16CB6">
            <w:pPr>
              <w:jc w:val="right"/>
              <w:rPr>
                <w:rFonts w:asciiTheme="majorHAnsi" w:hAnsiTheme="majorHAnsi" w:cstheme="majorHAnsi"/>
                <w:sz w:val="16"/>
                <w:szCs w:val="16"/>
              </w:rPr>
            </w:pPr>
            <w:r w:rsidRPr="00F16CB6">
              <w:rPr>
                <w:rFonts w:asciiTheme="majorHAnsi" w:hAnsiTheme="majorHAnsi" w:cstheme="majorHAnsi"/>
                <w:sz w:val="16"/>
                <w:szCs w:val="16"/>
              </w:rPr>
              <w:t> </w:t>
            </w:r>
          </w:p>
        </w:tc>
      </w:tr>
      <w:tr w:rsidR="00F16CB6" w:rsidRPr="00F16CB6" w14:paraId="30E4A9B3" w14:textId="77777777" w:rsidTr="00F16CB6">
        <w:trPr>
          <w:trHeight w:hRule="exact" w:val="227"/>
        </w:trPr>
        <w:tc>
          <w:tcPr>
            <w:tcW w:w="5000" w:type="pct"/>
            <w:gridSpan w:val="5"/>
            <w:tcBorders>
              <w:top w:val="nil"/>
              <w:left w:val="nil"/>
              <w:bottom w:val="nil"/>
              <w:right w:val="nil"/>
            </w:tcBorders>
            <w:shd w:val="clear" w:color="000000" w:fill="FFFFFF"/>
            <w:noWrap/>
            <w:vAlign w:val="bottom"/>
            <w:hideMark/>
          </w:tcPr>
          <w:p w14:paraId="5138E4A5" w14:textId="0EA87E69" w:rsidR="00F16CB6" w:rsidRPr="00F16CB6" w:rsidRDefault="00F16CB6" w:rsidP="00F16CB6">
            <w:pPr>
              <w:jc w:val="center"/>
              <w:rPr>
                <w:rFonts w:asciiTheme="majorHAnsi" w:hAnsiTheme="majorHAnsi" w:cstheme="majorHAnsi"/>
                <w:sz w:val="16"/>
                <w:szCs w:val="16"/>
              </w:rPr>
            </w:pPr>
            <w:r w:rsidRPr="00F16CB6">
              <w:rPr>
                <w:rFonts w:asciiTheme="majorHAnsi" w:hAnsiTheme="majorHAnsi" w:cstheme="majorHAnsi"/>
                <w:sz w:val="16"/>
                <w:szCs w:val="16"/>
              </w:rPr>
              <w:t>(As Notas Explicativas são parte integrante das demonstrações contábeis intermediárias)</w:t>
            </w:r>
          </w:p>
          <w:p w14:paraId="700953E7" w14:textId="6F4C695D" w:rsidR="00F16CB6" w:rsidRPr="00F16CB6" w:rsidRDefault="00F16CB6" w:rsidP="00F16CB6">
            <w:pPr>
              <w:jc w:val="center"/>
              <w:rPr>
                <w:rFonts w:asciiTheme="majorHAnsi" w:hAnsiTheme="majorHAnsi" w:cstheme="majorHAnsi"/>
                <w:sz w:val="16"/>
                <w:szCs w:val="16"/>
              </w:rPr>
            </w:pPr>
          </w:p>
        </w:tc>
      </w:tr>
    </w:tbl>
    <w:p w14:paraId="6F632034" w14:textId="48D763D3" w:rsidR="00F47099" w:rsidRDefault="00F47099" w:rsidP="00F47099"/>
    <w:p w14:paraId="0A1D7617" w14:textId="2747FB11" w:rsidR="00F47099" w:rsidRDefault="00F47099" w:rsidP="00F47099"/>
    <w:p w14:paraId="0F77832F" w14:textId="76F06AE7" w:rsidR="00F47099" w:rsidRDefault="00F47099" w:rsidP="00F47099"/>
    <w:p w14:paraId="00420F0A" w14:textId="77777777" w:rsidR="00F47099" w:rsidRPr="00F47099" w:rsidRDefault="00F47099" w:rsidP="00F47099"/>
    <w:p w14:paraId="62E2C4F6" w14:textId="7E39D9D8" w:rsidR="00670EF5" w:rsidRPr="002E2B5B" w:rsidRDefault="00BE5E3D" w:rsidP="00917E9B">
      <w:pPr>
        <w:pStyle w:val="Ttulo1"/>
        <w:rPr>
          <w:rFonts w:ascii="Calibri" w:hAnsi="Calibri" w:cs="Calibri"/>
          <w:szCs w:val="22"/>
        </w:rPr>
      </w:pPr>
      <w:r w:rsidRPr="002E2B5B">
        <w:rPr>
          <w:rFonts w:ascii="Calibri" w:hAnsi="Calibri" w:cs="Calibri"/>
          <w:szCs w:val="22"/>
        </w:rPr>
        <w:t xml:space="preserve">NOTAS EXPLICATIVAS </w:t>
      </w:r>
      <w:r w:rsidR="003172EB" w:rsidRPr="002E2B5B">
        <w:rPr>
          <w:rFonts w:ascii="Calibri" w:hAnsi="Calibri" w:cs="Calibri"/>
          <w:szCs w:val="22"/>
        </w:rPr>
        <w:t xml:space="preserve">ÀS </w:t>
      </w:r>
      <w:r w:rsidR="00C80DB7" w:rsidRPr="002E2B5B">
        <w:rPr>
          <w:rFonts w:ascii="Calibri" w:hAnsi="Calibri" w:cs="Calibri"/>
          <w:szCs w:val="22"/>
        </w:rPr>
        <w:t xml:space="preserve">DEMONSTRAÇÕES </w:t>
      </w:r>
      <w:r w:rsidR="007C284D" w:rsidRPr="002E2B5B">
        <w:rPr>
          <w:rFonts w:ascii="Calibri" w:hAnsi="Calibri" w:cs="Calibri"/>
          <w:szCs w:val="22"/>
        </w:rPr>
        <w:t>CONTÁBEIS</w:t>
      </w:r>
      <w:r w:rsidR="000069AD" w:rsidRPr="002E2B5B">
        <w:rPr>
          <w:rFonts w:ascii="Calibri" w:hAnsi="Calibri" w:cs="Calibri"/>
          <w:szCs w:val="22"/>
        </w:rPr>
        <w:t xml:space="preserve"> </w:t>
      </w:r>
      <w:r w:rsidR="00AC2662">
        <w:rPr>
          <w:rFonts w:ascii="Calibri" w:hAnsi="Calibri" w:cs="Calibri"/>
          <w:szCs w:val="22"/>
        </w:rPr>
        <w:t xml:space="preserve">INTERMEDIÁRIAS </w:t>
      </w:r>
      <w:r w:rsidR="00A419B2" w:rsidRPr="002E2B5B">
        <w:rPr>
          <w:rFonts w:ascii="Calibri" w:hAnsi="Calibri" w:cs="Calibri"/>
          <w:szCs w:val="22"/>
        </w:rPr>
        <w:t xml:space="preserve">PARA O </w:t>
      </w:r>
      <w:r w:rsidR="00670EF5">
        <w:rPr>
          <w:rFonts w:ascii="Calibri" w:hAnsi="Calibri" w:cs="Calibri"/>
          <w:szCs w:val="22"/>
        </w:rPr>
        <w:t>PERÍODO</w:t>
      </w:r>
      <w:r w:rsidR="00670EF5" w:rsidRPr="002E2B5B">
        <w:rPr>
          <w:rFonts w:ascii="Calibri" w:hAnsi="Calibri" w:cs="Calibri"/>
          <w:szCs w:val="22"/>
        </w:rPr>
        <w:t xml:space="preserve"> FINDO</w:t>
      </w:r>
    </w:p>
    <w:p w14:paraId="17B80F84" w14:textId="4D3B4812" w:rsidR="00A419B2" w:rsidRPr="002E2B5B" w:rsidRDefault="00670EF5" w:rsidP="00670EF5">
      <w:pPr>
        <w:pStyle w:val="Ttulo1"/>
        <w:tabs>
          <w:tab w:val="left" w:pos="1701"/>
        </w:tabs>
        <w:spacing w:after="120"/>
        <w:ind w:right="-142"/>
        <w:rPr>
          <w:rFonts w:ascii="Calibri" w:hAnsi="Calibri" w:cs="Calibri"/>
          <w:szCs w:val="22"/>
        </w:rPr>
      </w:pPr>
      <w:r w:rsidRPr="002E2B5B">
        <w:rPr>
          <w:rFonts w:ascii="Calibri" w:hAnsi="Calibri" w:cs="Calibri"/>
          <w:szCs w:val="22"/>
        </w:rPr>
        <w:t xml:space="preserve">EM </w:t>
      </w:r>
      <w:r w:rsidR="001200FD">
        <w:rPr>
          <w:rFonts w:ascii="Calibri" w:hAnsi="Calibri" w:cs="Calibri"/>
          <w:szCs w:val="22"/>
        </w:rPr>
        <w:t>30</w:t>
      </w:r>
      <w:r w:rsidRPr="002E2B5B">
        <w:rPr>
          <w:rFonts w:ascii="Calibri" w:hAnsi="Calibri" w:cs="Calibri"/>
          <w:szCs w:val="22"/>
        </w:rPr>
        <w:t xml:space="preserve"> DE </w:t>
      </w:r>
      <w:r w:rsidR="001200FD">
        <w:rPr>
          <w:rFonts w:ascii="Calibri" w:hAnsi="Calibri" w:cs="Calibri"/>
          <w:szCs w:val="22"/>
        </w:rPr>
        <w:t>JUNHO</w:t>
      </w:r>
      <w:r>
        <w:rPr>
          <w:rFonts w:ascii="Calibri" w:hAnsi="Calibri" w:cs="Calibri"/>
          <w:szCs w:val="22"/>
        </w:rPr>
        <w:t xml:space="preserve"> DE 2022</w:t>
      </w:r>
    </w:p>
    <w:p w14:paraId="0B380762" w14:textId="6A957E55" w:rsidR="00BE5E3D" w:rsidRPr="002E2B5B" w:rsidRDefault="00BE5E3D" w:rsidP="00937ED9">
      <w:pPr>
        <w:pStyle w:val="Ttulo1"/>
        <w:tabs>
          <w:tab w:val="left" w:pos="1701"/>
        </w:tabs>
        <w:spacing w:after="120"/>
        <w:ind w:right="-142"/>
        <w:rPr>
          <w:rFonts w:ascii="Calibri" w:hAnsi="Calibri" w:cs="Calibri"/>
          <w:b w:val="0"/>
          <w:szCs w:val="22"/>
        </w:rPr>
      </w:pPr>
      <w:r w:rsidRPr="00486CAC">
        <w:rPr>
          <w:rFonts w:ascii="Calibri" w:hAnsi="Calibri" w:cs="Calibri"/>
          <w:b w:val="0"/>
          <w:szCs w:val="22"/>
        </w:rPr>
        <w:t>- Em R$ 1</w:t>
      </w:r>
      <w:r w:rsidR="00D20248" w:rsidRPr="00486CAC">
        <w:rPr>
          <w:rFonts w:ascii="Calibri" w:hAnsi="Calibri" w:cs="Calibri"/>
          <w:b w:val="0"/>
          <w:szCs w:val="22"/>
        </w:rPr>
        <w:t>, exceto quando</w:t>
      </w:r>
      <w:r w:rsidR="00486CAC" w:rsidRPr="00486CAC">
        <w:rPr>
          <w:rFonts w:ascii="Calibri" w:hAnsi="Calibri" w:cs="Calibri"/>
          <w:b w:val="0"/>
          <w:szCs w:val="22"/>
        </w:rPr>
        <w:t xml:space="preserve"> indicado</w:t>
      </w:r>
      <w:r w:rsidRPr="002E2B5B">
        <w:rPr>
          <w:rFonts w:ascii="Calibri" w:hAnsi="Calibri" w:cs="Calibri"/>
          <w:b w:val="0"/>
          <w:szCs w:val="22"/>
        </w:rPr>
        <w:t xml:space="preserve"> </w:t>
      </w:r>
      <w:r w:rsidR="00F404DC" w:rsidRPr="002E2B5B">
        <w:rPr>
          <w:rFonts w:ascii="Calibri" w:hAnsi="Calibri" w:cs="Calibri"/>
          <w:b w:val="0"/>
          <w:szCs w:val="22"/>
        </w:rPr>
        <w:t>–</w:t>
      </w:r>
    </w:p>
    <w:p w14:paraId="6B6FB4D4" w14:textId="444FA63A" w:rsidR="00F658CA" w:rsidRPr="002E2B5B" w:rsidRDefault="00F658CA" w:rsidP="00937ED9">
      <w:pPr>
        <w:pStyle w:val="NormalWeb"/>
        <w:spacing w:before="0" w:beforeAutospacing="0" w:after="120" w:afterAutospacing="0"/>
        <w:jc w:val="both"/>
        <w:rPr>
          <w:rFonts w:ascii="Calibri" w:hAnsi="Calibri" w:cs="Calibri"/>
          <w:b/>
          <w:sz w:val="22"/>
          <w:szCs w:val="22"/>
        </w:rPr>
      </w:pPr>
      <w:r w:rsidRPr="002E2B5B">
        <w:rPr>
          <w:rFonts w:ascii="Calibri" w:hAnsi="Calibri" w:cs="Calibri"/>
          <w:b/>
          <w:sz w:val="22"/>
          <w:szCs w:val="22"/>
        </w:rPr>
        <w:t>NOTA 1 – CONTEXTO OPERACIONAL</w:t>
      </w:r>
    </w:p>
    <w:p w14:paraId="3779276C" w14:textId="77777777" w:rsidR="004966BC" w:rsidRPr="002E2B5B" w:rsidRDefault="00DA0C1E" w:rsidP="00937ED9">
      <w:pPr>
        <w:pStyle w:val="NormalWeb"/>
        <w:spacing w:before="0" w:beforeAutospacing="0" w:after="120" w:afterAutospacing="0"/>
        <w:jc w:val="both"/>
        <w:rPr>
          <w:rFonts w:ascii="Calibri" w:hAnsi="Calibri" w:cs="Calibri"/>
          <w:b/>
          <w:sz w:val="22"/>
          <w:szCs w:val="22"/>
          <w:u w:val="single"/>
        </w:rPr>
      </w:pPr>
      <w:r w:rsidRPr="002E2B5B">
        <w:rPr>
          <w:rFonts w:ascii="Calibri" w:hAnsi="Calibri" w:cs="Calibri"/>
          <w:b/>
          <w:sz w:val="22"/>
          <w:szCs w:val="22"/>
          <w:u w:val="single"/>
        </w:rPr>
        <w:t>A</w:t>
      </w:r>
      <w:r w:rsidR="004966BC" w:rsidRPr="002E2B5B">
        <w:rPr>
          <w:rFonts w:ascii="Calibri" w:hAnsi="Calibri" w:cs="Calibri"/>
          <w:b/>
          <w:sz w:val="22"/>
          <w:szCs w:val="22"/>
          <w:u w:val="single"/>
        </w:rPr>
        <w:t xml:space="preserve"> Empresa</w:t>
      </w:r>
    </w:p>
    <w:p w14:paraId="64E064A0" w14:textId="12703A3A" w:rsidR="009165D8" w:rsidRPr="002E2B5B" w:rsidRDefault="00F658CA" w:rsidP="00937ED9">
      <w:pPr>
        <w:pStyle w:val="NormalWeb"/>
        <w:spacing w:before="0" w:beforeAutospacing="0" w:after="120" w:afterAutospacing="0"/>
        <w:jc w:val="both"/>
        <w:rPr>
          <w:rFonts w:ascii="Calibri" w:hAnsi="Calibri" w:cs="Calibri"/>
          <w:sz w:val="22"/>
          <w:szCs w:val="22"/>
        </w:rPr>
      </w:pPr>
      <w:r w:rsidRPr="002E2B5B">
        <w:rPr>
          <w:rFonts w:ascii="Calibri" w:hAnsi="Calibri" w:cs="Calibri"/>
          <w:sz w:val="22"/>
          <w:szCs w:val="22"/>
        </w:rPr>
        <w:t>A VALEC Engenharia, Construções e Ferrovias S.A. é uma empresa pública federal dependente vinculada ao Ministério da Infraestrutura, com sede em Brasília-DF, organizada sob a forma de sociedade anônima de capital fechado, com 8.090.009 ações ordinárias nominativas, sem valor nominal, sendo a União detentora de 100% das ações.</w:t>
      </w:r>
    </w:p>
    <w:p w14:paraId="6D39AE9C" w14:textId="76767CB0" w:rsidR="009165D8" w:rsidRPr="002E2B5B" w:rsidRDefault="00F658CA" w:rsidP="00937ED9">
      <w:pPr>
        <w:pStyle w:val="NormalWeb"/>
        <w:spacing w:before="0" w:beforeAutospacing="0" w:after="120" w:afterAutospacing="0"/>
        <w:jc w:val="both"/>
        <w:rPr>
          <w:rFonts w:ascii="Calibri" w:hAnsi="Calibri" w:cs="Calibri"/>
          <w:sz w:val="22"/>
          <w:szCs w:val="22"/>
        </w:rPr>
      </w:pPr>
      <w:r w:rsidRPr="002E2B5B">
        <w:rPr>
          <w:rFonts w:ascii="Calibri" w:hAnsi="Calibri" w:cs="Calibri"/>
          <w:sz w:val="22"/>
          <w:szCs w:val="22"/>
        </w:rPr>
        <w:t xml:space="preserve">A função social da VALEC é a construção e exploração de infraestrutura ferroviária e suas competências estão previstas no Art. 8º da Lei nº 11.772, de 17 de setembro de 2008. </w:t>
      </w:r>
    </w:p>
    <w:p w14:paraId="054599A5" w14:textId="323C2EA0" w:rsidR="009165D8" w:rsidRPr="002E2B5B" w:rsidRDefault="00F658CA" w:rsidP="00937ED9">
      <w:pPr>
        <w:pStyle w:val="NormalWeb"/>
        <w:spacing w:before="0" w:beforeAutospacing="0" w:after="120" w:afterAutospacing="0"/>
        <w:jc w:val="both"/>
        <w:rPr>
          <w:rFonts w:ascii="Calibri" w:hAnsi="Calibri" w:cs="Calibri"/>
          <w:sz w:val="22"/>
          <w:szCs w:val="22"/>
        </w:rPr>
      </w:pPr>
      <w:r w:rsidRPr="002E2B5B">
        <w:rPr>
          <w:rFonts w:ascii="Calibri" w:hAnsi="Calibri" w:cs="Calibri"/>
          <w:sz w:val="22"/>
          <w:szCs w:val="22"/>
        </w:rPr>
        <w:t>Como empresa pública federal dependente, a VALEC recebe recursos financeiros da União para pagamentos de despesas com pessoal e custeio por meio de subvenções do Tesouro Nacional e, para fomentar os gastos com investimentos nas construções das ferrovias, recebe recursos por meio de Adiantamentos para Futuro Aumento de Capital – AFAC que</w:t>
      </w:r>
      <w:r w:rsidR="00AE4C46">
        <w:rPr>
          <w:rFonts w:ascii="Calibri" w:hAnsi="Calibri" w:cs="Calibri"/>
          <w:sz w:val="22"/>
          <w:szCs w:val="22"/>
        </w:rPr>
        <w:t>,</w:t>
      </w:r>
      <w:r w:rsidRPr="002E2B5B">
        <w:rPr>
          <w:rFonts w:ascii="Calibri" w:hAnsi="Calibri" w:cs="Calibri"/>
          <w:sz w:val="22"/>
          <w:szCs w:val="22"/>
        </w:rPr>
        <w:t xml:space="preserve"> posteriormente</w:t>
      </w:r>
      <w:r w:rsidR="00AE4C46">
        <w:rPr>
          <w:rFonts w:ascii="Calibri" w:hAnsi="Calibri" w:cs="Calibri"/>
          <w:sz w:val="22"/>
          <w:szCs w:val="22"/>
        </w:rPr>
        <w:t>,</w:t>
      </w:r>
      <w:r w:rsidRPr="002E2B5B">
        <w:rPr>
          <w:rFonts w:ascii="Calibri" w:hAnsi="Calibri" w:cs="Calibri"/>
          <w:sz w:val="22"/>
          <w:szCs w:val="22"/>
        </w:rPr>
        <w:t xml:space="preserve"> são integralizados ao Capital Social.   </w:t>
      </w:r>
    </w:p>
    <w:p w14:paraId="3080CB6F" w14:textId="6B22C382" w:rsidR="009165D8" w:rsidRPr="002E2B5B" w:rsidRDefault="00F658CA" w:rsidP="00937ED9">
      <w:pPr>
        <w:pStyle w:val="NormalWeb"/>
        <w:spacing w:before="0" w:beforeAutospacing="0" w:after="120" w:afterAutospacing="0"/>
        <w:jc w:val="both"/>
        <w:rPr>
          <w:rFonts w:ascii="Calibri" w:hAnsi="Calibri" w:cs="Calibri"/>
          <w:sz w:val="22"/>
          <w:szCs w:val="22"/>
          <w:shd w:val="clear" w:color="auto" w:fill="FFFFFF"/>
        </w:rPr>
      </w:pPr>
      <w:r w:rsidRPr="002E2B5B">
        <w:rPr>
          <w:rFonts w:ascii="Calibri" w:hAnsi="Calibri" w:cs="Calibri"/>
          <w:sz w:val="22"/>
          <w:szCs w:val="22"/>
        </w:rPr>
        <w:t xml:space="preserve">Os atos de gestão da VALEC são </w:t>
      </w:r>
      <w:r w:rsidR="0042456A">
        <w:rPr>
          <w:rFonts w:ascii="Calibri" w:hAnsi="Calibri" w:cs="Calibri"/>
          <w:sz w:val="22"/>
          <w:szCs w:val="22"/>
        </w:rPr>
        <w:t>acompanh</w:t>
      </w:r>
      <w:r w:rsidRPr="002E2B5B">
        <w:rPr>
          <w:rFonts w:ascii="Calibri" w:hAnsi="Calibri" w:cs="Calibri"/>
          <w:sz w:val="22"/>
          <w:szCs w:val="22"/>
        </w:rPr>
        <w:t>ados pelos órgãos de governança do poder executivo – Secretaria de Coordenação e Governança das Empresas Estatais - SEST e Secretaria do Tesouro Nacional - STN e fiscalizados</w:t>
      </w:r>
      <w:r w:rsidRPr="002E2B5B">
        <w:rPr>
          <w:rFonts w:ascii="Calibri" w:hAnsi="Calibri" w:cs="Calibri"/>
          <w:sz w:val="22"/>
          <w:szCs w:val="22"/>
          <w:shd w:val="clear" w:color="auto" w:fill="FFFFFF"/>
        </w:rPr>
        <w:t xml:space="preserve"> pelos Órgãos de controle interno </w:t>
      </w:r>
      <w:r w:rsidRPr="002E2B5B">
        <w:rPr>
          <w:rFonts w:ascii="Calibri" w:hAnsi="Calibri" w:cs="Calibri"/>
          <w:sz w:val="22"/>
          <w:szCs w:val="22"/>
        </w:rPr>
        <w:t xml:space="preserve">– </w:t>
      </w:r>
      <w:r w:rsidRPr="002E2B5B">
        <w:rPr>
          <w:rFonts w:ascii="Calibri" w:hAnsi="Calibri" w:cs="Calibri"/>
          <w:sz w:val="22"/>
          <w:szCs w:val="22"/>
          <w:shd w:val="clear" w:color="auto" w:fill="FFFFFF"/>
        </w:rPr>
        <w:t xml:space="preserve">Controladoria-Geral da União - CGU e externo </w:t>
      </w:r>
      <w:r w:rsidRPr="002E2B5B">
        <w:rPr>
          <w:rFonts w:ascii="Calibri" w:hAnsi="Calibri" w:cs="Calibri"/>
          <w:sz w:val="22"/>
          <w:szCs w:val="22"/>
        </w:rPr>
        <w:t xml:space="preserve">– </w:t>
      </w:r>
      <w:r w:rsidRPr="002E2B5B">
        <w:rPr>
          <w:rFonts w:ascii="Calibri" w:hAnsi="Calibri" w:cs="Calibri"/>
          <w:sz w:val="22"/>
          <w:szCs w:val="22"/>
          <w:shd w:val="clear" w:color="auto" w:fill="FFFFFF"/>
        </w:rPr>
        <w:t>Tribunal de Contas da União - TCU.</w:t>
      </w:r>
    </w:p>
    <w:p w14:paraId="2BE6CF77" w14:textId="77777777" w:rsidR="004966BC" w:rsidRPr="002E2B5B" w:rsidRDefault="004966BC" w:rsidP="00937ED9">
      <w:pPr>
        <w:pStyle w:val="NormalWeb"/>
        <w:spacing w:before="0" w:beforeAutospacing="0" w:after="120" w:afterAutospacing="0"/>
        <w:jc w:val="both"/>
        <w:rPr>
          <w:rFonts w:ascii="Calibri" w:hAnsi="Calibri" w:cs="Calibri"/>
          <w:b/>
          <w:bCs/>
          <w:sz w:val="22"/>
          <w:szCs w:val="22"/>
          <w:u w:val="single"/>
          <w:shd w:val="clear" w:color="auto" w:fill="FFFFFF"/>
        </w:rPr>
      </w:pPr>
      <w:r w:rsidRPr="002E2B5B">
        <w:rPr>
          <w:rFonts w:ascii="Calibri" w:hAnsi="Calibri" w:cs="Calibri"/>
          <w:b/>
          <w:bCs/>
          <w:sz w:val="22"/>
          <w:szCs w:val="22"/>
          <w:u w:val="single"/>
          <w:shd w:val="clear" w:color="auto" w:fill="FFFFFF"/>
        </w:rPr>
        <w:t>Continuidade Operacional</w:t>
      </w:r>
    </w:p>
    <w:p w14:paraId="75326BCC" w14:textId="201AEC0F" w:rsidR="009165D8" w:rsidRPr="002E2B5B" w:rsidRDefault="000951E8" w:rsidP="00937ED9">
      <w:pPr>
        <w:autoSpaceDE w:val="0"/>
        <w:autoSpaceDN w:val="0"/>
        <w:adjustRightInd w:val="0"/>
        <w:spacing w:after="120"/>
        <w:jc w:val="both"/>
        <w:rPr>
          <w:rFonts w:ascii="Calibri" w:hAnsi="Calibri" w:cs="Calibri"/>
          <w:sz w:val="22"/>
          <w:szCs w:val="22"/>
          <w:shd w:val="clear" w:color="auto" w:fill="FFFFFF"/>
        </w:rPr>
      </w:pPr>
      <w:r w:rsidRPr="002E2B5B">
        <w:rPr>
          <w:rFonts w:ascii="Calibri" w:hAnsi="Calibri" w:cs="Calibri"/>
          <w:sz w:val="22"/>
          <w:szCs w:val="22"/>
          <w:shd w:val="clear" w:color="auto" w:fill="FFFFFF"/>
        </w:rPr>
        <w:t>A VALEC é uma empresa pública controlada pela União (única acionista), reestruturada pela Lei nº 11.772, de 17 de setembro de 2008, considerada dependente nos termos da Lei Complementar nº 101, de 04 de maio de 2000, a qual define como estatal dependente a “</w:t>
      </w:r>
      <w:r w:rsidRPr="002E2B5B">
        <w:rPr>
          <w:rFonts w:ascii="Calibri" w:hAnsi="Calibri" w:cs="Calibri"/>
          <w:i/>
          <w:iCs/>
          <w:sz w:val="22"/>
          <w:szCs w:val="22"/>
          <w:shd w:val="clear" w:color="auto" w:fill="FFFFFF"/>
        </w:rPr>
        <w:t>empresa controlada que recebe do ente controlador recursos financeiros para pagamento de despesas com pessoal ou de custeio em geral ou de capital, excluídos, no último caso, aqueles provenientes de aumento de participação acionária</w:t>
      </w:r>
      <w:r w:rsidRPr="002E2B5B">
        <w:rPr>
          <w:rFonts w:ascii="Calibri" w:hAnsi="Calibri" w:cs="Calibri"/>
          <w:sz w:val="22"/>
          <w:szCs w:val="22"/>
          <w:shd w:val="clear" w:color="auto" w:fill="FFFFFF"/>
        </w:rPr>
        <w:t>”.</w:t>
      </w:r>
    </w:p>
    <w:p w14:paraId="037E83C7" w14:textId="43DEB00D" w:rsidR="009165D8" w:rsidRPr="002E2B5B" w:rsidRDefault="000951E8" w:rsidP="00937ED9">
      <w:pPr>
        <w:autoSpaceDE w:val="0"/>
        <w:autoSpaceDN w:val="0"/>
        <w:adjustRightInd w:val="0"/>
        <w:spacing w:after="120"/>
        <w:jc w:val="both"/>
        <w:rPr>
          <w:rFonts w:ascii="Calibri" w:hAnsi="Calibri" w:cs="Calibri"/>
          <w:sz w:val="22"/>
          <w:szCs w:val="22"/>
          <w:shd w:val="clear" w:color="auto" w:fill="FFFFFF"/>
        </w:rPr>
      </w:pPr>
      <w:r w:rsidRPr="002E2B5B">
        <w:rPr>
          <w:rFonts w:ascii="Calibri" w:hAnsi="Calibri" w:cs="Calibri"/>
          <w:sz w:val="22"/>
          <w:szCs w:val="22"/>
          <w:shd w:val="clear" w:color="auto" w:fill="FFFFFF"/>
        </w:rPr>
        <w:t>Nesse contexto, a VALEC segue as políticas públicas traçadas pelo Ministérios da Infraestrutura e seu planejamento financeiro de longo prazo é vinculado ao planejamento orçamentário, por meio do Plano Plurianual de 2020 – 2023, aprovados nos termos da Lei 13.971, de 13 de dezembro de 2019.</w:t>
      </w:r>
    </w:p>
    <w:p w14:paraId="03C89E6C" w14:textId="3A3E4F31" w:rsidR="00B80638" w:rsidRPr="00FF7C38" w:rsidRDefault="00B80638" w:rsidP="00937ED9">
      <w:pPr>
        <w:autoSpaceDE w:val="0"/>
        <w:autoSpaceDN w:val="0"/>
        <w:adjustRightInd w:val="0"/>
        <w:spacing w:after="120"/>
        <w:jc w:val="both"/>
        <w:rPr>
          <w:rFonts w:ascii="Calibri" w:hAnsi="Calibri" w:cs="Calibri"/>
          <w:sz w:val="22"/>
          <w:szCs w:val="22"/>
          <w:shd w:val="clear" w:color="auto" w:fill="FFFFFF"/>
        </w:rPr>
      </w:pPr>
      <w:r w:rsidRPr="00FF7C38">
        <w:rPr>
          <w:rFonts w:ascii="Calibri" w:hAnsi="Calibri" w:cs="Calibri"/>
          <w:sz w:val="22"/>
          <w:szCs w:val="22"/>
          <w:shd w:val="clear" w:color="auto" w:fill="FFFFFF"/>
        </w:rPr>
        <w:t xml:space="preserve">Em </w:t>
      </w:r>
      <w:r w:rsidR="000B1B26">
        <w:rPr>
          <w:rFonts w:ascii="Calibri" w:hAnsi="Calibri" w:cs="Calibri"/>
          <w:sz w:val="22"/>
          <w:szCs w:val="22"/>
          <w:shd w:val="clear" w:color="auto" w:fill="FFFFFF"/>
        </w:rPr>
        <w:t>3</w:t>
      </w:r>
      <w:r w:rsidR="000E5D93">
        <w:rPr>
          <w:rFonts w:ascii="Calibri" w:hAnsi="Calibri" w:cs="Calibri"/>
          <w:sz w:val="22"/>
          <w:szCs w:val="22"/>
          <w:shd w:val="clear" w:color="auto" w:fill="FFFFFF"/>
        </w:rPr>
        <w:t>0</w:t>
      </w:r>
      <w:r w:rsidR="00AC2662" w:rsidRPr="00FF7C38">
        <w:rPr>
          <w:rFonts w:ascii="Calibri" w:hAnsi="Calibri" w:cs="Calibri"/>
          <w:sz w:val="22"/>
          <w:szCs w:val="22"/>
          <w:shd w:val="clear" w:color="auto" w:fill="FFFFFF"/>
        </w:rPr>
        <w:t>/</w:t>
      </w:r>
      <w:r w:rsidR="00670EF5">
        <w:rPr>
          <w:rFonts w:ascii="Calibri" w:hAnsi="Calibri" w:cs="Calibri"/>
          <w:sz w:val="22"/>
          <w:szCs w:val="22"/>
          <w:shd w:val="clear" w:color="auto" w:fill="FFFFFF"/>
        </w:rPr>
        <w:t>0</w:t>
      </w:r>
      <w:r w:rsidR="000E5D93">
        <w:rPr>
          <w:rFonts w:ascii="Calibri" w:hAnsi="Calibri" w:cs="Calibri"/>
          <w:sz w:val="22"/>
          <w:szCs w:val="22"/>
          <w:shd w:val="clear" w:color="auto" w:fill="FFFFFF"/>
        </w:rPr>
        <w:t>6</w:t>
      </w:r>
      <w:r w:rsidR="00AC2662" w:rsidRPr="00FF7C38">
        <w:rPr>
          <w:rFonts w:ascii="Calibri" w:hAnsi="Calibri" w:cs="Calibri"/>
          <w:sz w:val="22"/>
          <w:szCs w:val="22"/>
          <w:shd w:val="clear" w:color="auto" w:fill="FFFFFF"/>
        </w:rPr>
        <w:t>/202</w:t>
      </w:r>
      <w:r w:rsidR="00670EF5">
        <w:rPr>
          <w:rFonts w:ascii="Calibri" w:hAnsi="Calibri" w:cs="Calibri"/>
          <w:sz w:val="22"/>
          <w:szCs w:val="22"/>
          <w:shd w:val="clear" w:color="auto" w:fill="FFFFFF"/>
        </w:rPr>
        <w:t>2</w:t>
      </w:r>
      <w:r w:rsidRPr="00FF7C38">
        <w:rPr>
          <w:rFonts w:ascii="Calibri" w:hAnsi="Calibri" w:cs="Calibri"/>
          <w:sz w:val="22"/>
          <w:szCs w:val="22"/>
          <w:shd w:val="clear" w:color="auto" w:fill="FFFFFF"/>
        </w:rPr>
        <w:t xml:space="preserve"> o Passivo Circulante excedeu o seu Ativo Circulante </w:t>
      </w:r>
      <w:r w:rsidRPr="000B1B26">
        <w:rPr>
          <w:rFonts w:ascii="Calibri" w:hAnsi="Calibri" w:cs="Calibri"/>
          <w:sz w:val="22"/>
          <w:szCs w:val="22"/>
          <w:shd w:val="clear" w:color="auto" w:fill="FFFFFF"/>
        </w:rPr>
        <w:t xml:space="preserve">em R$ </w:t>
      </w:r>
      <w:r w:rsidR="000E5D93">
        <w:rPr>
          <w:rFonts w:ascii="Calibri" w:hAnsi="Calibri" w:cs="Calibri"/>
          <w:sz w:val="22"/>
          <w:szCs w:val="22"/>
          <w:shd w:val="clear" w:color="auto" w:fill="FFFFFF"/>
        </w:rPr>
        <w:t>21</w:t>
      </w:r>
      <w:r w:rsidR="00377641">
        <w:rPr>
          <w:rFonts w:ascii="Calibri" w:hAnsi="Calibri" w:cs="Calibri"/>
          <w:sz w:val="22"/>
          <w:szCs w:val="22"/>
          <w:shd w:val="clear" w:color="auto" w:fill="FFFFFF"/>
        </w:rPr>
        <w:t>,6</w:t>
      </w:r>
      <w:r w:rsidR="000E5D93">
        <w:rPr>
          <w:rFonts w:ascii="Calibri" w:hAnsi="Calibri" w:cs="Calibri"/>
          <w:sz w:val="22"/>
          <w:szCs w:val="22"/>
          <w:shd w:val="clear" w:color="auto" w:fill="FFFFFF"/>
        </w:rPr>
        <w:t>7</w:t>
      </w:r>
      <w:r w:rsidRPr="000B1B26">
        <w:rPr>
          <w:rFonts w:ascii="Calibri" w:hAnsi="Calibri" w:cs="Calibri"/>
          <w:sz w:val="22"/>
          <w:szCs w:val="22"/>
          <w:shd w:val="clear" w:color="auto" w:fill="FFFFFF"/>
        </w:rPr>
        <w:t xml:space="preserve"> milhões:</w:t>
      </w:r>
    </w:p>
    <w:tbl>
      <w:tblPr>
        <w:tblW w:w="5000" w:type="pct"/>
        <w:tblCellMar>
          <w:left w:w="70" w:type="dxa"/>
          <w:right w:w="70" w:type="dxa"/>
        </w:tblCellMar>
        <w:tblLook w:val="04A0" w:firstRow="1" w:lastRow="0" w:firstColumn="1" w:lastColumn="0" w:noHBand="0" w:noVBand="1"/>
      </w:tblPr>
      <w:tblGrid>
        <w:gridCol w:w="7779"/>
        <w:gridCol w:w="2688"/>
      </w:tblGrid>
      <w:tr w:rsidR="00B80638" w:rsidRPr="00FF7C38" w14:paraId="33EC5058" w14:textId="77777777" w:rsidTr="00FF7C38">
        <w:trPr>
          <w:trHeight w:hRule="exact" w:val="227"/>
        </w:trPr>
        <w:tc>
          <w:tcPr>
            <w:tcW w:w="5000" w:type="pct"/>
            <w:gridSpan w:val="2"/>
            <w:tcBorders>
              <w:bottom w:val="single" w:sz="4" w:space="0" w:color="auto"/>
            </w:tcBorders>
            <w:shd w:val="clear" w:color="auto" w:fill="auto"/>
            <w:noWrap/>
            <w:vAlign w:val="center"/>
            <w:hideMark/>
          </w:tcPr>
          <w:p w14:paraId="42723F1F" w14:textId="77777777" w:rsidR="00B80638" w:rsidRPr="00FF7C38" w:rsidRDefault="00B80638" w:rsidP="00937ED9">
            <w:pPr>
              <w:spacing w:after="120"/>
              <w:rPr>
                <w:rFonts w:ascii="Calibri" w:hAnsi="Calibri" w:cs="Calibri"/>
                <w:b/>
                <w:bCs/>
                <w:sz w:val="16"/>
                <w:szCs w:val="16"/>
              </w:rPr>
            </w:pPr>
            <w:r w:rsidRPr="00FF7C38">
              <w:rPr>
                <w:rFonts w:ascii="Calibri" w:hAnsi="Calibri" w:cs="Calibri"/>
                <w:b/>
                <w:bCs/>
                <w:sz w:val="16"/>
                <w:szCs w:val="16"/>
              </w:rPr>
              <w:t>Descrição</w:t>
            </w:r>
          </w:p>
        </w:tc>
      </w:tr>
      <w:tr w:rsidR="00B80638" w:rsidRPr="00FF7C38" w14:paraId="0C37360E" w14:textId="77777777" w:rsidTr="00FF7C38">
        <w:trPr>
          <w:trHeight w:hRule="exact" w:val="227"/>
        </w:trPr>
        <w:tc>
          <w:tcPr>
            <w:tcW w:w="3716" w:type="pct"/>
            <w:tcBorders>
              <w:top w:val="single" w:sz="4" w:space="0" w:color="auto"/>
            </w:tcBorders>
            <w:shd w:val="clear" w:color="auto" w:fill="auto"/>
            <w:noWrap/>
            <w:vAlign w:val="center"/>
            <w:hideMark/>
          </w:tcPr>
          <w:p w14:paraId="0BD30FC5" w14:textId="77777777" w:rsidR="00B80638" w:rsidRPr="00FF7C38" w:rsidRDefault="00B80638" w:rsidP="00937ED9">
            <w:pPr>
              <w:spacing w:after="120"/>
              <w:rPr>
                <w:rFonts w:ascii="Calibri" w:hAnsi="Calibri" w:cs="Calibri"/>
                <w:sz w:val="16"/>
                <w:szCs w:val="16"/>
              </w:rPr>
            </w:pPr>
            <w:r w:rsidRPr="00FF7C38">
              <w:rPr>
                <w:rFonts w:ascii="Calibri" w:hAnsi="Calibri" w:cs="Calibri"/>
                <w:sz w:val="16"/>
                <w:szCs w:val="16"/>
              </w:rPr>
              <w:t>Ativo Circulante</w:t>
            </w:r>
          </w:p>
        </w:tc>
        <w:tc>
          <w:tcPr>
            <w:tcW w:w="1284" w:type="pct"/>
            <w:tcBorders>
              <w:top w:val="single" w:sz="4" w:space="0" w:color="auto"/>
            </w:tcBorders>
            <w:shd w:val="clear" w:color="auto" w:fill="auto"/>
            <w:noWrap/>
            <w:vAlign w:val="center"/>
            <w:hideMark/>
          </w:tcPr>
          <w:p w14:paraId="3B10BD34" w14:textId="3C1B20DC" w:rsidR="00B80638" w:rsidRPr="000B1B26" w:rsidRDefault="000E5D93" w:rsidP="00937ED9">
            <w:pPr>
              <w:spacing w:after="120"/>
              <w:jc w:val="right"/>
              <w:rPr>
                <w:rFonts w:ascii="Calibri" w:hAnsi="Calibri" w:cs="Calibri"/>
                <w:sz w:val="16"/>
                <w:szCs w:val="16"/>
              </w:rPr>
            </w:pPr>
            <w:r>
              <w:rPr>
                <w:rFonts w:ascii="Calibri" w:hAnsi="Calibri" w:cs="Calibri"/>
                <w:sz w:val="16"/>
                <w:szCs w:val="16"/>
              </w:rPr>
              <w:t>63.983.402</w:t>
            </w:r>
          </w:p>
        </w:tc>
      </w:tr>
      <w:tr w:rsidR="00B80638" w:rsidRPr="00FF7C38" w14:paraId="481728C3" w14:textId="77777777" w:rsidTr="00FF7C38">
        <w:trPr>
          <w:trHeight w:hRule="exact" w:val="227"/>
        </w:trPr>
        <w:tc>
          <w:tcPr>
            <w:tcW w:w="3716" w:type="pct"/>
            <w:shd w:val="clear" w:color="auto" w:fill="auto"/>
            <w:noWrap/>
            <w:vAlign w:val="center"/>
          </w:tcPr>
          <w:p w14:paraId="3D217979" w14:textId="77777777" w:rsidR="00B80638" w:rsidRPr="00FF7C38" w:rsidRDefault="00B80638" w:rsidP="00937ED9">
            <w:pPr>
              <w:spacing w:after="120"/>
              <w:rPr>
                <w:rFonts w:ascii="Calibri" w:hAnsi="Calibri" w:cs="Calibri"/>
                <w:sz w:val="16"/>
                <w:szCs w:val="16"/>
              </w:rPr>
            </w:pPr>
            <w:r w:rsidRPr="00FF7C38">
              <w:rPr>
                <w:rFonts w:ascii="Calibri" w:hAnsi="Calibri" w:cs="Calibri"/>
                <w:sz w:val="16"/>
                <w:szCs w:val="16"/>
              </w:rPr>
              <w:t>Passivo Circulante</w:t>
            </w:r>
          </w:p>
        </w:tc>
        <w:tc>
          <w:tcPr>
            <w:tcW w:w="1284" w:type="pct"/>
            <w:shd w:val="clear" w:color="auto" w:fill="auto"/>
            <w:noWrap/>
            <w:vAlign w:val="center"/>
          </w:tcPr>
          <w:p w14:paraId="483DEE40" w14:textId="1E82575D" w:rsidR="00B80638" w:rsidRPr="000B1B26" w:rsidRDefault="000B1B26" w:rsidP="00937ED9">
            <w:pPr>
              <w:spacing w:after="120"/>
              <w:jc w:val="right"/>
              <w:rPr>
                <w:rFonts w:ascii="Calibri" w:hAnsi="Calibri" w:cs="Calibri"/>
                <w:sz w:val="16"/>
                <w:szCs w:val="16"/>
              </w:rPr>
            </w:pPr>
            <w:r>
              <w:rPr>
                <w:rFonts w:ascii="Calibri" w:hAnsi="Calibri" w:cs="Calibri"/>
                <w:sz w:val="16"/>
                <w:szCs w:val="16"/>
              </w:rPr>
              <w:t>10</w:t>
            </w:r>
            <w:r w:rsidR="00FC0EC1">
              <w:rPr>
                <w:rFonts w:ascii="Calibri" w:hAnsi="Calibri" w:cs="Calibri"/>
                <w:sz w:val="16"/>
                <w:szCs w:val="16"/>
              </w:rPr>
              <w:t>8</w:t>
            </w:r>
            <w:r>
              <w:rPr>
                <w:rFonts w:ascii="Calibri" w:hAnsi="Calibri" w:cs="Calibri"/>
                <w:sz w:val="16"/>
                <w:szCs w:val="16"/>
              </w:rPr>
              <w:t>.</w:t>
            </w:r>
            <w:r w:rsidR="000E5D93">
              <w:rPr>
                <w:rFonts w:ascii="Calibri" w:hAnsi="Calibri" w:cs="Calibri"/>
                <w:sz w:val="16"/>
                <w:szCs w:val="16"/>
              </w:rPr>
              <w:t>383.576</w:t>
            </w:r>
          </w:p>
          <w:p w14:paraId="0AE9D82F" w14:textId="77777777" w:rsidR="00B80638" w:rsidRPr="000B1B26" w:rsidRDefault="00B80638" w:rsidP="00937ED9">
            <w:pPr>
              <w:spacing w:after="120"/>
              <w:jc w:val="right"/>
              <w:rPr>
                <w:rFonts w:ascii="Calibri" w:hAnsi="Calibri" w:cs="Calibri"/>
                <w:sz w:val="16"/>
                <w:szCs w:val="16"/>
              </w:rPr>
            </w:pPr>
          </w:p>
        </w:tc>
      </w:tr>
      <w:tr w:rsidR="00B80638" w:rsidRPr="00A1256E" w14:paraId="149CCF0C" w14:textId="77777777" w:rsidTr="00FF7C38">
        <w:trPr>
          <w:trHeight w:hRule="exact" w:val="227"/>
        </w:trPr>
        <w:tc>
          <w:tcPr>
            <w:tcW w:w="3716" w:type="pct"/>
            <w:tcBorders>
              <w:top w:val="single" w:sz="4" w:space="0" w:color="auto"/>
              <w:bottom w:val="single" w:sz="4" w:space="0" w:color="auto"/>
            </w:tcBorders>
            <w:shd w:val="clear" w:color="auto" w:fill="auto"/>
            <w:noWrap/>
            <w:vAlign w:val="center"/>
            <w:hideMark/>
          </w:tcPr>
          <w:p w14:paraId="3B83A8B1" w14:textId="77777777" w:rsidR="00B80638" w:rsidRPr="00FF7C38" w:rsidRDefault="00B80638" w:rsidP="00937ED9">
            <w:pPr>
              <w:spacing w:after="120"/>
              <w:rPr>
                <w:rFonts w:ascii="Calibri" w:hAnsi="Calibri" w:cs="Calibri"/>
                <w:b/>
                <w:sz w:val="16"/>
                <w:szCs w:val="16"/>
              </w:rPr>
            </w:pPr>
            <w:r w:rsidRPr="00FF7C38">
              <w:rPr>
                <w:rFonts w:ascii="Calibri" w:hAnsi="Calibri" w:cs="Calibri"/>
                <w:b/>
                <w:bCs/>
                <w:sz w:val="16"/>
                <w:szCs w:val="16"/>
              </w:rPr>
              <w:t>Excedente (AC – PC)</w:t>
            </w:r>
          </w:p>
        </w:tc>
        <w:tc>
          <w:tcPr>
            <w:tcW w:w="1284" w:type="pct"/>
            <w:tcBorders>
              <w:top w:val="single" w:sz="4" w:space="0" w:color="auto"/>
              <w:bottom w:val="single" w:sz="4" w:space="0" w:color="auto"/>
            </w:tcBorders>
            <w:shd w:val="clear" w:color="auto" w:fill="auto"/>
            <w:noWrap/>
            <w:vAlign w:val="center"/>
            <w:hideMark/>
          </w:tcPr>
          <w:p w14:paraId="44EB5EB3" w14:textId="4292FFD0" w:rsidR="00B80638" w:rsidRPr="000B1B26" w:rsidRDefault="00B80638" w:rsidP="00937ED9">
            <w:pPr>
              <w:spacing w:after="120"/>
              <w:jc w:val="right"/>
              <w:rPr>
                <w:rFonts w:ascii="Calibri" w:hAnsi="Calibri" w:cs="Calibri"/>
                <w:b/>
                <w:bCs/>
                <w:sz w:val="16"/>
                <w:szCs w:val="16"/>
              </w:rPr>
            </w:pPr>
            <w:r w:rsidRPr="000B1B26">
              <w:rPr>
                <w:rFonts w:ascii="Calibri" w:hAnsi="Calibri" w:cs="Calibri"/>
                <w:b/>
                <w:bCs/>
                <w:sz w:val="16"/>
                <w:szCs w:val="16"/>
              </w:rPr>
              <w:t>(</w:t>
            </w:r>
            <w:r w:rsidR="000E5D93">
              <w:rPr>
                <w:rFonts w:ascii="Calibri" w:hAnsi="Calibri" w:cs="Calibri"/>
                <w:b/>
                <w:bCs/>
                <w:sz w:val="16"/>
                <w:szCs w:val="16"/>
              </w:rPr>
              <w:t>21.670.966</w:t>
            </w:r>
            <w:r w:rsidRPr="000B1B26">
              <w:rPr>
                <w:rFonts w:ascii="Calibri" w:hAnsi="Calibri" w:cs="Calibri"/>
                <w:b/>
                <w:bCs/>
                <w:sz w:val="16"/>
                <w:szCs w:val="16"/>
              </w:rPr>
              <w:t>)</w:t>
            </w:r>
          </w:p>
        </w:tc>
      </w:tr>
    </w:tbl>
    <w:p w14:paraId="7E3EEAC0" w14:textId="05E6CD03" w:rsidR="00B80638" w:rsidRPr="008D21F0" w:rsidRDefault="00B80638" w:rsidP="00937ED9">
      <w:pPr>
        <w:autoSpaceDE w:val="0"/>
        <w:autoSpaceDN w:val="0"/>
        <w:adjustRightInd w:val="0"/>
        <w:spacing w:before="120" w:after="120"/>
        <w:jc w:val="both"/>
        <w:rPr>
          <w:rFonts w:ascii="Calibri" w:hAnsi="Calibri" w:cs="Calibri"/>
          <w:sz w:val="22"/>
          <w:szCs w:val="22"/>
          <w:shd w:val="clear" w:color="auto" w:fill="FFFFFF"/>
        </w:rPr>
      </w:pPr>
      <w:r w:rsidRPr="000B1B26">
        <w:rPr>
          <w:rFonts w:ascii="Calibri" w:hAnsi="Calibri" w:cs="Calibri"/>
          <w:sz w:val="22"/>
          <w:szCs w:val="22"/>
          <w:shd w:val="clear" w:color="auto" w:fill="FFFFFF"/>
        </w:rPr>
        <w:t xml:space="preserve">Essa situação foi </w:t>
      </w:r>
      <w:r w:rsidR="00FF7C38" w:rsidRPr="000B1B26">
        <w:rPr>
          <w:rFonts w:ascii="Calibri" w:hAnsi="Calibri" w:cs="Calibri"/>
          <w:sz w:val="22"/>
          <w:szCs w:val="22"/>
          <w:shd w:val="clear" w:color="auto" w:fill="FFFFFF"/>
        </w:rPr>
        <w:t xml:space="preserve">influenciada, principalmente, pelas provisões de </w:t>
      </w:r>
      <w:r w:rsidRPr="000B1B26">
        <w:rPr>
          <w:rFonts w:ascii="Calibri" w:hAnsi="Calibri" w:cs="Calibri"/>
          <w:sz w:val="22"/>
          <w:szCs w:val="22"/>
          <w:shd w:val="clear" w:color="auto" w:fill="FFFFFF"/>
        </w:rPr>
        <w:t xml:space="preserve">riscos </w:t>
      </w:r>
      <w:r w:rsidR="00FF7C38" w:rsidRPr="000B1B26">
        <w:rPr>
          <w:rFonts w:ascii="Calibri" w:hAnsi="Calibri" w:cs="Calibri"/>
          <w:sz w:val="22"/>
          <w:szCs w:val="22"/>
          <w:shd w:val="clear" w:color="auto" w:fill="FFFFFF"/>
        </w:rPr>
        <w:t>judiciais</w:t>
      </w:r>
      <w:r w:rsidR="00F6719E" w:rsidRPr="000B1B26">
        <w:rPr>
          <w:rFonts w:ascii="Calibri" w:hAnsi="Calibri" w:cs="Calibri"/>
          <w:sz w:val="22"/>
          <w:szCs w:val="22"/>
          <w:shd w:val="clear" w:color="auto" w:fill="FFFFFF"/>
        </w:rPr>
        <w:t xml:space="preserve"> no valor de R$ 7</w:t>
      </w:r>
      <w:r w:rsidR="007F73CF">
        <w:rPr>
          <w:rFonts w:ascii="Calibri" w:hAnsi="Calibri" w:cs="Calibri"/>
          <w:sz w:val="22"/>
          <w:szCs w:val="22"/>
          <w:shd w:val="clear" w:color="auto" w:fill="FFFFFF"/>
        </w:rPr>
        <w:t>5</w:t>
      </w:r>
      <w:r w:rsidR="000F7BD9">
        <w:rPr>
          <w:rFonts w:ascii="Calibri" w:hAnsi="Calibri" w:cs="Calibri"/>
          <w:sz w:val="22"/>
          <w:szCs w:val="22"/>
          <w:shd w:val="clear" w:color="auto" w:fill="FFFFFF"/>
        </w:rPr>
        <w:t>,76</w:t>
      </w:r>
      <w:r w:rsidR="00F6719E" w:rsidRPr="000B1B26">
        <w:rPr>
          <w:rFonts w:ascii="Calibri" w:hAnsi="Calibri" w:cs="Calibri"/>
          <w:sz w:val="22"/>
          <w:szCs w:val="22"/>
          <w:shd w:val="clear" w:color="auto" w:fill="FFFFFF"/>
        </w:rPr>
        <w:t xml:space="preserve"> milhões</w:t>
      </w:r>
      <w:r w:rsidR="00FF7C38" w:rsidRPr="000B1B26">
        <w:rPr>
          <w:rFonts w:ascii="Calibri" w:hAnsi="Calibri" w:cs="Calibri"/>
          <w:sz w:val="22"/>
          <w:szCs w:val="22"/>
          <w:shd w:val="clear" w:color="auto" w:fill="FFFFFF"/>
        </w:rPr>
        <w:t xml:space="preserve"> que representam </w:t>
      </w:r>
      <w:r w:rsidR="007F73CF">
        <w:rPr>
          <w:rFonts w:ascii="Calibri" w:hAnsi="Calibri" w:cs="Calibri"/>
          <w:sz w:val="22"/>
          <w:szCs w:val="22"/>
          <w:shd w:val="clear" w:color="auto" w:fill="FFFFFF"/>
        </w:rPr>
        <w:t>70</w:t>
      </w:r>
      <w:r w:rsidR="00FF7C38" w:rsidRPr="000B1B26">
        <w:rPr>
          <w:rFonts w:ascii="Calibri" w:hAnsi="Calibri" w:cs="Calibri"/>
          <w:sz w:val="22"/>
          <w:szCs w:val="22"/>
          <w:shd w:val="clear" w:color="auto" w:fill="FFFFFF"/>
        </w:rPr>
        <w:t>% do passivo circulante da empresa</w:t>
      </w:r>
      <w:r w:rsidR="00CD10A0" w:rsidRPr="000B1B26">
        <w:rPr>
          <w:rFonts w:ascii="Calibri" w:hAnsi="Calibri" w:cs="Calibri"/>
          <w:sz w:val="22"/>
          <w:szCs w:val="22"/>
          <w:shd w:val="clear" w:color="auto" w:fill="FFFFFF"/>
        </w:rPr>
        <w:t>, conforme descrito na Nota 11b – Provisões para Contingências de Ações Judiciais.</w:t>
      </w:r>
      <w:r w:rsidR="00CD10A0" w:rsidRPr="008D21F0">
        <w:rPr>
          <w:rFonts w:ascii="Calibri" w:hAnsi="Calibri" w:cs="Calibri"/>
          <w:sz w:val="22"/>
          <w:szCs w:val="22"/>
          <w:shd w:val="clear" w:color="auto" w:fill="FFFFFF"/>
        </w:rPr>
        <w:t xml:space="preserve"> </w:t>
      </w:r>
    </w:p>
    <w:p w14:paraId="4EC0CF98" w14:textId="2CDEF8C0" w:rsidR="00B80638" w:rsidRDefault="00B80638" w:rsidP="00937ED9">
      <w:pPr>
        <w:autoSpaceDE w:val="0"/>
        <w:autoSpaceDN w:val="0"/>
        <w:adjustRightInd w:val="0"/>
        <w:spacing w:after="120"/>
        <w:jc w:val="both"/>
        <w:rPr>
          <w:rFonts w:ascii="Calibri" w:hAnsi="Calibri" w:cs="Calibri"/>
          <w:sz w:val="22"/>
          <w:szCs w:val="22"/>
          <w:shd w:val="clear" w:color="auto" w:fill="FFFFFF"/>
        </w:rPr>
      </w:pPr>
      <w:r w:rsidRPr="008D21F0">
        <w:rPr>
          <w:rFonts w:ascii="Calibri" w:hAnsi="Calibri" w:cs="Calibri"/>
          <w:sz w:val="22"/>
          <w:szCs w:val="22"/>
          <w:shd w:val="clear" w:color="auto" w:fill="FFFFFF"/>
        </w:rPr>
        <w:lastRenderedPageBreak/>
        <w:t>No entanto, a legislação prevê a possibilidade de suplementação</w:t>
      </w:r>
      <w:r w:rsidRPr="00FF4575">
        <w:rPr>
          <w:rFonts w:ascii="Calibri" w:hAnsi="Calibri" w:cs="Calibri"/>
          <w:sz w:val="22"/>
          <w:szCs w:val="22"/>
          <w:shd w:val="clear" w:color="auto" w:fill="FFFFFF"/>
        </w:rPr>
        <w:t xml:space="preserve"> orçamentária, caso os recursos previstos na Lei Orçamentária Anual não sejam suficientes. O embasamento para essa suplementação está ancorado nos </w:t>
      </w:r>
      <w:proofErr w:type="spellStart"/>
      <w:r w:rsidRPr="00FF4575">
        <w:rPr>
          <w:rFonts w:ascii="Calibri" w:hAnsi="Calibri" w:cs="Calibri"/>
          <w:sz w:val="22"/>
          <w:szCs w:val="22"/>
          <w:shd w:val="clear" w:color="auto" w:fill="FFFFFF"/>
        </w:rPr>
        <w:t>arts</w:t>
      </w:r>
      <w:proofErr w:type="spellEnd"/>
      <w:r w:rsidRPr="00FF4575">
        <w:rPr>
          <w:rFonts w:ascii="Calibri" w:hAnsi="Calibri" w:cs="Calibri"/>
          <w:sz w:val="22"/>
          <w:szCs w:val="22"/>
          <w:shd w:val="clear" w:color="auto" w:fill="FFFFFF"/>
        </w:rPr>
        <w:t>. 40 a 46 da Lei nº 4.320, de 17 de março de 1964 (créditos orçamentários); no art. 4º da Lei nº 14.</w:t>
      </w:r>
      <w:r w:rsidR="00E65A98">
        <w:rPr>
          <w:rFonts w:ascii="Calibri" w:hAnsi="Calibri" w:cs="Calibri"/>
          <w:sz w:val="22"/>
          <w:szCs w:val="22"/>
          <w:shd w:val="clear" w:color="auto" w:fill="FFFFFF"/>
        </w:rPr>
        <w:t>303</w:t>
      </w:r>
      <w:r w:rsidRPr="00FF4575">
        <w:rPr>
          <w:rFonts w:ascii="Calibri" w:hAnsi="Calibri" w:cs="Calibri"/>
          <w:sz w:val="22"/>
          <w:szCs w:val="22"/>
          <w:shd w:val="clear" w:color="auto" w:fill="FFFFFF"/>
        </w:rPr>
        <w:t>, de 2</w:t>
      </w:r>
      <w:r w:rsidR="00E65A98">
        <w:rPr>
          <w:rFonts w:ascii="Calibri" w:hAnsi="Calibri" w:cs="Calibri"/>
          <w:sz w:val="22"/>
          <w:szCs w:val="22"/>
          <w:shd w:val="clear" w:color="auto" w:fill="FFFFFF"/>
        </w:rPr>
        <w:t>1</w:t>
      </w:r>
      <w:r w:rsidRPr="00FF4575">
        <w:rPr>
          <w:rFonts w:ascii="Calibri" w:hAnsi="Calibri" w:cs="Calibri"/>
          <w:sz w:val="22"/>
          <w:szCs w:val="22"/>
          <w:shd w:val="clear" w:color="auto" w:fill="FFFFFF"/>
        </w:rPr>
        <w:t xml:space="preserve"> de </w:t>
      </w:r>
      <w:r w:rsidR="00E65A98">
        <w:rPr>
          <w:rFonts w:ascii="Calibri" w:hAnsi="Calibri" w:cs="Calibri"/>
          <w:sz w:val="22"/>
          <w:szCs w:val="22"/>
          <w:shd w:val="clear" w:color="auto" w:fill="FFFFFF"/>
        </w:rPr>
        <w:t>janeiro</w:t>
      </w:r>
      <w:r w:rsidRPr="00FF4575">
        <w:rPr>
          <w:rFonts w:ascii="Calibri" w:hAnsi="Calibri" w:cs="Calibri"/>
          <w:sz w:val="22"/>
          <w:szCs w:val="22"/>
          <w:shd w:val="clear" w:color="auto" w:fill="FFFFFF"/>
        </w:rPr>
        <w:t xml:space="preserve"> de 202</w:t>
      </w:r>
      <w:r w:rsidR="00E65A98">
        <w:rPr>
          <w:rFonts w:ascii="Calibri" w:hAnsi="Calibri" w:cs="Calibri"/>
          <w:sz w:val="22"/>
          <w:szCs w:val="22"/>
          <w:shd w:val="clear" w:color="auto" w:fill="FFFFFF"/>
        </w:rPr>
        <w:t>2</w:t>
      </w:r>
      <w:r w:rsidRPr="00FF4575">
        <w:rPr>
          <w:rFonts w:ascii="Calibri" w:hAnsi="Calibri" w:cs="Calibri"/>
          <w:sz w:val="22"/>
          <w:szCs w:val="22"/>
          <w:shd w:val="clear" w:color="auto" w:fill="FFFFFF"/>
        </w:rPr>
        <w:t xml:space="preserve"> e no art. 9º da Portaria SOF/ME nº</w:t>
      </w:r>
      <w:r w:rsidR="00E65A98" w:rsidRPr="00E65A98">
        <w:t xml:space="preserve"> </w:t>
      </w:r>
      <w:r w:rsidR="00E65A98" w:rsidRPr="00E65A98">
        <w:rPr>
          <w:rFonts w:ascii="Calibri" w:hAnsi="Calibri" w:cs="Calibri"/>
          <w:sz w:val="22"/>
          <w:szCs w:val="22"/>
          <w:shd w:val="clear" w:color="auto" w:fill="FFFFFF"/>
        </w:rPr>
        <w:t xml:space="preserve">1.110, </w:t>
      </w:r>
      <w:r w:rsidR="00E65A98">
        <w:rPr>
          <w:rFonts w:ascii="Calibri" w:hAnsi="Calibri" w:cs="Calibri"/>
          <w:sz w:val="22"/>
          <w:szCs w:val="22"/>
          <w:shd w:val="clear" w:color="auto" w:fill="FFFFFF"/>
        </w:rPr>
        <w:t>de</w:t>
      </w:r>
      <w:r w:rsidR="00E65A98" w:rsidRPr="00E65A98">
        <w:rPr>
          <w:rFonts w:ascii="Calibri" w:hAnsi="Calibri" w:cs="Calibri"/>
          <w:sz w:val="22"/>
          <w:szCs w:val="22"/>
          <w:shd w:val="clear" w:color="auto" w:fill="FFFFFF"/>
        </w:rPr>
        <w:t xml:space="preserve"> 9 </w:t>
      </w:r>
      <w:r w:rsidR="00E65A98">
        <w:rPr>
          <w:rFonts w:ascii="Calibri" w:hAnsi="Calibri" w:cs="Calibri"/>
          <w:sz w:val="22"/>
          <w:szCs w:val="22"/>
          <w:shd w:val="clear" w:color="auto" w:fill="FFFFFF"/>
        </w:rPr>
        <w:t>de</w:t>
      </w:r>
      <w:r w:rsidR="00E65A98" w:rsidRPr="00E65A98">
        <w:rPr>
          <w:rFonts w:ascii="Calibri" w:hAnsi="Calibri" w:cs="Calibri"/>
          <w:sz w:val="22"/>
          <w:szCs w:val="22"/>
          <w:shd w:val="clear" w:color="auto" w:fill="FFFFFF"/>
        </w:rPr>
        <w:t xml:space="preserve"> </w:t>
      </w:r>
      <w:r w:rsidR="00E65A98">
        <w:rPr>
          <w:rFonts w:ascii="Calibri" w:hAnsi="Calibri" w:cs="Calibri"/>
          <w:sz w:val="22"/>
          <w:szCs w:val="22"/>
          <w:shd w:val="clear" w:color="auto" w:fill="FFFFFF"/>
        </w:rPr>
        <w:t>fevereiro de</w:t>
      </w:r>
      <w:r w:rsidR="00E65A98" w:rsidRPr="00E65A98">
        <w:rPr>
          <w:rFonts w:ascii="Calibri" w:hAnsi="Calibri" w:cs="Calibri"/>
          <w:sz w:val="22"/>
          <w:szCs w:val="22"/>
          <w:shd w:val="clear" w:color="auto" w:fill="FFFFFF"/>
        </w:rPr>
        <w:t xml:space="preserve"> 2022</w:t>
      </w:r>
      <w:r w:rsidR="00425FC3">
        <w:rPr>
          <w:rFonts w:ascii="Calibri" w:hAnsi="Calibri" w:cs="Calibri"/>
          <w:sz w:val="22"/>
          <w:szCs w:val="22"/>
          <w:shd w:val="clear" w:color="auto" w:fill="FFFFFF"/>
        </w:rPr>
        <w:t>.</w:t>
      </w:r>
    </w:p>
    <w:p w14:paraId="0E1E89CF" w14:textId="7F72B227" w:rsidR="009165D8" w:rsidRPr="002E2B5B" w:rsidRDefault="000951E8" w:rsidP="00937ED9">
      <w:pPr>
        <w:autoSpaceDE w:val="0"/>
        <w:autoSpaceDN w:val="0"/>
        <w:adjustRightInd w:val="0"/>
        <w:spacing w:after="120"/>
        <w:jc w:val="both"/>
        <w:rPr>
          <w:rFonts w:ascii="Calibri" w:hAnsi="Calibri" w:cs="Calibri"/>
          <w:sz w:val="22"/>
          <w:szCs w:val="22"/>
          <w:shd w:val="clear" w:color="auto" w:fill="FFFFFF"/>
        </w:rPr>
      </w:pPr>
      <w:r w:rsidRPr="002E2B5B">
        <w:rPr>
          <w:rFonts w:ascii="Calibri" w:hAnsi="Calibri" w:cs="Calibri"/>
          <w:sz w:val="22"/>
          <w:szCs w:val="22"/>
          <w:shd w:val="clear" w:color="auto" w:fill="FFFFFF"/>
        </w:rPr>
        <w:t>A V</w:t>
      </w:r>
      <w:r w:rsidR="00F15B75" w:rsidRPr="002E2B5B">
        <w:rPr>
          <w:rFonts w:ascii="Calibri" w:hAnsi="Calibri" w:cs="Calibri"/>
          <w:sz w:val="22"/>
          <w:szCs w:val="22"/>
          <w:shd w:val="clear" w:color="auto" w:fill="FFFFFF"/>
        </w:rPr>
        <w:t>ALEC</w:t>
      </w:r>
      <w:r w:rsidRPr="002E2B5B">
        <w:rPr>
          <w:rFonts w:ascii="Calibri" w:hAnsi="Calibri" w:cs="Calibri"/>
          <w:sz w:val="22"/>
          <w:szCs w:val="22"/>
          <w:shd w:val="clear" w:color="auto" w:fill="FFFFFF"/>
        </w:rPr>
        <w:t xml:space="preserve"> busca ser referência não só na construção e exploração das ferrovias que lhes foram outorgadas, mas também na prestação dos mais diversos serviços e soluções tecnológicas para o sistema ferroviário nacional, estruturando parcerias e ativos, além da pesquisa e inovação. Objetiva a captação de fontes alternativas de receitas, incentivando ações para identificação de oportunidades de negócios nacionais e internacionais, além do estreitamento institucional com o mercado privado e público de infraestrutura ferroviária.</w:t>
      </w:r>
    </w:p>
    <w:p w14:paraId="2B18CD7E" w14:textId="000D423C" w:rsidR="009165D8" w:rsidRDefault="000951E8" w:rsidP="00937ED9">
      <w:pPr>
        <w:autoSpaceDE w:val="0"/>
        <w:autoSpaceDN w:val="0"/>
        <w:adjustRightInd w:val="0"/>
        <w:spacing w:after="120"/>
        <w:jc w:val="both"/>
        <w:rPr>
          <w:rFonts w:ascii="Calibri" w:hAnsi="Calibri" w:cs="Calibri"/>
          <w:sz w:val="22"/>
          <w:szCs w:val="22"/>
          <w:shd w:val="clear" w:color="auto" w:fill="FFFFFF"/>
        </w:rPr>
      </w:pPr>
      <w:r w:rsidRPr="002E2B5B">
        <w:rPr>
          <w:rFonts w:ascii="Calibri" w:hAnsi="Calibri" w:cs="Calibri"/>
          <w:sz w:val="22"/>
          <w:szCs w:val="22"/>
          <w:shd w:val="clear" w:color="auto" w:fill="FFFFFF"/>
        </w:rPr>
        <w:t xml:space="preserve">Na área de desapropriações o planejamento traz como metas: lançar em definitivo o sistema “VALEC Territorial”, onde estarão consolidados os mapas e painéis referentes à Desapropriação e Gestão da Faixa de Domínio; apresentar proposta para leilão público dos imóveis (terrenos) remanescentes; concluir os procedimentos administrativos necessários para a escrituração, registro ou ajuizamento dos processos expropriatórios; e continuação das atividades de levantamento com o uso de Sistemas de Aeronaves Remotamente Pilotadas (RPAS) para geração de </w:t>
      </w:r>
      <w:proofErr w:type="spellStart"/>
      <w:r w:rsidRPr="002E2B5B">
        <w:rPr>
          <w:rFonts w:ascii="Calibri" w:hAnsi="Calibri" w:cs="Calibri"/>
          <w:sz w:val="22"/>
          <w:szCs w:val="22"/>
          <w:shd w:val="clear" w:color="auto" w:fill="FFFFFF"/>
        </w:rPr>
        <w:t>Ortofoto</w:t>
      </w:r>
      <w:proofErr w:type="spellEnd"/>
      <w:r w:rsidRPr="002E2B5B">
        <w:rPr>
          <w:rFonts w:ascii="Calibri" w:hAnsi="Calibri" w:cs="Calibri"/>
          <w:sz w:val="22"/>
          <w:szCs w:val="22"/>
          <w:shd w:val="clear" w:color="auto" w:fill="FFFFFF"/>
        </w:rPr>
        <w:t xml:space="preserve"> de Modelo Digital de Elevação (MDE).</w:t>
      </w:r>
    </w:p>
    <w:p w14:paraId="17B2A069" w14:textId="77D8E82B" w:rsidR="00377641" w:rsidRPr="002E2B5B" w:rsidRDefault="00377641" w:rsidP="00937ED9">
      <w:pPr>
        <w:autoSpaceDE w:val="0"/>
        <w:autoSpaceDN w:val="0"/>
        <w:adjustRightInd w:val="0"/>
        <w:spacing w:after="120"/>
        <w:jc w:val="both"/>
        <w:rPr>
          <w:rFonts w:ascii="Calibri" w:hAnsi="Calibri" w:cs="Calibri"/>
          <w:sz w:val="22"/>
          <w:szCs w:val="22"/>
          <w:shd w:val="clear" w:color="auto" w:fill="FFFFFF"/>
        </w:rPr>
      </w:pPr>
      <w:r>
        <w:rPr>
          <w:rFonts w:ascii="Calibri" w:hAnsi="Calibri" w:cs="Calibri"/>
          <w:sz w:val="22"/>
          <w:szCs w:val="22"/>
          <w:shd w:val="clear" w:color="auto" w:fill="FFFFFF"/>
        </w:rPr>
        <w:t>Em 24 de maio de 2022, foi assinado o Decreto nº 11.081/2022, que autoriza a incorporação da Empresa de Planejamento e Logística – EPL pela VALEC. A VALEC em conjunto com a EPL e a Procuradoria Geral da Fazenda Nacional adotarão providências necessárias à incorporação</w:t>
      </w:r>
      <w:r w:rsidR="003D37BA">
        <w:rPr>
          <w:rFonts w:ascii="Calibri" w:hAnsi="Calibri" w:cs="Calibri"/>
          <w:sz w:val="22"/>
          <w:szCs w:val="22"/>
          <w:shd w:val="clear" w:color="auto" w:fill="FFFFFF"/>
        </w:rPr>
        <w:t xml:space="preserve"> autorizada. </w:t>
      </w:r>
    </w:p>
    <w:p w14:paraId="2800437C" w14:textId="042B9928" w:rsidR="009165D8" w:rsidRDefault="000951E8" w:rsidP="00937ED9">
      <w:pPr>
        <w:pStyle w:val="Pa0"/>
        <w:spacing w:after="120"/>
        <w:rPr>
          <w:rFonts w:ascii="Calibri" w:hAnsi="Calibri" w:cs="Calibri"/>
          <w:sz w:val="22"/>
          <w:szCs w:val="22"/>
        </w:rPr>
      </w:pPr>
      <w:r w:rsidRPr="002E2B5B">
        <w:rPr>
          <w:rFonts w:ascii="Calibri" w:hAnsi="Calibri" w:cs="Calibri"/>
          <w:sz w:val="22"/>
          <w:szCs w:val="22"/>
        </w:rPr>
        <w:t xml:space="preserve">Como unidade executora de políticas públicas de desenvolvimento da infraestrutura ferroviária nacional, muitos projetos deverão ser direcionados para atuação da </w:t>
      </w:r>
      <w:r w:rsidR="00F15B75" w:rsidRPr="002E2B5B">
        <w:rPr>
          <w:rFonts w:ascii="Calibri" w:hAnsi="Calibri" w:cs="Calibri"/>
          <w:sz w:val="22"/>
          <w:szCs w:val="22"/>
        </w:rPr>
        <w:t>VALEC</w:t>
      </w:r>
      <w:r w:rsidRPr="002E2B5B">
        <w:rPr>
          <w:rFonts w:ascii="Calibri" w:hAnsi="Calibri" w:cs="Calibri"/>
          <w:sz w:val="22"/>
          <w:szCs w:val="22"/>
        </w:rPr>
        <w:t xml:space="preserve">, tendo em vista as oportunidades geradas pela possibilidade de renovação antecipada das concessões ferroviárias, a devolução e </w:t>
      </w:r>
      <w:proofErr w:type="spellStart"/>
      <w:r w:rsidRPr="002E2B5B">
        <w:rPr>
          <w:rFonts w:ascii="Calibri" w:hAnsi="Calibri" w:cs="Calibri"/>
          <w:sz w:val="22"/>
          <w:szCs w:val="22"/>
        </w:rPr>
        <w:t>relicitação</w:t>
      </w:r>
      <w:proofErr w:type="spellEnd"/>
      <w:r w:rsidRPr="002E2B5B">
        <w:rPr>
          <w:rFonts w:ascii="Calibri" w:hAnsi="Calibri" w:cs="Calibri"/>
          <w:sz w:val="22"/>
          <w:szCs w:val="22"/>
        </w:rPr>
        <w:t xml:space="preserve"> de trechos ferroviários previstos pela Lei nº 13.448/2017 </w:t>
      </w:r>
      <w:r w:rsidRPr="00997E85">
        <w:rPr>
          <w:rFonts w:ascii="Calibri" w:hAnsi="Calibri" w:cs="Calibri"/>
          <w:sz w:val="22"/>
          <w:szCs w:val="22"/>
        </w:rPr>
        <w:t>e a possibilidade de aprovação do PLS 261/2018, que trata das autorizações ferroviárias privadas.</w:t>
      </w:r>
    </w:p>
    <w:p w14:paraId="179F55D8" w14:textId="2CCED7C8" w:rsidR="00E610EF" w:rsidRDefault="00E610EF" w:rsidP="00E610EF">
      <w:pPr>
        <w:rPr>
          <w:rFonts w:ascii="Calibri" w:hAnsi="Calibri" w:cs="Calibri"/>
          <w:b/>
          <w:bCs/>
          <w:sz w:val="22"/>
          <w:szCs w:val="22"/>
          <w:u w:val="single"/>
        </w:rPr>
      </w:pPr>
      <w:r w:rsidRPr="00E610EF">
        <w:rPr>
          <w:rFonts w:ascii="Calibri" w:hAnsi="Calibri" w:cs="Calibri"/>
          <w:b/>
          <w:bCs/>
          <w:sz w:val="22"/>
          <w:szCs w:val="22"/>
          <w:u w:val="single"/>
        </w:rPr>
        <w:t>Incorporação da Empresa de Planejamento e Logística</w:t>
      </w:r>
      <w:r>
        <w:rPr>
          <w:rFonts w:ascii="Calibri" w:hAnsi="Calibri" w:cs="Calibri"/>
          <w:b/>
          <w:bCs/>
          <w:sz w:val="22"/>
          <w:szCs w:val="22"/>
          <w:u w:val="single"/>
        </w:rPr>
        <w:t xml:space="preserve"> </w:t>
      </w:r>
      <w:r w:rsidR="001E1E51">
        <w:rPr>
          <w:rFonts w:ascii="Calibri" w:hAnsi="Calibri" w:cs="Calibri"/>
          <w:b/>
          <w:bCs/>
          <w:sz w:val="22"/>
          <w:szCs w:val="22"/>
          <w:u w:val="single"/>
        </w:rPr>
        <w:t>S.A</w:t>
      </w:r>
    </w:p>
    <w:p w14:paraId="28289EAA" w14:textId="395BA19F" w:rsidR="00E610EF" w:rsidRDefault="00E610EF" w:rsidP="00E610EF">
      <w:pPr>
        <w:rPr>
          <w:rFonts w:ascii="Calibri" w:hAnsi="Calibri" w:cs="Calibri"/>
          <w:b/>
          <w:bCs/>
          <w:sz w:val="22"/>
          <w:szCs w:val="22"/>
          <w:u w:val="single"/>
        </w:rPr>
      </w:pPr>
    </w:p>
    <w:p w14:paraId="0B541DA4" w14:textId="20C2079B" w:rsidR="00E610EF" w:rsidRPr="00174A5A" w:rsidRDefault="00174A5A" w:rsidP="001E1E51">
      <w:pPr>
        <w:jc w:val="both"/>
        <w:rPr>
          <w:rFonts w:ascii="Calibri" w:hAnsi="Calibri" w:cs="Calibri"/>
          <w:sz w:val="22"/>
          <w:szCs w:val="22"/>
          <w:shd w:val="clear" w:color="auto" w:fill="FFFFFF"/>
        </w:rPr>
      </w:pPr>
      <w:r>
        <w:rPr>
          <w:rFonts w:ascii="Calibri" w:hAnsi="Calibri" w:cs="Calibri"/>
          <w:sz w:val="22"/>
          <w:szCs w:val="22"/>
          <w:shd w:val="clear" w:color="auto" w:fill="FFFFFF"/>
        </w:rPr>
        <w:t xml:space="preserve">Em 24 de maio de 2022, foi autorizada, por meio do </w:t>
      </w:r>
      <w:r w:rsidRPr="00174A5A">
        <w:rPr>
          <w:rFonts w:ascii="Calibri" w:hAnsi="Calibri" w:cs="Calibri"/>
          <w:sz w:val="22"/>
          <w:szCs w:val="22"/>
          <w:shd w:val="clear" w:color="auto" w:fill="FFFFFF"/>
        </w:rPr>
        <w:t>Decreto 11.081</w:t>
      </w:r>
      <w:r>
        <w:rPr>
          <w:rFonts w:ascii="Calibri" w:hAnsi="Calibri" w:cs="Calibri"/>
          <w:sz w:val="22"/>
          <w:szCs w:val="22"/>
          <w:shd w:val="clear" w:color="auto" w:fill="FFFFFF"/>
        </w:rPr>
        <w:t>/</w:t>
      </w:r>
      <w:r w:rsidR="001E1E51">
        <w:rPr>
          <w:rFonts w:ascii="Calibri" w:hAnsi="Calibri" w:cs="Calibri"/>
          <w:sz w:val="22"/>
          <w:szCs w:val="22"/>
          <w:shd w:val="clear" w:color="auto" w:fill="FFFFFF"/>
        </w:rPr>
        <w:t>20</w:t>
      </w:r>
      <w:r w:rsidRPr="00174A5A">
        <w:rPr>
          <w:rFonts w:ascii="Calibri" w:hAnsi="Calibri" w:cs="Calibri"/>
          <w:sz w:val="22"/>
          <w:szCs w:val="22"/>
          <w:shd w:val="clear" w:color="auto" w:fill="FFFFFF"/>
        </w:rPr>
        <w:t>22</w:t>
      </w:r>
      <w:r>
        <w:rPr>
          <w:rFonts w:ascii="Calibri" w:hAnsi="Calibri" w:cs="Calibri"/>
          <w:sz w:val="22"/>
          <w:szCs w:val="22"/>
          <w:shd w:val="clear" w:color="auto" w:fill="FFFFFF"/>
        </w:rPr>
        <w:t xml:space="preserve">, </w:t>
      </w:r>
      <w:r w:rsidRPr="00174A5A">
        <w:rPr>
          <w:rFonts w:ascii="Calibri" w:hAnsi="Calibri" w:cs="Calibri"/>
          <w:sz w:val="22"/>
          <w:szCs w:val="22"/>
          <w:shd w:val="clear" w:color="auto" w:fill="FFFFFF"/>
        </w:rPr>
        <w:t xml:space="preserve">a incorporação da Empresa de Planejamento e Logística S.A. - EPL pela </w:t>
      </w:r>
      <w:r w:rsidR="001E1E51">
        <w:rPr>
          <w:rFonts w:ascii="Calibri" w:hAnsi="Calibri" w:cs="Calibri"/>
          <w:sz w:val="22"/>
          <w:szCs w:val="22"/>
          <w:shd w:val="clear" w:color="auto" w:fill="FFFFFF"/>
        </w:rPr>
        <w:t>VALEC. As providências necessárias à efetivação da referida incorporação estão sendo adotadas pel</w:t>
      </w:r>
      <w:r w:rsidR="001E1E51" w:rsidRPr="00174A5A">
        <w:rPr>
          <w:rFonts w:ascii="Calibri" w:hAnsi="Calibri" w:cs="Calibri"/>
          <w:sz w:val="22"/>
          <w:szCs w:val="22"/>
          <w:shd w:val="clear" w:color="auto" w:fill="FFFFFF"/>
        </w:rPr>
        <w:t xml:space="preserve">os administradores da EPL e da </w:t>
      </w:r>
      <w:r w:rsidR="001E1E51">
        <w:rPr>
          <w:rFonts w:ascii="Calibri" w:hAnsi="Calibri" w:cs="Calibri"/>
          <w:sz w:val="22"/>
          <w:szCs w:val="22"/>
          <w:shd w:val="clear" w:color="auto" w:fill="FFFFFF"/>
        </w:rPr>
        <w:t xml:space="preserve">VALEC. A </w:t>
      </w:r>
      <w:r w:rsidR="00D24881">
        <w:rPr>
          <w:rFonts w:ascii="Calibri" w:hAnsi="Calibri" w:cs="Calibri"/>
          <w:sz w:val="22"/>
          <w:szCs w:val="22"/>
          <w:shd w:val="clear" w:color="auto" w:fill="FFFFFF"/>
        </w:rPr>
        <w:t xml:space="preserve">Assembleia Geral Extraordinária que analisará a matéria </w:t>
      </w:r>
      <w:r w:rsidR="001E1E51">
        <w:rPr>
          <w:rFonts w:ascii="Calibri" w:hAnsi="Calibri" w:cs="Calibri"/>
          <w:sz w:val="22"/>
          <w:szCs w:val="22"/>
          <w:shd w:val="clear" w:color="auto" w:fill="FFFFFF"/>
        </w:rPr>
        <w:t>está prevista para 30 de setembro de 2022.</w:t>
      </w:r>
      <w:r w:rsidRPr="00174A5A">
        <w:rPr>
          <w:rFonts w:ascii="Calibri" w:hAnsi="Calibri" w:cs="Calibri"/>
          <w:sz w:val="22"/>
          <w:szCs w:val="22"/>
          <w:shd w:val="clear" w:color="auto" w:fill="FFFFFF"/>
        </w:rPr>
        <w:t xml:space="preserve">  </w:t>
      </w:r>
    </w:p>
    <w:p w14:paraId="26D759AE" w14:textId="77777777" w:rsidR="00E610EF" w:rsidRPr="00E610EF" w:rsidRDefault="00E610EF" w:rsidP="00E610EF">
      <w:pPr>
        <w:rPr>
          <w:lang w:eastAsia="en-US"/>
        </w:rPr>
      </w:pPr>
    </w:p>
    <w:p w14:paraId="68D29291" w14:textId="77777777" w:rsidR="000951E8" w:rsidRPr="002E2B5B" w:rsidRDefault="000951E8" w:rsidP="00937ED9">
      <w:pPr>
        <w:pStyle w:val="NormalWeb"/>
        <w:spacing w:before="0" w:beforeAutospacing="0" w:after="120" w:afterAutospacing="0"/>
        <w:jc w:val="both"/>
        <w:rPr>
          <w:rFonts w:ascii="Calibri" w:hAnsi="Calibri" w:cs="Calibri"/>
          <w:b/>
          <w:bCs/>
          <w:sz w:val="22"/>
          <w:szCs w:val="22"/>
          <w:u w:val="single"/>
        </w:rPr>
      </w:pPr>
      <w:r w:rsidRPr="002E2B5B">
        <w:rPr>
          <w:rFonts w:ascii="Calibri" w:hAnsi="Calibri" w:cs="Calibri"/>
          <w:b/>
          <w:bCs/>
          <w:sz w:val="22"/>
          <w:szCs w:val="22"/>
          <w:u w:val="single"/>
        </w:rPr>
        <w:t>Projetos e Atividades Operacionais</w:t>
      </w:r>
    </w:p>
    <w:p w14:paraId="714DAA20" w14:textId="2AF9E031" w:rsidR="00B124A6" w:rsidRPr="002E2B5B" w:rsidRDefault="00F658CA" w:rsidP="00937ED9">
      <w:pPr>
        <w:autoSpaceDE w:val="0"/>
        <w:autoSpaceDN w:val="0"/>
        <w:adjustRightInd w:val="0"/>
        <w:spacing w:after="120"/>
        <w:jc w:val="both"/>
        <w:rPr>
          <w:rFonts w:ascii="Calibri" w:hAnsi="Calibri" w:cs="Calibri"/>
          <w:sz w:val="22"/>
          <w:szCs w:val="22"/>
          <w:shd w:val="clear" w:color="auto" w:fill="FFFFFF"/>
        </w:rPr>
      </w:pPr>
      <w:r w:rsidRPr="002E2B5B">
        <w:rPr>
          <w:rFonts w:ascii="Calibri" w:hAnsi="Calibri" w:cs="Calibri"/>
          <w:sz w:val="22"/>
          <w:szCs w:val="22"/>
        </w:rPr>
        <w:t xml:space="preserve">A VALEC atua como principal catalisador do modo ferroviário nacional, responsável por projetos em grande parte do País, como a construção da Ferrovia Norte-Sul e da Ferrovia de Integração Leste-Oeste, além de projetos como: Corredor Ferroviário de Santa Catarina – EF 280, </w:t>
      </w:r>
      <w:r w:rsidRPr="002E2B5B">
        <w:rPr>
          <w:rFonts w:ascii="Calibri" w:hAnsi="Calibri" w:cs="Calibri"/>
          <w:sz w:val="22"/>
          <w:szCs w:val="22"/>
          <w:shd w:val="clear" w:color="auto" w:fill="FFFFFF"/>
        </w:rPr>
        <w:t>Ferrovia do Pantanal – EF 267 e Ferrovia Integração Centro-Oeste – EF 354.</w:t>
      </w:r>
      <w:r w:rsidR="00B124A6" w:rsidRPr="002E2B5B">
        <w:rPr>
          <w:rFonts w:ascii="Calibri" w:hAnsi="Calibri" w:cs="Calibri"/>
          <w:sz w:val="22"/>
          <w:szCs w:val="22"/>
          <w:shd w:val="clear" w:color="auto" w:fill="FFFFFF"/>
        </w:rPr>
        <w:t xml:space="preserve"> </w:t>
      </w:r>
    </w:p>
    <w:p w14:paraId="4B848B94" w14:textId="77777777" w:rsidR="00F658CA" w:rsidRPr="002E2B5B" w:rsidRDefault="00F658CA" w:rsidP="00937ED9">
      <w:pPr>
        <w:autoSpaceDE w:val="0"/>
        <w:autoSpaceDN w:val="0"/>
        <w:adjustRightInd w:val="0"/>
        <w:spacing w:after="120"/>
        <w:jc w:val="both"/>
        <w:rPr>
          <w:rFonts w:ascii="Calibri" w:hAnsi="Calibri" w:cs="Calibri"/>
          <w:b/>
          <w:sz w:val="22"/>
          <w:szCs w:val="22"/>
        </w:rPr>
      </w:pPr>
      <w:r w:rsidRPr="002E2B5B">
        <w:rPr>
          <w:rFonts w:ascii="Calibri" w:hAnsi="Calibri" w:cs="Calibri"/>
          <w:b/>
          <w:sz w:val="22"/>
          <w:szCs w:val="22"/>
        </w:rPr>
        <w:t>I - FERROVIA NORTE-SUL - FNS – EF 151</w:t>
      </w:r>
    </w:p>
    <w:p w14:paraId="1C20A585" w14:textId="214AD834" w:rsidR="009165D8" w:rsidRPr="002E2B5B" w:rsidRDefault="00F658CA" w:rsidP="00937ED9">
      <w:pPr>
        <w:pStyle w:val="NormalWeb"/>
        <w:spacing w:before="0" w:beforeAutospacing="0" w:after="120" w:afterAutospacing="0"/>
        <w:jc w:val="both"/>
        <w:rPr>
          <w:rFonts w:ascii="Calibri" w:hAnsi="Calibri" w:cs="Calibri"/>
          <w:sz w:val="22"/>
          <w:szCs w:val="22"/>
        </w:rPr>
      </w:pPr>
      <w:r w:rsidRPr="002E2B5B">
        <w:rPr>
          <w:rFonts w:ascii="Calibri" w:hAnsi="Calibri" w:cs="Calibri"/>
          <w:sz w:val="22"/>
          <w:szCs w:val="22"/>
        </w:rPr>
        <w:t>Constitui como eixo estruturador do Sistema Ferroviário Nacional: estabelecendo alternativas mais econômicas para os fluxos de carga para o mercado consumidor; induzindo a ocupação econômica do cerrado brasileiro; favorecendo a multimodalidade de transportes; conectando a malha ferroviária brasileira; promovendo uma logística exportadora competitiva, de modo a possibilitar o acesso a portos de grande capacidade; incentivando investimentos, que irão incrementar a produção, induzir processos produtivos modernos e promover a industrialização.</w:t>
      </w:r>
    </w:p>
    <w:p w14:paraId="33FE8524" w14:textId="4F551503" w:rsidR="009165D8" w:rsidRPr="002E2B5B" w:rsidRDefault="00F658CA" w:rsidP="00937ED9">
      <w:pPr>
        <w:pStyle w:val="NormalWeb"/>
        <w:spacing w:before="0" w:beforeAutospacing="0" w:after="120" w:afterAutospacing="0"/>
        <w:jc w:val="both"/>
        <w:rPr>
          <w:rFonts w:ascii="Calibri" w:hAnsi="Calibri" w:cs="Calibri"/>
          <w:sz w:val="22"/>
          <w:szCs w:val="22"/>
        </w:rPr>
      </w:pPr>
      <w:r w:rsidRPr="002E2B5B">
        <w:rPr>
          <w:rFonts w:ascii="Calibri" w:hAnsi="Calibri" w:cs="Calibri"/>
          <w:sz w:val="22"/>
          <w:szCs w:val="22"/>
        </w:rPr>
        <w:t xml:space="preserve">A outorga estabelecendo o direito de construção, uso e gozo da FNS EF – 151 se deu inicialmente por meio do Decreto nº 94.813, de 01º de setembro de 1987, posteriormente alterado pelas Leis nº 11.297, de 09 de maio de 2006, e nº 11.772, de 17 de setembro de 2008. </w:t>
      </w:r>
    </w:p>
    <w:p w14:paraId="1B87C1FF" w14:textId="0E13F0EE" w:rsidR="009165D8" w:rsidRPr="002E2B5B" w:rsidRDefault="00F658CA" w:rsidP="00937ED9">
      <w:pPr>
        <w:pStyle w:val="NormalWeb"/>
        <w:spacing w:before="0" w:beforeAutospacing="0" w:after="120" w:afterAutospacing="0"/>
        <w:jc w:val="both"/>
        <w:rPr>
          <w:rFonts w:ascii="Calibri" w:hAnsi="Calibri" w:cs="Calibri"/>
          <w:sz w:val="22"/>
          <w:szCs w:val="22"/>
        </w:rPr>
      </w:pPr>
      <w:r w:rsidRPr="002E2B5B">
        <w:rPr>
          <w:rFonts w:ascii="Calibri" w:hAnsi="Calibri" w:cs="Calibri"/>
          <w:sz w:val="22"/>
          <w:szCs w:val="22"/>
        </w:rPr>
        <w:t>Em virtude de sua extensão e da disponibilidade orçamentária, a construção da FNS foi realizada em etapas que constituem os seguintes trechos/</w:t>
      </w:r>
      <w:proofErr w:type="spellStart"/>
      <w:r w:rsidRPr="002E2B5B">
        <w:rPr>
          <w:rFonts w:ascii="Calibri" w:hAnsi="Calibri" w:cs="Calibri"/>
          <w:sz w:val="22"/>
          <w:szCs w:val="22"/>
        </w:rPr>
        <w:t>tramos</w:t>
      </w:r>
      <w:proofErr w:type="spellEnd"/>
      <w:r w:rsidRPr="002E2B5B">
        <w:rPr>
          <w:rFonts w:ascii="Calibri" w:hAnsi="Calibri" w:cs="Calibri"/>
          <w:sz w:val="22"/>
          <w:szCs w:val="22"/>
        </w:rPr>
        <w:t xml:space="preserve">: Tramo Norte </w:t>
      </w:r>
      <w:r w:rsidR="00040BCF" w:rsidRPr="002E2B5B">
        <w:rPr>
          <w:rFonts w:ascii="Calibri" w:hAnsi="Calibri" w:cs="Calibri"/>
          <w:sz w:val="22"/>
          <w:szCs w:val="22"/>
        </w:rPr>
        <w:t>(</w:t>
      </w:r>
      <w:r w:rsidRPr="002E2B5B">
        <w:rPr>
          <w:rFonts w:ascii="Calibri" w:hAnsi="Calibri" w:cs="Calibri"/>
          <w:sz w:val="22"/>
          <w:szCs w:val="22"/>
        </w:rPr>
        <w:t>Açailândia/MA – Porto Nacional/TO</w:t>
      </w:r>
      <w:r w:rsidR="00040BCF" w:rsidRPr="002E2B5B">
        <w:rPr>
          <w:rFonts w:ascii="Calibri" w:hAnsi="Calibri" w:cs="Calibri"/>
          <w:sz w:val="22"/>
          <w:szCs w:val="22"/>
        </w:rPr>
        <w:t>)</w:t>
      </w:r>
      <w:r w:rsidRPr="002E2B5B">
        <w:rPr>
          <w:rFonts w:ascii="Calibri" w:hAnsi="Calibri" w:cs="Calibri"/>
          <w:sz w:val="22"/>
          <w:szCs w:val="22"/>
        </w:rPr>
        <w:t xml:space="preserve">; Tramo Central: </w:t>
      </w:r>
      <w:r w:rsidR="00040BCF" w:rsidRPr="002E2B5B">
        <w:rPr>
          <w:rFonts w:ascii="Calibri" w:hAnsi="Calibri" w:cs="Calibri"/>
          <w:sz w:val="22"/>
          <w:szCs w:val="22"/>
        </w:rPr>
        <w:t>(</w:t>
      </w:r>
      <w:r w:rsidRPr="002E2B5B">
        <w:rPr>
          <w:rFonts w:ascii="Calibri" w:hAnsi="Calibri" w:cs="Calibri"/>
          <w:sz w:val="22"/>
          <w:szCs w:val="22"/>
        </w:rPr>
        <w:t xml:space="preserve">Porto </w:t>
      </w:r>
      <w:r w:rsidRPr="002E2B5B">
        <w:rPr>
          <w:rFonts w:ascii="Calibri" w:hAnsi="Calibri" w:cs="Calibri"/>
          <w:sz w:val="22"/>
          <w:szCs w:val="22"/>
        </w:rPr>
        <w:lastRenderedPageBreak/>
        <w:t xml:space="preserve">Nacional/TO – </w:t>
      </w:r>
      <w:r w:rsidR="00040BCF" w:rsidRPr="002E2B5B">
        <w:rPr>
          <w:rFonts w:ascii="Calibri" w:hAnsi="Calibri" w:cs="Calibri"/>
          <w:sz w:val="22"/>
          <w:szCs w:val="22"/>
        </w:rPr>
        <w:t>Uruaçu/GO)</w:t>
      </w:r>
      <w:r w:rsidRPr="002E2B5B">
        <w:rPr>
          <w:rFonts w:ascii="Calibri" w:hAnsi="Calibri" w:cs="Calibri"/>
          <w:sz w:val="22"/>
          <w:szCs w:val="22"/>
        </w:rPr>
        <w:t>; Tramo Sul</w:t>
      </w:r>
      <w:r w:rsidR="00040BCF" w:rsidRPr="002E2B5B">
        <w:rPr>
          <w:rFonts w:ascii="Calibri" w:hAnsi="Calibri" w:cs="Calibri"/>
          <w:sz w:val="22"/>
          <w:szCs w:val="22"/>
        </w:rPr>
        <w:t xml:space="preserve"> (Uruaçu/GO - Anápolis/GO); e </w:t>
      </w:r>
      <w:r w:rsidRPr="002E2B5B">
        <w:rPr>
          <w:rFonts w:ascii="Calibri" w:hAnsi="Calibri" w:cs="Calibri"/>
          <w:sz w:val="22"/>
          <w:szCs w:val="22"/>
        </w:rPr>
        <w:t xml:space="preserve">Extensão Sul </w:t>
      </w:r>
      <w:r w:rsidR="00040BCF" w:rsidRPr="002E2B5B">
        <w:rPr>
          <w:rFonts w:ascii="Calibri" w:hAnsi="Calibri" w:cs="Calibri"/>
          <w:sz w:val="22"/>
          <w:szCs w:val="22"/>
        </w:rPr>
        <w:t>(</w:t>
      </w:r>
      <w:r w:rsidRPr="002E2B5B">
        <w:rPr>
          <w:rFonts w:ascii="Calibri" w:hAnsi="Calibri" w:cs="Calibri"/>
          <w:sz w:val="22"/>
          <w:szCs w:val="22"/>
        </w:rPr>
        <w:t>Ouro Verde/GO – Estrela d’Oeste/SP</w:t>
      </w:r>
      <w:r w:rsidR="00040BCF" w:rsidRPr="002E2B5B">
        <w:rPr>
          <w:rFonts w:ascii="Calibri" w:hAnsi="Calibri" w:cs="Calibri"/>
          <w:sz w:val="22"/>
          <w:szCs w:val="22"/>
        </w:rPr>
        <w:t>)</w:t>
      </w:r>
      <w:r w:rsidRPr="002E2B5B">
        <w:rPr>
          <w:rFonts w:ascii="Calibri" w:hAnsi="Calibri" w:cs="Calibri"/>
          <w:sz w:val="22"/>
          <w:szCs w:val="22"/>
        </w:rPr>
        <w:t>.</w:t>
      </w:r>
    </w:p>
    <w:p w14:paraId="60F839DC" w14:textId="2E0E8FF6" w:rsidR="009165D8" w:rsidRPr="002E2B5B" w:rsidRDefault="00F658CA" w:rsidP="00937ED9">
      <w:pPr>
        <w:pStyle w:val="NormalWeb"/>
        <w:spacing w:before="0" w:beforeAutospacing="0" w:after="120" w:afterAutospacing="0"/>
        <w:jc w:val="both"/>
        <w:rPr>
          <w:rFonts w:ascii="Calibri" w:hAnsi="Calibri" w:cs="Calibri"/>
          <w:sz w:val="22"/>
          <w:szCs w:val="22"/>
        </w:rPr>
      </w:pPr>
      <w:r w:rsidRPr="002E2B5B">
        <w:rPr>
          <w:rFonts w:ascii="Calibri" w:hAnsi="Calibri" w:cs="Calibri"/>
          <w:sz w:val="22"/>
          <w:szCs w:val="22"/>
        </w:rPr>
        <w:t xml:space="preserve">O </w:t>
      </w:r>
      <w:r w:rsidR="00040BCF" w:rsidRPr="002E2B5B">
        <w:rPr>
          <w:rFonts w:ascii="Calibri" w:hAnsi="Calibri" w:cs="Calibri"/>
          <w:sz w:val="22"/>
          <w:szCs w:val="22"/>
        </w:rPr>
        <w:t>T</w:t>
      </w:r>
      <w:r w:rsidRPr="002E2B5B">
        <w:rPr>
          <w:rFonts w:ascii="Calibri" w:hAnsi="Calibri" w:cs="Calibri"/>
          <w:sz w:val="22"/>
          <w:szCs w:val="22"/>
        </w:rPr>
        <w:t xml:space="preserve">recho </w:t>
      </w:r>
      <w:r w:rsidR="00040BCF" w:rsidRPr="002E2B5B">
        <w:rPr>
          <w:rFonts w:ascii="Calibri" w:hAnsi="Calibri" w:cs="Calibri"/>
          <w:sz w:val="22"/>
          <w:szCs w:val="22"/>
        </w:rPr>
        <w:t>Norte</w:t>
      </w:r>
      <w:r w:rsidRPr="002E2B5B">
        <w:rPr>
          <w:rFonts w:ascii="Calibri" w:hAnsi="Calibri" w:cs="Calibri"/>
          <w:sz w:val="22"/>
          <w:szCs w:val="22"/>
        </w:rPr>
        <w:t xml:space="preserve"> possui 720 km de extensão e encontra-se subconcedido à Ferrovia Norte Sul S.A desde dezembro de 2007</w:t>
      </w:r>
      <w:r w:rsidR="001B4261" w:rsidRPr="002E2B5B">
        <w:rPr>
          <w:rFonts w:ascii="Calibri" w:hAnsi="Calibri" w:cs="Calibri"/>
          <w:sz w:val="22"/>
          <w:szCs w:val="22"/>
        </w:rPr>
        <w:t>, pelo prazo contratual de 30 anos</w:t>
      </w:r>
      <w:r w:rsidRPr="002E2B5B">
        <w:rPr>
          <w:rFonts w:ascii="Calibri" w:hAnsi="Calibri" w:cs="Calibri"/>
          <w:sz w:val="22"/>
          <w:szCs w:val="22"/>
        </w:rPr>
        <w:t xml:space="preserve">. Esse trecho teve sua autorização para tráfego em 19 de janeiro de 2011, por meio da Resolução nº 3624/2011 da Agência Nacional de Transportes Terrestres </w:t>
      </w:r>
      <w:r w:rsidR="00040BCF" w:rsidRPr="002E2B5B">
        <w:rPr>
          <w:rFonts w:ascii="Calibri" w:hAnsi="Calibri" w:cs="Calibri"/>
          <w:sz w:val="22"/>
          <w:szCs w:val="22"/>
        </w:rPr>
        <w:t>(</w:t>
      </w:r>
      <w:r w:rsidRPr="002E2B5B">
        <w:rPr>
          <w:rFonts w:ascii="Calibri" w:hAnsi="Calibri" w:cs="Calibri"/>
          <w:sz w:val="22"/>
          <w:szCs w:val="22"/>
        </w:rPr>
        <w:t>ANTT</w:t>
      </w:r>
      <w:r w:rsidR="00040BCF" w:rsidRPr="002E2B5B">
        <w:rPr>
          <w:rFonts w:ascii="Calibri" w:hAnsi="Calibri" w:cs="Calibri"/>
          <w:sz w:val="22"/>
          <w:szCs w:val="22"/>
        </w:rPr>
        <w:t>)</w:t>
      </w:r>
      <w:r w:rsidRPr="002E2B5B">
        <w:rPr>
          <w:rFonts w:ascii="Calibri" w:hAnsi="Calibri" w:cs="Calibri"/>
          <w:sz w:val="22"/>
          <w:szCs w:val="22"/>
        </w:rPr>
        <w:t>.</w:t>
      </w:r>
    </w:p>
    <w:p w14:paraId="2AC1751B" w14:textId="7FB59E5D" w:rsidR="00D4582D" w:rsidRPr="00997E85" w:rsidRDefault="00F658CA" w:rsidP="00937ED9">
      <w:pPr>
        <w:pStyle w:val="NormalWeb"/>
        <w:spacing w:before="0" w:beforeAutospacing="0" w:after="120" w:afterAutospacing="0"/>
        <w:jc w:val="both"/>
        <w:rPr>
          <w:rFonts w:ascii="Calibri" w:hAnsi="Calibri" w:cs="Calibri"/>
          <w:sz w:val="22"/>
          <w:szCs w:val="22"/>
        </w:rPr>
      </w:pPr>
      <w:r w:rsidRPr="002E2B5B">
        <w:rPr>
          <w:rFonts w:ascii="Calibri" w:hAnsi="Calibri" w:cs="Calibri"/>
          <w:sz w:val="22"/>
          <w:szCs w:val="22"/>
        </w:rPr>
        <w:t xml:space="preserve">Com um total de 1.537 km, o trecho que compreende Porto Nacional/TO a Estrela d’Oeste/SP </w:t>
      </w:r>
      <w:r w:rsidR="00E35FF8" w:rsidRPr="002E2B5B">
        <w:rPr>
          <w:rFonts w:ascii="Calibri" w:hAnsi="Calibri" w:cs="Calibri"/>
          <w:sz w:val="22"/>
          <w:szCs w:val="22"/>
        </w:rPr>
        <w:t>(</w:t>
      </w:r>
      <w:proofErr w:type="spellStart"/>
      <w:r w:rsidR="00E35FF8" w:rsidRPr="002E2B5B">
        <w:rPr>
          <w:rFonts w:ascii="Calibri" w:hAnsi="Calibri" w:cs="Calibri"/>
          <w:sz w:val="22"/>
          <w:szCs w:val="22"/>
        </w:rPr>
        <w:t>Tramos</w:t>
      </w:r>
      <w:proofErr w:type="spellEnd"/>
      <w:r w:rsidR="00E35FF8" w:rsidRPr="002E2B5B">
        <w:rPr>
          <w:rFonts w:ascii="Calibri" w:hAnsi="Calibri" w:cs="Calibri"/>
          <w:sz w:val="22"/>
          <w:szCs w:val="22"/>
        </w:rPr>
        <w:t xml:space="preserve"> Central, Sul e Extensão Sul) </w:t>
      </w:r>
      <w:r w:rsidRPr="002E2B5B">
        <w:rPr>
          <w:rFonts w:ascii="Calibri" w:hAnsi="Calibri" w:cs="Calibri"/>
          <w:sz w:val="22"/>
          <w:szCs w:val="22"/>
        </w:rPr>
        <w:t xml:space="preserve">foi leiloado para Subconcessão em 28 de março de 2019. Em 30 de abril de 2019, a Agência Nacional de Transportes Terrestres – ANTT homologou o resultado do leilão, no qual consagrou-se vencedora a empresa Rumo Malha Central S.A e o contrato foi assinado em 31 de julho de 2019, por intermédio da ANTT, tendo como Concessionária e Interveniente Subconcedente a VALEC. O contrato de subconcessão tem por objeto a prestação do serviço público de transporte ferroviário de cargas associado à exploração da infraestrutura da malha ferroviária </w:t>
      </w:r>
      <w:r w:rsidRPr="00997E85">
        <w:rPr>
          <w:rFonts w:ascii="Calibri" w:hAnsi="Calibri" w:cs="Calibri"/>
          <w:sz w:val="22"/>
          <w:szCs w:val="22"/>
        </w:rPr>
        <w:t>situada entre Porto Nacional/TO e Estrela d´Oeste/SP, com vigência de 30 (trinta) anos.</w:t>
      </w:r>
    </w:p>
    <w:p w14:paraId="74B42D40" w14:textId="1E608882" w:rsidR="00D52821" w:rsidRPr="002E2B5B" w:rsidRDefault="00F658CA" w:rsidP="00937ED9">
      <w:pPr>
        <w:pStyle w:val="NormalWeb"/>
        <w:spacing w:before="0" w:beforeAutospacing="0" w:after="120" w:afterAutospacing="0"/>
        <w:jc w:val="both"/>
        <w:rPr>
          <w:rFonts w:ascii="Calibri" w:hAnsi="Calibri" w:cs="Calibri"/>
          <w:sz w:val="22"/>
          <w:szCs w:val="22"/>
        </w:rPr>
      </w:pPr>
      <w:r w:rsidRPr="00997E85">
        <w:rPr>
          <w:rFonts w:ascii="Calibri" w:hAnsi="Calibri" w:cs="Calibri"/>
          <w:sz w:val="22"/>
          <w:szCs w:val="22"/>
        </w:rPr>
        <w:t xml:space="preserve">Os contratos de subconcessão da Ferrovia Norte-Sul e seus reflexos contábeis estão divulgados </w:t>
      </w:r>
      <w:r w:rsidRPr="00B23D01">
        <w:rPr>
          <w:rFonts w:ascii="Calibri" w:hAnsi="Calibri" w:cs="Calibri"/>
          <w:sz w:val="22"/>
          <w:szCs w:val="22"/>
        </w:rPr>
        <w:t>na</w:t>
      </w:r>
      <w:r w:rsidR="001B4261" w:rsidRPr="00B23D01">
        <w:rPr>
          <w:rFonts w:ascii="Calibri" w:hAnsi="Calibri" w:cs="Calibri"/>
          <w:sz w:val="22"/>
          <w:szCs w:val="22"/>
        </w:rPr>
        <w:t>s</w:t>
      </w:r>
      <w:r w:rsidRPr="00B23D01">
        <w:rPr>
          <w:rFonts w:ascii="Calibri" w:hAnsi="Calibri" w:cs="Calibri"/>
          <w:sz w:val="22"/>
          <w:szCs w:val="22"/>
        </w:rPr>
        <w:t xml:space="preserve"> Nota</w:t>
      </w:r>
      <w:r w:rsidR="001B4261" w:rsidRPr="00B23D01">
        <w:rPr>
          <w:rFonts w:ascii="Calibri" w:hAnsi="Calibri" w:cs="Calibri"/>
          <w:sz w:val="22"/>
          <w:szCs w:val="22"/>
        </w:rPr>
        <w:t>s</w:t>
      </w:r>
      <w:r w:rsidR="00E71DE6" w:rsidRPr="00B23D01">
        <w:rPr>
          <w:rFonts w:ascii="Calibri" w:hAnsi="Calibri" w:cs="Calibri"/>
          <w:sz w:val="22"/>
          <w:szCs w:val="22"/>
        </w:rPr>
        <w:t xml:space="preserve"> </w:t>
      </w:r>
      <w:r w:rsidR="00997E85" w:rsidRPr="00B23D01">
        <w:rPr>
          <w:rFonts w:ascii="Calibri" w:hAnsi="Calibri" w:cs="Calibri"/>
          <w:sz w:val="22"/>
          <w:szCs w:val="22"/>
        </w:rPr>
        <w:t>8</w:t>
      </w:r>
      <w:r w:rsidR="001B4261" w:rsidRPr="00B23D01">
        <w:rPr>
          <w:rFonts w:ascii="Calibri" w:hAnsi="Calibri" w:cs="Calibri"/>
          <w:sz w:val="22"/>
          <w:szCs w:val="22"/>
        </w:rPr>
        <w:t>.</w:t>
      </w:r>
    </w:p>
    <w:p w14:paraId="2EF395BE" w14:textId="3F38F6AC" w:rsidR="00F658CA" w:rsidRPr="002E2B5B" w:rsidRDefault="00F658CA" w:rsidP="00937ED9">
      <w:pPr>
        <w:autoSpaceDE w:val="0"/>
        <w:autoSpaceDN w:val="0"/>
        <w:adjustRightInd w:val="0"/>
        <w:spacing w:after="120"/>
        <w:jc w:val="both"/>
        <w:rPr>
          <w:rFonts w:ascii="Calibri" w:hAnsi="Calibri" w:cs="Calibri"/>
          <w:b/>
          <w:sz w:val="22"/>
          <w:szCs w:val="22"/>
        </w:rPr>
      </w:pPr>
      <w:r w:rsidRPr="002E2B5B">
        <w:rPr>
          <w:rFonts w:ascii="Calibri" w:hAnsi="Calibri" w:cs="Calibri"/>
          <w:b/>
          <w:sz w:val="22"/>
          <w:szCs w:val="22"/>
        </w:rPr>
        <w:t>II - FERROVIA DE INTEGRAÇÃO OESTE LESTE - FIOL – EF 334</w:t>
      </w:r>
    </w:p>
    <w:p w14:paraId="52B20FE7" w14:textId="6DCA8B32" w:rsidR="009165D8" w:rsidRPr="002E2B5B" w:rsidRDefault="00F658CA" w:rsidP="00937ED9">
      <w:pPr>
        <w:pStyle w:val="NormalWeb"/>
        <w:spacing w:before="0" w:beforeAutospacing="0" w:after="120" w:afterAutospacing="0"/>
        <w:jc w:val="both"/>
        <w:rPr>
          <w:rFonts w:ascii="Calibri" w:hAnsi="Calibri" w:cs="Calibri"/>
          <w:sz w:val="22"/>
          <w:szCs w:val="22"/>
        </w:rPr>
      </w:pPr>
      <w:r w:rsidRPr="002E2B5B">
        <w:rPr>
          <w:rFonts w:ascii="Calibri" w:hAnsi="Calibri" w:cs="Calibri"/>
          <w:sz w:val="22"/>
          <w:szCs w:val="22"/>
        </w:rPr>
        <w:t xml:space="preserve">Com aproximadamente 1.527 km de extensão, ligará o futuro </w:t>
      </w:r>
      <w:r w:rsidR="001B4261" w:rsidRPr="002E2B5B">
        <w:rPr>
          <w:rFonts w:ascii="Calibri" w:hAnsi="Calibri" w:cs="Calibri"/>
          <w:sz w:val="22"/>
          <w:szCs w:val="22"/>
        </w:rPr>
        <w:t>P</w:t>
      </w:r>
      <w:r w:rsidRPr="002E2B5B">
        <w:rPr>
          <w:rFonts w:ascii="Calibri" w:hAnsi="Calibri" w:cs="Calibri"/>
          <w:sz w:val="22"/>
          <w:szCs w:val="22"/>
        </w:rPr>
        <w:t xml:space="preserve">orto de Ilhéus/BA a </w:t>
      </w:r>
      <w:proofErr w:type="spellStart"/>
      <w:r w:rsidRPr="002E2B5B">
        <w:rPr>
          <w:rFonts w:ascii="Calibri" w:hAnsi="Calibri" w:cs="Calibri"/>
          <w:sz w:val="22"/>
          <w:szCs w:val="22"/>
        </w:rPr>
        <w:t>Figueirópolis</w:t>
      </w:r>
      <w:proofErr w:type="spellEnd"/>
      <w:r w:rsidRPr="002E2B5B">
        <w:rPr>
          <w:rFonts w:ascii="Calibri" w:hAnsi="Calibri" w:cs="Calibri"/>
          <w:sz w:val="22"/>
          <w:szCs w:val="22"/>
        </w:rPr>
        <w:t>/TO, ponto em que se conectará com a Ferrovia Norte Sul.</w:t>
      </w:r>
    </w:p>
    <w:p w14:paraId="1EC6EB6F" w14:textId="0E4AE8FD" w:rsidR="00D4582D" w:rsidRPr="002E2B5B" w:rsidRDefault="00F658CA" w:rsidP="00937ED9">
      <w:pPr>
        <w:pStyle w:val="NormalWeb"/>
        <w:spacing w:before="0" w:beforeAutospacing="0" w:after="120" w:afterAutospacing="0"/>
        <w:jc w:val="both"/>
        <w:rPr>
          <w:rFonts w:ascii="Calibri" w:hAnsi="Calibri" w:cs="Calibri"/>
          <w:sz w:val="22"/>
          <w:szCs w:val="22"/>
        </w:rPr>
      </w:pPr>
      <w:r w:rsidRPr="002E2B5B">
        <w:rPr>
          <w:rFonts w:ascii="Calibri" w:hAnsi="Calibri" w:cs="Calibri"/>
          <w:sz w:val="22"/>
          <w:szCs w:val="22"/>
        </w:rPr>
        <w:t>A construção da FIOL tem como objetivos: estabelecer alternativas mais econômicas para os fluxos de carga de longa distância; favorecer a multimodalidade de transportes; interligar a malha ferroviária brasileira; propor nova alternativa logística para o escoamento da produção agrícola e de mineração por meio do terminal portuário de Ilhéus/BA; e incentivar investimentos a fim de incrementar a produção e induzir processos produtivos modernos.</w:t>
      </w:r>
    </w:p>
    <w:p w14:paraId="17374F13" w14:textId="6AD8F412" w:rsidR="009165D8" w:rsidRPr="002E2B5B" w:rsidRDefault="00F658CA" w:rsidP="00937ED9">
      <w:pPr>
        <w:pStyle w:val="NormalWeb"/>
        <w:spacing w:before="0" w:beforeAutospacing="0" w:after="120" w:afterAutospacing="0"/>
        <w:jc w:val="both"/>
        <w:rPr>
          <w:rFonts w:ascii="Calibri" w:hAnsi="Calibri" w:cs="Calibri"/>
          <w:sz w:val="22"/>
          <w:szCs w:val="22"/>
        </w:rPr>
      </w:pPr>
      <w:r w:rsidRPr="002E2B5B">
        <w:rPr>
          <w:rFonts w:ascii="Calibri" w:hAnsi="Calibri" w:cs="Calibri"/>
          <w:sz w:val="22"/>
          <w:szCs w:val="22"/>
        </w:rPr>
        <w:t>Devido à sua extensão e disponibilidade orçamentária, a FIOL está sendo construída em etapas e constituem os seguintes trechos: FIOL I</w:t>
      </w:r>
      <w:r w:rsidR="00EC2487" w:rsidRPr="002E2B5B">
        <w:rPr>
          <w:rFonts w:ascii="Calibri" w:hAnsi="Calibri" w:cs="Calibri"/>
          <w:sz w:val="22"/>
          <w:szCs w:val="22"/>
        </w:rPr>
        <w:t xml:space="preserve"> (</w:t>
      </w:r>
      <w:r w:rsidRPr="002E2B5B">
        <w:rPr>
          <w:rFonts w:ascii="Calibri" w:hAnsi="Calibri" w:cs="Calibri"/>
          <w:sz w:val="22"/>
          <w:szCs w:val="22"/>
        </w:rPr>
        <w:t>Ilhéus/BA – Caetité/BA</w:t>
      </w:r>
      <w:r w:rsidR="00EC2487" w:rsidRPr="002E2B5B">
        <w:rPr>
          <w:rFonts w:ascii="Calibri" w:hAnsi="Calibri" w:cs="Calibri"/>
          <w:sz w:val="22"/>
          <w:szCs w:val="22"/>
        </w:rPr>
        <w:t>)</w:t>
      </w:r>
      <w:r w:rsidRPr="002E2B5B">
        <w:rPr>
          <w:rFonts w:ascii="Calibri" w:hAnsi="Calibri" w:cs="Calibri"/>
          <w:sz w:val="22"/>
          <w:szCs w:val="22"/>
        </w:rPr>
        <w:t xml:space="preserve">; FIOL II </w:t>
      </w:r>
      <w:r w:rsidR="00EC2487" w:rsidRPr="002E2B5B">
        <w:rPr>
          <w:rFonts w:ascii="Calibri" w:hAnsi="Calibri" w:cs="Calibri"/>
          <w:sz w:val="22"/>
          <w:szCs w:val="22"/>
        </w:rPr>
        <w:t>(</w:t>
      </w:r>
      <w:r w:rsidRPr="002E2B5B">
        <w:rPr>
          <w:rFonts w:ascii="Calibri" w:hAnsi="Calibri" w:cs="Calibri"/>
          <w:sz w:val="22"/>
          <w:szCs w:val="22"/>
        </w:rPr>
        <w:t>Caetité/BA – Barreiras/BA</w:t>
      </w:r>
      <w:r w:rsidR="00EC2487" w:rsidRPr="002E2B5B">
        <w:rPr>
          <w:rFonts w:ascii="Calibri" w:hAnsi="Calibri" w:cs="Calibri"/>
          <w:sz w:val="22"/>
          <w:szCs w:val="22"/>
        </w:rPr>
        <w:t>)</w:t>
      </w:r>
      <w:r w:rsidRPr="002E2B5B">
        <w:rPr>
          <w:rFonts w:ascii="Calibri" w:hAnsi="Calibri" w:cs="Calibri"/>
          <w:sz w:val="22"/>
          <w:szCs w:val="22"/>
        </w:rPr>
        <w:t xml:space="preserve"> e FIOL III</w:t>
      </w:r>
      <w:r w:rsidR="00EC2487" w:rsidRPr="002E2B5B">
        <w:rPr>
          <w:rFonts w:ascii="Calibri" w:hAnsi="Calibri" w:cs="Calibri"/>
          <w:sz w:val="22"/>
          <w:szCs w:val="22"/>
        </w:rPr>
        <w:t xml:space="preserve"> (</w:t>
      </w:r>
      <w:r w:rsidRPr="002E2B5B">
        <w:rPr>
          <w:rFonts w:ascii="Calibri" w:hAnsi="Calibri" w:cs="Calibri"/>
          <w:sz w:val="22"/>
          <w:szCs w:val="22"/>
        </w:rPr>
        <w:t xml:space="preserve">Barreiras/BA – </w:t>
      </w:r>
      <w:proofErr w:type="spellStart"/>
      <w:r w:rsidRPr="002E2B5B">
        <w:rPr>
          <w:rFonts w:ascii="Calibri" w:hAnsi="Calibri" w:cs="Calibri"/>
          <w:sz w:val="22"/>
          <w:szCs w:val="22"/>
        </w:rPr>
        <w:t>Figueirópolis</w:t>
      </w:r>
      <w:proofErr w:type="spellEnd"/>
      <w:r w:rsidRPr="002E2B5B">
        <w:rPr>
          <w:rFonts w:ascii="Calibri" w:hAnsi="Calibri" w:cs="Calibri"/>
          <w:sz w:val="22"/>
          <w:szCs w:val="22"/>
        </w:rPr>
        <w:t>/TO</w:t>
      </w:r>
      <w:r w:rsidR="00EC2487" w:rsidRPr="002E2B5B">
        <w:rPr>
          <w:rFonts w:ascii="Calibri" w:hAnsi="Calibri" w:cs="Calibri"/>
          <w:sz w:val="22"/>
          <w:szCs w:val="22"/>
        </w:rPr>
        <w:t>)</w:t>
      </w:r>
      <w:r w:rsidRPr="002E2B5B">
        <w:rPr>
          <w:rFonts w:ascii="Calibri" w:hAnsi="Calibri" w:cs="Calibri"/>
          <w:sz w:val="22"/>
          <w:szCs w:val="22"/>
        </w:rPr>
        <w:t>.</w:t>
      </w:r>
    </w:p>
    <w:p w14:paraId="796D91A2" w14:textId="7B78ED75" w:rsidR="00A1256E" w:rsidRPr="00A1256E" w:rsidRDefault="00DA0C1E" w:rsidP="00A1256E">
      <w:pPr>
        <w:pStyle w:val="Textoembloco"/>
        <w:spacing w:after="120" w:line="240" w:lineRule="auto"/>
        <w:ind w:left="0" w:right="57"/>
        <w:rPr>
          <w:rFonts w:ascii="Calibri" w:hAnsi="Calibri" w:cs="Calibri"/>
          <w:sz w:val="22"/>
          <w:szCs w:val="22"/>
          <w:shd w:val="clear" w:color="auto" w:fill="FFFFFF"/>
        </w:rPr>
      </w:pPr>
      <w:r w:rsidRPr="002E2B5B">
        <w:rPr>
          <w:rFonts w:ascii="Calibri" w:hAnsi="Calibri" w:cs="Calibri"/>
          <w:sz w:val="22"/>
          <w:szCs w:val="22"/>
          <w:shd w:val="clear" w:color="auto" w:fill="FFFFFF"/>
        </w:rPr>
        <w:t>Em 08 de abril de 2021, ocorreu o Leilão para subconcessão do trecho ferroviário entre os municípios de Ilhéus/BA a Caetité/BA</w:t>
      </w:r>
      <w:r w:rsidR="00F8127A" w:rsidRPr="002E2B5B">
        <w:rPr>
          <w:rFonts w:ascii="Calibri" w:hAnsi="Calibri" w:cs="Calibri"/>
          <w:sz w:val="22"/>
          <w:szCs w:val="22"/>
          <w:shd w:val="clear" w:color="auto" w:fill="FFFFFF"/>
        </w:rPr>
        <w:t xml:space="preserve"> (FIOL I)</w:t>
      </w:r>
      <w:r w:rsidRPr="002E2B5B">
        <w:rPr>
          <w:rFonts w:ascii="Calibri" w:hAnsi="Calibri" w:cs="Calibri"/>
          <w:sz w:val="22"/>
          <w:szCs w:val="22"/>
          <w:shd w:val="clear" w:color="auto" w:fill="FFFFFF"/>
        </w:rPr>
        <w:t xml:space="preserve">, com 537 km de extensão. A subconcessão terá duração de 35 anos, conforme o Edital de Concorrência Internacional nº 01/2020. </w:t>
      </w:r>
      <w:r w:rsidR="00A1256E">
        <w:rPr>
          <w:rFonts w:ascii="Calibri" w:hAnsi="Calibri" w:cs="Calibri"/>
          <w:sz w:val="22"/>
          <w:szCs w:val="22"/>
          <w:shd w:val="clear" w:color="auto" w:fill="FFFFFF"/>
        </w:rPr>
        <w:t>O objeto da contratação é a Subconcessão da construção e da prestação de serviço público de transporte ferroviário de cargas associado à exploração da infraestrutura da malha ferroviária da EF-334, no trecho compreendido entre Ilhéus/BA e Caetité/BA.</w:t>
      </w:r>
    </w:p>
    <w:p w14:paraId="62309C7C" w14:textId="61F7C5D6" w:rsidR="003057AB" w:rsidRPr="002E2B5B" w:rsidRDefault="00F658CA" w:rsidP="00937ED9">
      <w:pPr>
        <w:autoSpaceDE w:val="0"/>
        <w:autoSpaceDN w:val="0"/>
        <w:adjustRightInd w:val="0"/>
        <w:spacing w:after="120"/>
        <w:jc w:val="both"/>
        <w:rPr>
          <w:rFonts w:ascii="Calibri" w:hAnsi="Calibri" w:cs="Calibri"/>
          <w:b/>
          <w:sz w:val="22"/>
          <w:szCs w:val="22"/>
          <w:shd w:val="clear" w:color="auto" w:fill="FFFFFF"/>
        </w:rPr>
      </w:pPr>
      <w:r w:rsidRPr="002E2B5B">
        <w:rPr>
          <w:rFonts w:ascii="Calibri" w:hAnsi="Calibri" w:cs="Calibri"/>
          <w:b/>
          <w:sz w:val="22"/>
          <w:szCs w:val="22"/>
          <w:shd w:val="clear" w:color="auto" w:fill="FFFFFF"/>
        </w:rPr>
        <w:t>III - ESTUDOS E PROJETOS  </w:t>
      </w:r>
    </w:p>
    <w:p w14:paraId="7DF0340F" w14:textId="3B036092" w:rsidR="00F658CA" w:rsidRPr="002E2B5B" w:rsidRDefault="00F658CA" w:rsidP="00937ED9">
      <w:pPr>
        <w:autoSpaceDE w:val="0"/>
        <w:autoSpaceDN w:val="0"/>
        <w:adjustRightInd w:val="0"/>
        <w:spacing w:after="120"/>
        <w:jc w:val="both"/>
        <w:rPr>
          <w:rFonts w:ascii="Calibri" w:hAnsi="Calibri" w:cs="Calibri"/>
          <w:sz w:val="22"/>
          <w:szCs w:val="22"/>
          <w:shd w:val="clear" w:color="auto" w:fill="FFFFFF"/>
        </w:rPr>
      </w:pPr>
      <w:r w:rsidRPr="002E2B5B">
        <w:rPr>
          <w:rFonts w:ascii="Calibri" w:hAnsi="Calibri" w:cs="Calibri"/>
          <w:sz w:val="22"/>
          <w:szCs w:val="22"/>
          <w:shd w:val="clear" w:color="auto" w:fill="FFFFFF"/>
        </w:rPr>
        <w:t>Conforme inciso III do art. 9º da Lei nº 11.772, de 17 de setembro de 2008, compete à empresa, em conformidade com as diretrizes do Ministério da Infraestrutura, desenvolver estudos e projetos de obras de infraestrutura ferroviária. Os Estudos e Projetos compreendem os Estudos de Viabilidade Técnica, Econômica e Ambiental – EVTEA, o Projeto Básico – PB e o Projeto Executivo - PE.</w:t>
      </w:r>
    </w:p>
    <w:p w14:paraId="030A1CB0" w14:textId="77777777" w:rsidR="00F658CA" w:rsidRPr="002E2B5B" w:rsidRDefault="00F658CA" w:rsidP="00937ED9">
      <w:pPr>
        <w:pStyle w:val="PargrafodaLista"/>
        <w:numPr>
          <w:ilvl w:val="0"/>
          <w:numId w:val="17"/>
        </w:numPr>
        <w:autoSpaceDE w:val="0"/>
        <w:autoSpaceDN w:val="0"/>
        <w:adjustRightInd w:val="0"/>
        <w:spacing w:after="120" w:line="259" w:lineRule="auto"/>
        <w:ind w:left="284"/>
        <w:contextualSpacing/>
        <w:jc w:val="both"/>
        <w:rPr>
          <w:rFonts w:ascii="Calibri" w:hAnsi="Calibri" w:cs="Calibri"/>
          <w:b/>
          <w:sz w:val="22"/>
        </w:rPr>
      </w:pPr>
      <w:r w:rsidRPr="002E2B5B">
        <w:rPr>
          <w:rFonts w:ascii="Calibri" w:hAnsi="Calibri" w:cs="Calibri"/>
          <w:b/>
          <w:sz w:val="22"/>
        </w:rPr>
        <w:t xml:space="preserve">Ferrovia de Integração Oeste Leste – FIOL - EF-334 </w:t>
      </w:r>
    </w:p>
    <w:p w14:paraId="35FB3B85" w14:textId="77777777" w:rsidR="000B1DB5" w:rsidRPr="002E2B5B" w:rsidRDefault="000B1DB5" w:rsidP="00937ED9">
      <w:pPr>
        <w:autoSpaceDE w:val="0"/>
        <w:autoSpaceDN w:val="0"/>
        <w:adjustRightInd w:val="0"/>
        <w:spacing w:after="120"/>
        <w:jc w:val="both"/>
        <w:rPr>
          <w:rFonts w:ascii="Calibri" w:hAnsi="Calibri" w:cs="Calibri"/>
          <w:sz w:val="22"/>
          <w:szCs w:val="22"/>
          <w:shd w:val="clear" w:color="auto" w:fill="FFFFFF"/>
        </w:rPr>
      </w:pPr>
      <w:r w:rsidRPr="002E2B5B">
        <w:rPr>
          <w:rFonts w:ascii="Calibri" w:hAnsi="Calibri" w:cs="Calibri"/>
          <w:sz w:val="22"/>
          <w:szCs w:val="22"/>
          <w:shd w:val="clear" w:color="auto" w:fill="FFFFFF"/>
        </w:rPr>
        <w:t xml:space="preserve">Os estudos de Viabilidade foram concluídos em 2008, Projeto Básico em 2011 e o Executivo em 2013, do trecho que compreende Ilhéus/BA a </w:t>
      </w:r>
      <w:proofErr w:type="spellStart"/>
      <w:r w:rsidRPr="002E2B5B">
        <w:rPr>
          <w:rFonts w:ascii="Calibri" w:hAnsi="Calibri" w:cs="Calibri"/>
          <w:sz w:val="22"/>
          <w:szCs w:val="22"/>
          <w:shd w:val="clear" w:color="auto" w:fill="FFFFFF"/>
        </w:rPr>
        <w:t>Figueirópolis</w:t>
      </w:r>
      <w:proofErr w:type="spellEnd"/>
      <w:r w:rsidRPr="002E2B5B">
        <w:rPr>
          <w:rFonts w:ascii="Calibri" w:hAnsi="Calibri" w:cs="Calibri"/>
          <w:sz w:val="22"/>
          <w:szCs w:val="22"/>
          <w:shd w:val="clear" w:color="auto" w:fill="FFFFFF"/>
        </w:rPr>
        <w:t xml:space="preserve">/TO, subdivididos em trecho denominados FIOL I, II e III. O planejamento dessa ligação visa estabelecer uma alternativa mais econômica para os fluxos de cargas de longa distância potencialmente transportáveis pelo modal ferroviário, a exemplo das cargas de baixo valor agregado, como minérios e granéis sólidos produzidos ao longo da região de influência da ferrovia. Além de contribuir para indução do desenvolvimento regional, quando concluída, a FIOL propiciará melhor equilíbrio da matriz de transportes, reduzindo a dependência do modal rodoviário ao criar um corredor logístico mais competitivo.   </w:t>
      </w:r>
    </w:p>
    <w:p w14:paraId="2A97A8B7" w14:textId="5D40D153" w:rsidR="00D4582D" w:rsidRPr="002E2B5B" w:rsidRDefault="000B1DB5" w:rsidP="00937ED9">
      <w:pPr>
        <w:autoSpaceDE w:val="0"/>
        <w:autoSpaceDN w:val="0"/>
        <w:adjustRightInd w:val="0"/>
        <w:spacing w:after="120"/>
        <w:jc w:val="both"/>
        <w:rPr>
          <w:rFonts w:ascii="Calibri" w:hAnsi="Calibri" w:cs="Calibri"/>
          <w:sz w:val="22"/>
          <w:szCs w:val="22"/>
          <w:shd w:val="clear" w:color="auto" w:fill="FFFFFF"/>
        </w:rPr>
      </w:pPr>
      <w:r w:rsidRPr="002E2B5B">
        <w:rPr>
          <w:rFonts w:ascii="Calibri" w:hAnsi="Calibri" w:cs="Calibri"/>
          <w:sz w:val="22"/>
          <w:szCs w:val="22"/>
          <w:shd w:val="clear" w:color="auto" w:fill="FFFFFF"/>
        </w:rPr>
        <w:t xml:space="preserve">A FIOL está em construção </w:t>
      </w:r>
      <w:r w:rsidR="00181180" w:rsidRPr="002E2B5B">
        <w:rPr>
          <w:rFonts w:ascii="Calibri" w:hAnsi="Calibri" w:cs="Calibri"/>
          <w:sz w:val="22"/>
          <w:szCs w:val="22"/>
          <w:shd w:val="clear" w:color="auto" w:fill="FFFFFF"/>
        </w:rPr>
        <w:t>no trecho denominado</w:t>
      </w:r>
      <w:r w:rsidRPr="002E2B5B">
        <w:rPr>
          <w:rFonts w:ascii="Calibri" w:hAnsi="Calibri" w:cs="Calibri"/>
          <w:sz w:val="22"/>
          <w:szCs w:val="22"/>
          <w:shd w:val="clear" w:color="auto" w:fill="FFFFFF"/>
        </w:rPr>
        <w:t xml:space="preserve"> FIOL II, com 485km, totalizando 1.022km de extensão. Os projetos executivos desse trecho são acompanhados e revisados </w:t>
      </w:r>
      <w:r w:rsidRPr="00BF5050">
        <w:rPr>
          <w:rFonts w:ascii="Calibri" w:hAnsi="Calibri" w:cs="Calibri"/>
          <w:i/>
          <w:iCs/>
          <w:sz w:val="22"/>
          <w:szCs w:val="22"/>
          <w:shd w:val="clear" w:color="auto" w:fill="FFFFFF"/>
        </w:rPr>
        <w:t>pari passu</w:t>
      </w:r>
      <w:r w:rsidRPr="002E2B5B">
        <w:rPr>
          <w:rFonts w:ascii="Calibri" w:hAnsi="Calibri" w:cs="Calibri"/>
          <w:sz w:val="22"/>
          <w:szCs w:val="22"/>
          <w:shd w:val="clear" w:color="auto" w:fill="FFFFFF"/>
        </w:rPr>
        <w:t xml:space="preserve"> pelas equipes e responsáveis do projeto e orçamento da empresa.</w:t>
      </w:r>
    </w:p>
    <w:p w14:paraId="5803FDDE" w14:textId="41AE1686" w:rsidR="009165D8" w:rsidRPr="002E2B5B" w:rsidRDefault="000B1DB5" w:rsidP="00937ED9">
      <w:pPr>
        <w:autoSpaceDE w:val="0"/>
        <w:autoSpaceDN w:val="0"/>
        <w:adjustRightInd w:val="0"/>
        <w:spacing w:after="120"/>
        <w:jc w:val="both"/>
        <w:rPr>
          <w:rFonts w:ascii="Calibri" w:hAnsi="Calibri" w:cs="Calibri"/>
          <w:sz w:val="22"/>
          <w:szCs w:val="22"/>
          <w:shd w:val="clear" w:color="auto" w:fill="FFFFFF"/>
        </w:rPr>
      </w:pPr>
      <w:r w:rsidRPr="002E2B5B">
        <w:rPr>
          <w:rFonts w:ascii="Calibri" w:hAnsi="Calibri" w:cs="Calibri"/>
          <w:sz w:val="22"/>
          <w:szCs w:val="22"/>
          <w:shd w:val="clear" w:color="auto" w:fill="FFFFFF"/>
        </w:rPr>
        <w:lastRenderedPageBreak/>
        <w:t>Com 531 km de extensão, o trecho denominado de FIOL III, encontra-se com o EVTEA, Projeto Básico e Projeto Executivo concluídos</w:t>
      </w:r>
      <w:r w:rsidR="00D4582D" w:rsidRPr="002E2B5B">
        <w:rPr>
          <w:rFonts w:ascii="Calibri" w:hAnsi="Calibri" w:cs="Calibri"/>
          <w:sz w:val="22"/>
          <w:szCs w:val="22"/>
          <w:shd w:val="clear" w:color="auto" w:fill="FFFFFF"/>
        </w:rPr>
        <w:t>, passíveis de revisões</w:t>
      </w:r>
      <w:r w:rsidRPr="002E2B5B">
        <w:rPr>
          <w:rFonts w:ascii="Calibri" w:hAnsi="Calibri" w:cs="Calibri"/>
          <w:sz w:val="22"/>
          <w:szCs w:val="22"/>
          <w:shd w:val="clear" w:color="auto" w:fill="FFFFFF"/>
        </w:rPr>
        <w:t xml:space="preserve">. Ao conectar-se com a FNS em </w:t>
      </w:r>
      <w:proofErr w:type="spellStart"/>
      <w:r w:rsidRPr="002E2B5B">
        <w:rPr>
          <w:rFonts w:ascii="Calibri" w:hAnsi="Calibri" w:cs="Calibri"/>
          <w:sz w:val="22"/>
          <w:szCs w:val="22"/>
          <w:shd w:val="clear" w:color="auto" w:fill="FFFFFF"/>
        </w:rPr>
        <w:t>Figueirópolis</w:t>
      </w:r>
      <w:proofErr w:type="spellEnd"/>
      <w:r w:rsidRPr="002E2B5B">
        <w:rPr>
          <w:rFonts w:ascii="Calibri" w:hAnsi="Calibri" w:cs="Calibri"/>
          <w:sz w:val="22"/>
          <w:szCs w:val="22"/>
          <w:shd w:val="clear" w:color="auto" w:fill="FFFFFF"/>
        </w:rPr>
        <w:t>/TO, a FIOL formará importante corredor logístico de transporte, ampliando as possibilidades de escoamento da produção econômica do país.</w:t>
      </w:r>
    </w:p>
    <w:p w14:paraId="40FC0E7C" w14:textId="77777777" w:rsidR="00F658CA" w:rsidRPr="002E2B5B" w:rsidRDefault="00F658CA" w:rsidP="00937ED9">
      <w:pPr>
        <w:pStyle w:val="PargrafodaLista"/>
        <w:numPr>
          <w:ilvl w:val="0"/>
          <w:numId w:val="17"/>
        </w:numPr>
        <w:autoSpaceDE w:val="0"/>
        <w:autoSpaceDN w:val="0"/>
        <w:adjustRightInd w:val="0"/>
        <w:spacing w:after="120" w:line="259" w:lineRule="auto"/>
        <w:ind w:left="284"/>
        <w:contextualSpacing/>
        <w:jc w:val="both"/>
        <w:rPr>
          <w:rFonts w:ascii="Calibri" w:hAnsi="Calibri" w:cs="Calibri"/>
          <w:b/>
          <w:sz w:val="22"/>
        </w:rPr>
      </w:pPr>
      <w:r w:rsidRPr="002E2B5B">
        <w:rPr>
          <w:rFonts w:ascii="Calibri" w:hAnsi="Calibri" w:cs="Calibri"/>
          <w:b/>
          <w:sz w:val="22"/>
        </w:rPr>
        <w:t>Ferrovia Transcontinental e Ferrovia de Integração Centro-Oeste (FICO) – EF 354</w:t>
      </w:r>
    </w:p>
    <w:p w14:paraId="4A4F4896" w14:textId="7773C677" w:rsidR="009165D8" w:rsidRPr="002E2B5B" w:rsidRDefault="000B1DB5" w:rsidP="00937ED9">
      <w:pPr>
        <w:autoSpaceDE w:val="0"/>
        <w:autoSpaceDN w:val="0"/>
        <w:adjustRightInd w:val="0"/>
        <w:spacing w:after="120"/>
        <w:jc w:val="both"/>
        <w:rPr>
          <w:rFonts w:ascii="Calibri" w:hAnsi="Calibri" w:cs="Calibri"/>
          <w:sz w:val="22"/>
          <w:szCs w:val="22"/>
          <w:shd w:val="clear" w:color="auto" w:fill="FFFFFF"/>
        </w:rPr>
      </w:pPr>
      <w:r w:rsidRPr="002E2B5B">
        <w:rPr>
          <w:rFonts w:ascii="Calibri" w:hAnsi="Calibri" w:cs="Calibri"/>
          <w:sz w:val="22"/>
          <w:szCs w:val="22"/>
          <w:shd w:val="clear" w:color="auto" w:fill="FFFFFF"/>
        </w:rPr>
        <w:t>A outorga à VALEC, estabelecendo o direito de construção, uso e gozo da EF – 354, se deu por meio da Lei nº 11.772, de 17 de setembro de 2008, sendo incluída no Plano Nacional de Viação com 4.800 km de extensão em solo brasileiro, entre o Porto do Açu, no litoral do estado do Rio de Janeiro e a localidade de Boqueirão da Esperança/AC, na fronteira Brasil-Peru, como parte da ligação entre os oceanos Atlântico, no Brasil, e Pacífico, no Peru, o qual é denominado Ferrovia Transcontinental.</w:t>
      </w:r>
    </w:p>
    <w:p w14:paraId="4DDA1A08" w14:textId="6772EB8A" w:rsidR="009165D8" w:rsidRPr="002E2B5B" w:rsidRDefault="000B1DB5" w:rsidP="00937ED9">
      <w:pPr>
        <w:autoSpaceDE w:val="0"/>
        <w:autoSpaceDN w:val="0"/>
        <w:adjustRightInd w:val="0"/>
        <w:spacing w:after="120"/>
        <w:jc w:val="both"/>
        <w:rPr>
          <w:rFonts w:ascii="Calibri" w:hAnsi="Calibri" w:cs="Calibri"/>
          <w:sz w:val="22"/>
          <w:szCs w:val="22"/>
          <w:shd w:val="clear" w:color="auto" w:fill="FFFFFF"/>
        </w:rPr>
      </w:pPr>
      <w:r w:rsidRPr="002E2B5B">
        <w:rPr>
          <w:rFonts w:ascii="Calibri" w:hAnsi="Calibri" w:cs="Calibri"/>
          <w:sz w:val="22"/>
          <w:szCs w:val="22"/>
          <w:shd w:val="clear" w:color="auto" w:fill="FFFFFF"/>
        </w:rPr>
        <w:t>O trecho da Ferrovia Transcontinental compreendido entre Mara Rosa/GO e Vilhena/RO, com extensão aproximada de 1.720 km, é denominada Ferrovia de Integração do Centro-Oeste (FICO), objeto de estudo nos últimos anos por esta companhia e com recursos oriundos do Programa de Aceleração do Crescimento – PAC, da ordem de R$ 130 milhões.</w:t>
      </w:r>
    </w:p>
    <w:p w14:paraId="2EF940B6" w14:textId="2F91CD53" w:rsidR="00D4582D" w:rsidRPr="002E2B5B" w:rsidRDefault="000B1DB5" w:rsidP="00937ED9">
      <w:pPr>
        <w:autoSpaceDE w:val="0"/>
        <w:autoSpaceDN w:val="0"/>
        <w:adjustRightInd w:val="0"/>
        <w:spacing w:after="120"/>
        <w:jc w:val="both"/>
        <w:rPr>
          <w:rFonts w:ascii="Calibri" w:hAnsi="Calibri" w:cs="Calibri"/>
          <w:sz w:val="22"/>
          <w:szCs w:val="22"/>
          <w:shd w:val="clear" w:color="auto" w:fill="FFFFFF"/>
        </w:rPr>
      </w:pPr>
      <w:r w:rsidRPr="002E2B5B">
        <w:rPr>
          <w:rFonts w:ascii="Calibri" w:hAnsi="Calibri" w:cs="Calibri"/>
          <w:sz w:val="22"/>
          <w:szCs w:val="22"/>
          <w:shd w:val="clear" w:color="auto" w:fill="FFFFFF"/>
        </w:rPr>
        <w:t>Dentre as principais funções da FICO, está a de estabelecer alternativas mais econômicas para os fluxos de cargas de longa distância potencialmente transportáveis pelo modal ferroviário, a exemplo das cargas de baixo valor agregado como minérios e granéis sólidos produzidos ao longo da região de influência da ferrovia. Visa ainda reduzir a dependência do modal rodoviário, incentivando a multimodalidade e melhorando a logística de transporte, tanto para o escoamento da produção ao mercado consumidor quanto para importação de insumos, interligando a malha ferroviária brasileira aos principais portos de grande capacidade.</w:t>
      </w:r>
    </w:p>
    <w:p w14:paraId="13213C43" w14:textId="077EBA01" w:rsidR="00D4582D" w:rsidRPr="002E2B5B" w:rsidRDefault="000B1DB5" w:rsidP="00937ED9">
      <w:pPr>
        <w:autoSpaceDE w:val="0"/>
        <w:autoSpaceDN w:val="0"/>
        <w:adjustRightInd w:val="0"/>
        <w:spacing w:after="120"/>
        <w:jc w:val="both"/>
        <w:rPr>
          <w:rFonts w:ascii="Calibri" w:hAnsi="Calibri" w:cs="Calibri"/>
          <w:sz w:val="22"/>
          <w:szCs w:val="22"/>
          <w:shd w:val="clear" w:color="auto" w:fill="FFFFFF"/>
        </w:rPr>
      </w:pPr>
      <w:r w:rsidRPr="002E2B5B">
        <w:rPr>
          <w:rFonts w:ascii="Calibri" w:hAnsi="Calibri" w:cs="Calibri"/>
          <w:sz w:val="22"/>
          <w:szCs w:val="22"/>
          <w:shd w:val="clear" w:color="auto" w:fill="FFFFFF"/>
        </w:rPr>
        <w:t xml:space="preserve">Isso proporcionará a redução dos valores de frete e, consequentemente, a dos custos de comercialização no mercado interno, com acentuado reflexo também na exportação, aumentando a competitividade dos produtos brasileiros, gerando melhoria no desempenho econômico de toda a malha ferroviária. </w:t>
      </w:r>
    </w:p>
    <w:p w14:paraId="423CB3DB" w14:textId="18BB4232" w:rsidR="009165D8" w:rsidRPr="002E2B5B" w:rsidRDefault="000B1DB5" w:rsidP="00937ED9">
      <w:pPr>
        <w:autoSpaceDE w:val="0"/>
        <w:autoSpaceDN w:val="0"/>
        <w:adjustRightInd w:val="0"/>
        <w:spacing w:after="120"/>
        <w:jc w:val="both"/>
        <w:rPr>
          <w:rFonts w:ascii="Calibri" w:hAnsi="Calibri" w:cs="Calibri"/>
          <w:sz w:val="22"/>
          <w:szCs w:val="22"/>
          <w:shd w:val="clear" w:color="auto" w:fill="FFFFFF"/>
        </w:rPr>
      </w:pPr>
      <w:r w:rsidRPr="002E2B5B">
        <w:rPr>
          <w:rFonts w:ascii="Calibri" w:hAnsi="Calibri" w:cs="Calibri"/>
          <w:sz w:val="22"/>
          <w:szCs w:val="22"/>
          <w:shd w:val="clear" w:color="auto" w:fill="FFFFFF"/>
        </w:rPr>
        <w:t>A FICO foi subdividida nos seguintes trechos: Mara Rosa/GO – Água Boa/MT; Água Boa/MT – Lucas do Rio Verde/MT; Lucas do Rio Verde/MT – Vilhena/RO; Vilhena/RO – Porto Velho/RO e Porto Velho/RO – Boqueirão/AC.</w:t>
      </w:r>
    </w:p>
    <w:p w14:paraId="45ADDA58" w14:textId="77777777" w:rsidR="004028E9" w:rsidRPr="002E2B5B" w:rsidRDefault="004028E9" w:rsidP="00937ED9">
      <w:pPr>
        <w:autoSpaceDE w:val="0"/>
        <w:autoSpaceDN w:val="0"/>
        <w:adjustRightInd w:val="0"/>
        <w:spacing w:after="120"/>
        <w:jc w:val="both"/>
        <w:rPr>
          <w:rFonts w:ascii="Calibri" w:hAnsi="Calibri" w:cs="Calibri"/>
          <w:b/>
          <w:bCs/>
          <w:sz w:val="22"/>
          <w:szCs w:val="22"/>
          <w:shd w:val="clear" w:color="auto" w:fill="FFFFFF"/>
        </w:rPr>
      </w:pPr>
      <w:r w:rsidRPr="002E2B5B">
        <w:rPr>
          <w:rFonts w:ascii="Calibri" w:hAnsi="Calibri" w:cs="Calibri"/>
          <w:b/>
          <w:bCs/>
          <w:sz w:val="22"/>
          <w:szCs w:val="22"/>
          <w:shd w:val="clear" w:color="auto" w:fill="FFFFFF"/>
        </w:rPr>
        <w:t>b.1)</w:t>
      </w:r>
      <w:r w:rsidRPr="002E2B5B">
        <w:rPr>
          <w:rFonts w:ascii="Calibri" w:hAnsi="Calibri" w:cs="Calibri"/>
          <w:sz w:val="22"/>
          <w:szCs w:val="22"/>
          <w:shd w:val="clear" w:color="auto" w:fill="FFFFFF"/>
        </w:rPr>
        <w:t xml:space="preserve"> </w:t>
      </w:r>
      <w:r w:rsidRPr="002E2B5B">
        <w:rPr>
          <w:rFonts w:ascii="Calibri" w:hAnsi="Calibri" w:cs="Calibri"/>
          <w:b/>
          <w:bCs/>
          <w:sz w:val="22"/>
          <w:szCs w:val="22"/>
          <w:shd w:val="clear" w:color="auto" w:fill="FFFFFF"/>
        </w:rPr>
        <w:t>Mara Rosa/GO - Água Boa/MT - Lucas do Rio Verde/MT</w:t>
      </w:r>
    </w:p>
    <w:p w14:paraId="399E4C84" w14:textId="2DCCBACB" w:rsidR="004028E9" w:rsidRPr="002E2B5B" w:rsidRDefault="004028E9" w:rsidP="00937ED9">
      <w:pPr>
        <w:autoSpaceDE w:val="0"/>
        <w:autoSpaceDN w:val="0"/>
        <w:adjustRightInd w:val="0"/>
        <w:spacing w:after="120"/>
        <w:jc w:val="both"/>
        <w:rPr>
          <w:rFonts w:ascii="Calibri" w:hAnsi="Calibri" w:cs="Calibri"/>
          <w:sz w:val="22"/>
          <w:szCs w:val="22"/>
          <w:shd w:val="clear" w:color="auto" w:fill="FFFFFF"/>
        </w:rPr>
      </w:pPr>
      <w:r w:rsidRPr="002E2B5B">
        <w:rPr>
          <w:rFonts w:ascii="Calibri" w:hAnsi="Calibri" w:cs="Calibri"/>
          <w:sz w:val="22"/>
          <w:szCs w:val="22"/>
          <w:shd w:val="clear" w:color="auto" w:fill="FFFFFF"/>
        </w:rPr>
        <w:t>Com 888km de extensão, sendo o primeiro trecho de 383km entre Mara Rosa/GO a Água Boa/MT e o segundo trecho, de 507 km, de Água Boa/MT a Lucas do Rio Verde/MT. Esse trecho possui EVTEA e Projeto Básico concluídos.</w:t>
      </w:r>
    </w:p>
    <w:p w14:paraId="08EA4909" w14:textId="77777777" w:rsidR="004028E9" w:rsidRPr="002E2B5B" w:rsidRDefault="004028E9" w:rsidP="00937ED9">
      <w:pPr>
        <w:autoSpaceDE w:val="0"/>
        <w:autoSpaceDN w:val="0"/>
        <w:adjustRightInd w:val="0"/>
        <w:spacing w:after="120"/>
        <w:jc w:val="both"/>
        <w:rPr>
          <w:rFonts w:ascii="Calibri" w:hAnsi="Calibri" w:cs="Calibri"/>
          <w:b/>
          <w:bCs/>
          <w:sz w:val="22"/>
          <w:szCs w:val="22"/>
          <w:shd w:val="clear" w:color="auto" w:fill="FFFFFF"/>
        </w:rPr>
      </w:pPr>
      <w:r w:rsidRPr="002E2B5B">
        <w:rPr>
          <w:rFonts w:ascii="Calibri" w:hAnsi="Calibri" w:cs="Calibri"/>
          <w:b/>
          <w:bCs/>
          <w:sz w:val="22"/>
          <w:szCs w:val="22"/>
          <w:shd w:val="clear" w:color="auto" w:fill="FFFFFF"/>
        </w:rPr>
        <w:t xml:space="preserve">b.2) Lucas do Rio Verde/MT – Vilhena/RO </w:t>
      </w:r>
    </w:p>
    <w:p w14:paraId="1F009305" w14:textId="422A40B7" w:rsidR="004028E9" w:rsidRPr="002E2B5B" w:rsidRDefault="004028E9" w:rsidP="00937ED9">
      <w:pPr>
        <w:autoSpaceDE w:val="0"/>
        <w:autoSpaceDN w:val="0"/>
        <w:adjustRightInd w:val="0"/>
        <w:spacing w:after="120"/>
        <w:jc w:val="both"/>
        <w:rPr>
          <w:rFonts w:ascii="Calibri" w:hAnsi="Calibri" w:cs="Calibri"/>
          <w:sz w:val="22"/>
          <w:szCs w:val="22"/>
          <w:shd w:val="clear" w:color="auto" w:fill="FFFFFF"/>
        </w:rPr>
      </w:pPr>
      <w:r w:rsidRPr="002E2B5B">
        <w:rPr>
          <w:rFonts w:ascii="Calibri" w:hAnsi="Calibri" w:cs="Calibri"/>
          <w:sz w:val="22"/>
          <w:szCs w:val="22"/>
          <w:shd w:val="clear" w:color="auto" w:fill="FFFFFF"/>
        </w:rPr>
        <w:t>Com 646 km de extensão, o empreendimento encontra-se com EVTEA concluído desde 2014 e com anteprojeto em andamento.</w:t>
      </w:r>
    </w:p>
    <w:p w14:paraId="7414FBDB" w14:textId="77777777" w:rsidR="004028E9" w:rsidRPr="002E2B5B" w:rsidRDefault="004028E9" w:rsidP="00937ED9">
      <w:pPr>
        <w:autoSpaceDE w:val="0"/>
        <w:autoSpaceDN w:val="0"/>
        <w:adjustRightInd w:val="0"/>
        <w:spacing w:after="120"/>
        <w:jc w:val="both"/>
        <w:rPr>
          <w:rFonts w:ascii="Calibri" w:hAnsi="Calibri" w:cs="Calibri"/>
          <w:b/>
          <w:bCs/>
          <w:sz w:val="22"/>
          <w:szCs w:val="22"/>
          <w:shd w:val="clear" w:color="auto" w:fill="FFFFFF"/>
        </w:rPr>
      </w:pPr>
      <w:r w:rsidRPr="002E2B5B">
        <w:rPr>
          <w:rFonts w:ascii="Calibri" w:hAnsi="Calibri" w:cs="Calibri"/>
          <w:b/>
          <w:bCs/>
          <w:sz w:val="22"/>
          <w:szCs w:val="22"/>
          <w:shd w:val="clear" w:color="auto" w:fill="FFFFFF"/>
        </w:rPr>
        <w:t xml:space="preserve">b.3) Vilhena/RO a Porto Velho/RO </w:t>
      </w:r>
    </w:p>
    <w:p w14:paraId="640F06FA" w14:textId="7D11A443" w:rsidR="004028E9" w:rsidRPr="002E2B5B" w:rsidRDefault="004028E9" w:rsidP="00937ED9">
      <w:pPr>
        <w:autoSpaceDE w:val="0"/>
        <w:autoSpaceDN w:val="0"/>
        <w:adjustRightInd w:val="0"/>
        <w:spacing w:after="120"/>
        <w:jc w:val="both"/>
        <w:rPr>
          <w:rFonts w:ascii="Calibri" w:hAnsi="Calibri" w:cs="Calibri"/>
          <w:sz w:val="22"/>
          <w:szCs w:val="22"/>
          <w:shd w:val="clear" w:color="auto" w:fill="FFFFFF"/>
        </w:rPr>
      </w:pPr>
      <w:r w:rsidRPr="002E2B5B">
        <w:rPr>
          <w:rFonts w:ascii="Calibri" w:hAnsi="Calibri" w:cs="Calibri"/>
          <w:sz w:val="22"/>
          <w:szCs w:val="22"/>
          <w:shd w:val="clear" w:color="auto" w:fill="FFFFFF"/>
        </w:rPr>
        <w:t>Com 770 km de extensão, o empreendimento ligará a ferrovia a partir da cidade Vilhena/RO até a Hidrovia do Rio Madeira, em Porto Velho/RO, além de estabelecer um importante corredor logístico intermodal aos portos de Itacoatiara/AM e Santarém/PA. Atualmente o trecho encontra-se na elaboração do EVTEA.</w:t>
      </w:r>
    </w:p>
    <w:p w14:paraId="2F8B9FEE" w14:textId="77777777" w:rsidR="004028E9" w:rsidRPr="002E2B5B" w:rsidRDefault="004028E9" w:rsidP="00937ED9">
      <w:pPr>
        <w:autoSpaceDE w:val="0"/>
        <w:autoSpaceDN w:val="0"/>
        <w:adjustRightInd w:val="0"/>
        <w:spacing w:after="120"/>
        <w:jc w:val="both"/>
        <w:rPr>
          <w:rFonts w:ascii="Calibri" w:hAnsi="Calibri" w:cs="Calibri"/>
          <w:b/>
          <w:bCs/>
          <w:sz w:val="22"/>
          <w:szCs w:val="22"/>
          <w:shd w:val="clear" w:color="auto" w:fill="FFFFFF"/>
        </w:rPr>
      </w:pPr>
      <w:r w:rsidRPr="002E2B5B">
        <w:rPr>
          <w:rFonts w:ascii="Calibri" w:hAnsi="Calibri" w:cs="Calibri"/>
          <w:b/>
          <w:bCs/>
          <w:sz w:val="22"/>
          <w:szCs w:val="22"/>
          <w:shd w:val="clear" w:color="auto" w:fill="FFFFFF"/>
        </w:rPr>
        <w:t>b.4) Porto Velho/RO a Boqueirão/AC</w:t>
      </w:r>
    </w:p>
    <w:p w14:paraId="1A8331A6" w14:textId="45D56581" w:rsidR="004028E9" w:rsidRPr="002E2B5B" w:rsidRDefault="004028E9" w:rsidP="00937ED9">
      <w:pPr>
        <w:autoSpaceDE w:val="0"/>
        <w:autoSpaceDN w:val="0"/>
        <w:adjustRightInd w:val="0"/>
        <w:spacing w:after="120"/>
        <w:jc w:val="both"/>
        <w:rPr>
          <w:rFonts w:ascii="Calibri" w:hAnsi="Calibri" w:cs="Calibri"/>
          <w:sz w:val="22"/>
          <w:szCs w:val="22"/>
          <w:shd w:val="clear" w:color="auto" w:fill="FFFFFF"/>
        </w:rPr>
      </w:pPr>
      <w:r w:rsidRPr="002E2B5B">
        <w:rPr>
          <w:rFonts w:ascii="Calibri" w:hAnsi="Calibri" w:cs="Calibri"/>
          <w:sz w:val="22"/>
          <w:szCs w:val="22"/>
          <w:shd w:val="clear" w:color="auto" w:fill="FFFFFF"/>
        </w:rPr>
        <w:t>O Trecho da FICO entre Porto Velho/RO e Boqueirão/AC ainda não possui estudos de viabilidade em desenvolvimento.</w:t>
      </w:r>
    </w:p>
    <w:p w14:paraId="36146C05" w14:textId="77777777" w:rsidR="00F658CA" w:rsidRPr="002E2B5B" w:rsidRDefault="00F658CA" w:rsidP="00937ED9">
      <w:pPr>
        <w:numPr>
          <w:ilvl w:val="0"/>
          <w:numId w:val="17"/>
        </w:numPr>
        <w:autoSpaceDE w:val="0"/>
        <w:autoSpaceDN w:val="0"/>
        <w:adjustRightInd w:val="0"/>
        <w:spacing w:after="120"/>
        <w:ind w:left="284" w:hanging="284"/>
        <w:jc w:val="both"/>
        <w:rPr>
          <w:rFonts w:ascii="Calibri" w:hAnsi="Calibri" w:cs="Calibri"/>
          <w:b/>
          <w:sz w:val="22"/>
        </w:rPr>
      </w:pPr>
      <w:r w:rsidRPr="002E2B5B">
        <w:rPr>
          <w:rFonts w:ascii="Calibri" w:hAnsi="Calibri" w:cs="Calibri"/>
          <w:b/>
          <w:sz w:val="22"/>
        </w:rPr>
        <w:t>Corredor Ferroviário de Santa Catarina – EF 280</w:t>
      </w:r>
    </w:p>
    <w:p w14:paraId="1D30596A" w14:textId="3EC2F67B" w:rsidR="00D4582D" w:rsidRPr="002E2B5B" w:rsidRDefault="00E5187C" w:rsidP="00937ED9">
      <w:pPr>
        <w:autoSpaceDE w:val="0"/>
        <w:autoSpaceDN w:val="0"/>
        <w:adjustRightInd w:val="0"/>
        <w:spacing w:after="120"/>
        <w:jc w:val="both"/>
        <w:rPr>
          <w:rFonts w:ascii="Calibri" w:hAnsi="Calibri" w:cs="Calibri"/>
          <w:sz w:val="22"/>
          <w:szCs w:val="22"/>
          <w:shd w:val="clear" w:color="auto" w:fill="FFFFFF"/>
        </w:rPr>
      </w:pPr>
      <w:r w:rsidRPr="002E2B5B">
        <w:rPr>
          <w:rFonts w:ascii="Calibri" w:hAnsi="Calibri" w:cs="Calibri"/>
          <w:sz w:val="22"/>
          <w:szCs w:val="22"/>
          <w:shd w:val="clear" w:color="auto" w:fill="FFFFFF"/>
        </w:rPr>
        <w:t xml:space="preserve">Contratado em 2014, a elaboração do EVTEA e do Projeto Básico da EF -280 está em curso e visa ligar a EF-451 - Ferrovia Litorânea, no município de Itajaí/SC, ao extremo oeste do estado, no município de Dionísio Cerqueira/SC. A ligação ferroviária insere-se no contexto do planejamento logístico do estado de Santa Catarina, com relevância também para distribuição de cargas a nível nacional ao integrar a malha ferroviária do país. </w:t>
      </w:r>
    </w:p>
    <w:p w14:paraId="37044FB8" w14:textId="5876B55B" w:rsidR="00D4582D" w:rsidRPr="002E2B5B" w:rsidRDefault="00E5187C" w:rsidP="00937ED9">
      <w:pPr>
        <w:autoSpaceDE w:val="0"/>
        <w:autoSpaceDN w:val="0"/>
        <w:adjustRightInd w:val="0"/>
        <w:spacing w:after="120"/>
        <w:jc w:val="both"/>
        <w:rPr>
          <w:rFonts w:ascii="Calibri" w:hAnsi="Calibri" w:cs="Calibri"/>
          <w:sz w:val="22"/>
          <w:szCs w:val="22"/>
          <w:shd w:val="clear" w:color="auto" w:fill="FFFFFF"/>
        </w:rPr>
      </w:pPr>
      <w:r w:rsidRPr="002E2B5B">
        <w:rPr>
          <w:rFonts w:ascii="Calibri" w:hAnsi="Calibri" w:cs="Calibri"/>
          <w:sz w:val="22"/>
          <w:szCs w:val="22"/>
          <w:shd w:val="clear" w:color="auto" w:fill="FFFFFF"/>
        </w:rPr>
        <w:t xml:space="preserve">Por interconectar-se com projetos previstos, como a Ferrovia Litorânea e a extensão prevista da Ferrovia Norte-Sul - FNS em direção ao sul do país, o Corredor Ferroviário favorece o fluxo de cargas de oeste a leste no estado de Santa </w:t>
      </w:r>
      <w:r w:rsidRPr="002E2B5B">
        <w:rPr>
          <w:rFonts w:ascii="Calibri" w:hAnsi="Calibri" w:cs="Calibri"/>
          <w:sz w:val="22"/>
          <w:szCs w:val="22"/>
          <w:shd w:val="clear" w:color="auto" w:fill="FFFFFF"/>
        </w:rPr>
        <w:lastRenderedPageBreak/>
        <w:t>Catarina, com possibilidade de remeter ou buscar cargas ao norte ou ao sul do Brasil, através do compartilhamento de malhas com a FNS e a interconexão com a Ferrovia Tronco Principal Sul (EF-116). O projeto, ainda, interliga-se logisticamente aos cincos portos existentes em Santa Catarina, através da conexão prevista com a Ferrovia Litorânea.</w:t>
      </w:r>
    </w:p>
    <w:p w14:paraId="63BE5DEB" w14:textId="4EA2F06A" w:rsidR="00E5187C" w:rsidRPr="002E2B5B" w:rsidRDefault="00E5187C" w:rsidP="00937ED9">
      <w:pPr>
        <w:autoSpaceDE w:val="0"/>
        <w:autoSpaceDN w:val="0"/>
        <w:adjustRightInd w:val="0"/>
        <w:spacing w:after="120"/>
        <w:jc w:val="both"/>
        <w:rPr>
          <w:rFonts w:ascii="Calibri" w:hAnsi="Calibri" w:cs="Calibri"/>
          <w:sz w:val="22"/>
          <w:szCs w:val="22"/>
          <w:shd w:val="clear" w:color="auto" w:fill="FFFFFF"/>
        </w:rPr>
      </w:pPr>
      <w:r w:rsidRPr="002E2B5B">
        <w:rPr>
          <w:rFonts w:ascii="Calibri" w:hAnsi="Calibri" w:cs="Calibri"/>
          <w:sz w:val="22"/>
          <w:szCs w:val="22"/>
          <w:shd w:val="clear" w:color="auto" w:fill="FFFFFF"/>
        </w:rPr>
        <w:t>O início deste estudo teve embasamento no Ofício n° 621/2012/SE/MT de 29 de outubro de 2012, o qual define que o EVTEA seria realizado pela VALEC. Ressalta-se que esse estudo foi finalizado em 2020.</w:t>
      </w:r>
    </w:p>
    <w:p w14:paraId="1925FB55" w14:textId="77777777" w:rsidR="00F658CA" w:rsidRPr="002E2B5B" w:rsidRDefault="00F658CA" w:rsidP="00937ED9">
      <w:pPr>
        <w:numPr>
          <w:ilvl w:val="0"/>
          <w:numId w:val="17"/>
        </w:numPr>
        <w:autoSpaceDE w:val="0"/>
        <w:autoSpaceDN w:val="0"/>
        <w:adjustRightInd w:val="0"/>
        <w:spacing w:after="120"/>
        <w:ind w:left="284" w:hanging="284"/>
        <w:jc w:val="both"/>
        <w:rPr>
          <w:rFonts w:ascii="Calibri" w:hAnsi="Calibri" w:cs="Calibri"/>
          <w:b/>
          <w:bCs/>
          <w:sz w:val="22"/>
          <w:szCs w:val="22"/>
          <w:shd w:val="clear" w:color="auto" w:fill="FFFFFF"/>
        </w:rPr>
      </w:pPr>
      <w:r w:rsidRPr="002E2B5B">
        <w:rPr>
          <w:rFonts w:ascii="Calibri" w:hAnsi="Calibri" w:cs="Calibri"/>
          <w:b/>
          <w:bCs/>
          <w:sz w:val="22"/>
          <w:szCs w:val="22"/>
          <w:shd w:val="clear" w:color="auto" w:fill="FFFFFF"/>
        </w:rPr>
        <w:t>Ferrovia do Pantanal – EF 267</w:t>
      </w:r>
    </w:p>
    <w:p w14:paraId="6127A220" w14:textId="316761E3" w:rsidR="009203C8" w:rsidRDefault="00F658CA" w:rsidP="00937ED9">
      <w:pPr>
        <w:autoSpaceDE w:val="0"/>
        <w:autoSpaceDN w:val="0"/>
        <w:adjustRightInd w:val="0"/>
        <w:spacing w:after="120"/>
        <w:jc w:val="both"/>
        <w:rPr>
          <w:rFonts w:ascii="Calibri" w:hAnsi="Calibri" w:cs="Calibri"/>
          <w:sz w:val="22"/>
          <w:szCs w:val="22"/>
          <w:shd w:val="clear" w:color="auto" w:fill="FFFFFF"/>
        </w:rPr>
      </w:pPr>
      <w:r w:rsidRPr="002E2B5B">
        <w:rPr>
          <w:rFonts w:ascii="Calibri" w:hAnsi="Calibri" w:cs="Calibri"/>
          <w:sz w:val="22"/>
          <w:szCs w:val="22"/>
          <w:shd w:val="clear" w:color="auto" w:fill="FFFFFF"/>
        </w:rPr>
        <w:t xml:space="preserve">Com aproximadamente 734km, a EF- 267 foi outorgada à VALEC estabelecendo o direito de construção, uso e gozo por meio da Lei nº 11.772, de 17 de setembro de 2008. Esta ferrovia fará a conexão da FNS no município de Panorama/SP até Porto Murtinho/MS às margens do Rio Paraguai, no sul do Pantanal mato-grossense, atendendo uma área de alta densidade de produção agrícola e possibilitando o acesso logístico a vários portos do país ao se conectar com malha paulista e com a Ferrovia Norte e Sul. Dentre as demandas para essa ferrovia destacam-se também as cargas no sentido importação (mar – continente), como fertilizantes e cargas gerais, além das cargas para consumo interno. O EVTEA desse trecho, contratado pela VALEC, foi finalizado em maio 2012, consumindo recursos da ordem de R$ 5,5 milhões. </w:t>
      </w:r>
    </w:p>
    <w:p w14:paraId="488392F2" w14:textId="77777777" w:rsidR="00E5187C" w:rsidRPr="002E2B5B" w:rsidRDefault="00F658CA" w:rsidP="00937ED9">
      <w:pPr>
        <w:numPr>
          <w:ilvl w:val="0"/>
          <w:numId w:val="17"/>
        </w:numPr>
        <w:autoSpaceDE w:val="0"/>
        <w:autoSpaceDN w:val="0"/>
        <w:adjustRightInd w:val="0"/>
        <w:spacing w:after="120"/>
        <w:ind w:left="284" w:hanging="284"/>
        <w:jc w:val="both"/>
        <w:rPr>
          <w:rFonts w:ascii="Calibri" w:hAnsi="Calibri" w:cs="Calibri"/>
          <w:b/>
          <w:bCs/>
          <w:sz w:val="22"/>
          <w:szCs w:val="22"/>
          <w:shd w:val="clear" w:color="auto" w:fill="FFFFFF"/>
        </w:rPr>
      </w:pPr>
      <w:r w:rsidRPr="002E2B5B">
        <w:rPr>
          <w:rFonts w:ascii="Calibri" w:hAnsi="Calibri" w:cs="Calibri"/>
          <w:b/>
          <w:bCs/>
          <w:sz w:val="22"/>
          <w:szCs w:val="22"/>
          <w:shd w:val="clear" w:color="auto" w:fill="FFFFFF"/>
        </w:rPr>
        <w:t>Ramais da Ferrovia Norte Sul - FNS</w:t>
      </w:r>
    </w:p>
    <w:p w14:paraId="492EDE48" w14:textId="5D185ABE" w:rsidR="00D4582D" w:rsidRPr="002E2B5B" w:rsidRDefault="00F658CA" w:rsidP="00937ED9">
      <w:pPr>
        <w:autoSpaceDE w:val="0"/>
        <w:autoSpaceDN w:val="0"/>
        <w:adjustRightInd w:val="0"/>
        <w:spacing w:after="120"/>
        <w:jc w:val="both"/>
        <w:rPr>
          <w:rFonts w:ascii="Calibri" w:hAnsi="Calibri" w:cs="Calibri"/>
          <w:sz w:val="22"/>
          <w:szCs w:val="22"/>
          <w:shd w:val="clear" w:color="auto" w:fill="FFFFFF"/>
        </w:rPr>
      </w:pPr>
      <w:r w:rsidRPr="002E2B5B">
        <w:rPr>
          <w:rFonts w:ascii="Calibri" w:hAnsi="Calibri" w:cs="Calibri"/>
          <w:sz w:val="22"/>
          <w:szCs w:val="22"/>
          <w:shd w:val="clear" w:color="auto" w:fill="FFFFFF"/>
        </w:rPr>
        <w:t>Os ramais da Ferrovia Norte Sul compreendem: Açailândia/MA – Barcarena/PA; Porto Franco/MA-Balsas/MA; Goiânia/GO – Brasília/DF; Quirinópolis/GO – Itumbiara/GO; Estrela d’Oeste/SP – Panorama/SP; Panorama/SP – Chapecó/SC; Chapecó/SC - Rio Grande/RS.</w:t>
      </w:r>
    </w:p>
    <w:p w14:paraId="2873B8E0" w14:textId="0A5E2071" w:rsidR="00D4582D" w:rsidRPr="002E2B5B" w:rsidRDefault="00F658CA" w:rsidP="00937ED9">
      <w:pPr>
        <w:autoSpaceDE w:val="0"/>
        <w:autoSpaceDN w:val="0"/>
        <w:adjustRightInd w:val="0"/>
        <w:spacing w:after="120"/>
        <w:jc w:val="both"/>
        <w:rPr>
          <w:rFonts w:ascii="Calibri" w:hAnsi="Calibri" w:cs="Calibri"/>
          <w:sz w:val="22"/>
          <w:szCs w:val="22"/>
          <w:shd w:val="clear" w:color="auto" w:fill="FFFFFF"/>
        </w:rPr>
      </w:pPr>
      <w:r w:rsidRPr="002E2B5B">
        <w:rPr>
          <w:rFonts w:ascii="Calibri" w:hAnsi="Calibri" w:cs="Calibri"/>
          <w:sz w:val="22"/>
          <w:szCs w:val="22"/>
          <w:shd w:val="clear" w:color="auto" w:fill="FFFFFF"/>
        </w:rPr>
        <w:t>Em 2012 foram finalizados os EVTEA dos trechos de Açailândia/MA a Barcarena/PA (Termo de Referência 19/2010), com 477Km, de Goiânia/GO a Brasília/DF (Termo de Referência 017/2010), com 212km e de Quirinópolis/GO a Itumbiara/GO (Termo de referência 17/2010), com 203km.</w:t>
      </w:r>
    </w:p>
    <w:p w14:paraId="589E659E" w14:textId="580F345D" w:rsidR="00D4582D" w:rsidRPr="002E2B5B" w:rsidRDefault="00F658CA" w:rsidP="00937ED9">
      <w:pPr>
        <w:autoSpaceDE w:val="0"/>
        <w:autoSpaceDN w:val="0"/>
        <w:adjustRightInd w:val="0"/>
        <w:spacing w:after="120"/>
        <w:jc w:val="both"/>
        <w:rPr>
          <w:rFonts w:ascii="Calibri" w:hAnsi="Calibri" w:cs="Calibri"/>
          <w:sz w:val="22"/>
          <w:szCs w:val="22"/>
          <w:shd w:val="clear" w:color="auto" w:fill="FFFFFF"/>
        </w:rPr>
      </w:pPr>
      <w:r w:rsidRPr="002E2B5B">
        <w:rPr>
          <w:rFonts w:ascii="Calibri" w:hAnsi="Calibri" w:cs="Calibri"/>
          <w:sz w:val="22"/>
          <w:szCs w:val="22"/>
          <w:shd w:val="clear" w:color="auto" w:fill="FFFFFF"/>
        </w:rPr>
        <w:t>Em 2014, para atender à crescente demanda por transporte de cargas, a VALEC concluiu os EVTEA para mais três trechos da ferrovia: entre Estrela d’Oeste/SP a Panorama/SP (Termo de referência 18/2010), com 264km; entre Panorama/SP e Chapecó/SC (Termo de Referência 006/2011 e 003/2012), com 950km; e entre Chapecó/SC e Rio Grande/RS (Termo de Referência 006/2011), com 833km.</w:t>
      </w:r>
    </w:p>
    <w:p w14:paraId="4463D4E9" w14:textId="0C0E2F46" w:rsidR="009165D8" w:rsidRPr="002E2B5B" w:rsidRDefault="00F658CA" w:rsidP="00937ED9">
      <w:pPr>
        <w:autoSpaceDE w:val="0"/>
        <w:autoSpaceDN w:val="0"/>
        <w:adjustRightInd w:val="0"/>
        <w:spacing w:after="120"/>
        <w:jc w:val="both"/>
        <w:rPr>
          <w:rFonts w:ascii="Calibri" w:hAnsi="Calibri" w:cs="Calibri"/>
          <w:sz w:val="22"/>
          <w:szCs w:val="22"/>
          <w:shd w:val="clear" w:color="auto" w:fill="FFFFFF"/>
        </w:rPr>
      </w:pPr>
      <w:r w:rsidRPr="002E2B5B">
        <w:rPr>
          <w:rFonts w:ascii="Calibri" w:hAnsi="Calibri" w:cs="Calibri"/>
          <w:sz w:val="22"/>
          <w:szCs w:val="22"/>
          <w:shd w:val="clear" w:color="auto" w:fill="FFFFFF"/>
        </w:rPr>
        <w:t>Em 2019, foi concluído o Anteprojeto do Trecho Porto Franco/MA-Balsas/MA</w:t>
      </w:r>
      <w:r w:rsidR="005B2BAA" w:rsidRPr="002E2B5B">
        <w:rPr>
          <w:rFonts w:ascii="Calibri" w:hAnsi="Calibri" w:cs="Calibri"/>
          <w:sz w:val="22"/>
          <w:szCs w:val="22"/>
          <w:shd w:val="clear" w:color="auto" w:fill="FFFFFF"/>
        </w:rPr>
        <w:t>.</w:t>
      </w:r>
    </w:p>
    <w:p w14:paraId="60B8B7BC" w14:textId="77777777" w:rsidR="00232874" w:rsidRPr="002E2B5B" w:rsidRDefault="00232874" w:rsidP="00937ED9">
      <w:pPr>
        <w:autoSpaceDE w:val="0"/>
        <w:autoSpaceDN w:val="0"/>
        <w:adjustRightInd w:val="0"/>
        <w:spacing w:after="120"/>
        <w:jc w:val="both"/>
        <w:rPr>
          <w:rFonts w:ascii="Calibri" w:hAnsi="Calibri" w:cs="Calibri"/>
          <w:b/>
          <w:bCs/>
          <w:sz w:val="22"/>
          <w:szCs w:val="22"/>
          <w:shd w:val="clear" w:color="auto" w:fill="FFFFFF"/>
        </w:rPr>
      </w:pPr>
      <w:r w:rsidRPr="002E2B5B">
        <w:rPr>
          <w:rFonts w:ascii="Calibri" w:hAnsi="Calibri" w:cs="Calibri"/>
          <w:b/>
          <w:bCs/>
          <w:sz w:val="22"/>
          <w:szCs w:val="22"/>
          <w:shd w:val="clear" w:color="auto" w:fill="FFFFFF"/>
        </w:rPr>
        <w:t>IV – INVESTIMENTO CRUZADO</w:t>
      </w:r>
    </w:p>
    <w:p w14:paraId="72DD75D6" w14:textId="46939E09" w:rsidR="009165D8" w:rsidRPr="002E2B5B" w:rsidRDefault="00232874" w:rsidP="00937ED9">
      <w:pPr>
        <w:autoSpaceDE w:val="0"/>
        <w:autoSpaceDN w:val="0"/>
        <w:adjustRightInd w:val="0"/>
        <w:spacing w:after="120"/>
        <w:jc w:val="both"/>
        <w:rPr>
          <w:rFonts w:ascii="Calibri" w:hAnsi="Calibri" w:cs="Calibri"/>
          <w:sz w:val="22"/>
          <w:szCs w:val="22"/>
          <w:shd w:val="clear" w:color="auto" w:fill="FFFFFF"/>
        </w:rPr>
      </w:pPr>
      <w:bookmarkStart w:id="0" w:name="_Hlk97555121"/>
      <w:r w:rsidRPr="002E2B5B">
        <w:rPr>
          <w:rFonts w:ascii="Calibri" w:hAnsi="Calibri" w:cs="Calibri"/>
          <w:sz w:val="22"/>
          <w:szCs w:val="22"/>
          <w:shd w:val="clear" w:color="auto" w:fill="FFFFFF"/>
        </w:rPr>
        <w:t>A Lei nº 13.448</w:t>
      </w:r>
      <w:r w:rsidR="00750CA7">
        <w:rPr>
          <w:rFonts w:ascii="Calibri" w:hAnsi="Calibri" w:cs="Calibri"/>
          <w:sz w:val="22"/>
          <w:szCs w:val="22"/>
          <w:shd w:val="clear" w:color="auto" w:fill="FFFFFF"/>
        </w:rPr>
        <w:t>, de 05 de junho de 2017</w:t>
      </w:r>
      <w:r w:rsidRPr="002E2B5B">
        <w:rPr>
          <w:rFonts w:ascii="Calibri" w:hAnsi="Calibri" w:cs="Calibri"/>
          <w:sz w:val="22"/>
          <w:szCs w:val="22"/>
          <w:shd w:val="clear" w:color="auto" w:fill="FFFFFF"/>
        </w:rPr>
        <w:t xml:space="preserve"> trouxe, como inovação no ordenamento jurídico, a possibilidade de realização de investimentos em malhas ferroviárias distintas como contrapartida às prorrogações de contratos de concessão.</w:t>
      </w:r>
      <w:r w:rsidR="00B84648" w:rsidRPr="002E2B5B">
        <w:rPr>
          <w:rFonts w:ascii="Calibri" w:hAnsi="Calibri" w:cs="Calibri"/>
          <w:sz w:val="22"/>
          <w:szCs w:val="22"/>
          <w:shd w:val="clear" w:color="auto" w:fill="FFFFFF"/>
        </w:rPr>
        <w:t xml:space="preserve"> </w:t>
      </w:r>
      <w:r w:rsidRPr="002E2B5B">
        <w:rPr>
          <w:rFonts w:ascii="Calibri" w:hAnsi="Calibri" w:cs="Calibri"/>
          <w:sz w:val="22"/>
          <w:szCs w:val="22"/>
          <w:shd w:val="clear" w:color="auto" w:fill="FFFFFF"/>
        </w:rPr>
        <w:t>A lei estabelece que o órgão ou a entidade competente é autorizada a promover alterações nos contratos de parceria no setor ferroviário a fim de solucionar questões operacionais e logísticas, inclusive por meio de prorrogações ou relicitações da totalidade ou de parte dos empreendimentos contratados.</w:t>
      </w:r>
    </w:p>
    <w:p w14:paraId="255744A2" w14:textId="19AA468A" w:rsidR="009165D8" w:rsidRPr="002E2B5B" w:rsidRDefault="00232874" w:rsidP="00937ED9">
      <w:pPr>
        <w:autoSpaceDE w:val="0"/>
        <w:autoSpaceDN w:val="0"/>
        <w:adjustRightInd w:val="0"/>
        <w:spacing w:after="120"/>
        <w:jc w:val="both"/>
        <w:rPr>
          <w:rFonts w:ascii="Calibri" w:hAnsi="Calibri" w:cs="Calibri"/>
          <w:sz w:val="22"/>
          <w:szCs w:val="22"/>
          <w:shd w:val="clear" w:color="auto" w:fill="FFFFFF"/>
        </w:rPr>
      </w:pPr>
      <w:r w:rsidRPr="002E2B5B">
        <w:rPr>
          <w:rFonts w:ascii="Calibri" w:hAnsi="Calibri" w:cs="Calibri"/>
          <w:sz w:val="22"/>
          <w:szCs w:val="22"/>
          <w:shd w:val="clear" w:color="auto" w:fill="FFFFFF"/>
        </w:rPr>
        <w:t>Permite, ainda, ao órgão ou a entidade competente, de comum acordo com os contratados, buscar soluções para todo o sistema e adotar medidas diferenciadas por contrato ou por trecho ferroviário que considerem a reconfiguração de malhas, admitida a previsão de investimentos pelos contratados em malha própria ou naquelas de interesse da administração pública.</w:t>
      </w:r>
    </w:p>
    <w:p w14:paraId="3C68FC9B" w14:textId="77777777" w:rsidR="00232874" w:rsidRPr="002E2B5B" w:rsidRDefault="00232874" w:rsidP="00937ED9">
      <w:pPr>
        <w:autoSpaceDE w:val="0"/>
        <w:autoSpaceDN w:val="0"/>
        <w:adjustRightInd w:val="0"/>
        <w:spacing w:after="120"/>
        <w:jc w:val="both"/>
        <w:rPr>
          <w:rFonts w:ascii="Calibri" w:hAnsi="Calibri" w:cs="Calibri"/>
          <w:sz w:val="22"/>
          <w:szCs w:val="22"/>
          <w:shd w:val="clear" w:color="auto" w:fill="FFFFFF"/>
        </w:rPr>
      </w:pPr>
      <w:r w:rsidRPr="002E2B5B">
        <w:rPr>
          <w:rFonts w:ascii="Calibri" w:hAnsi="Calibri" w:cs="Calibri"/>
          <w:sz w:val="22"/>
          <w:szCs w:val="22"/>
          <w:shd w:val="clear" w:color="auto" w:fill="FFFFFF"/>
        </w:rPr>
        <w:t>Esse dispositivo passou a ser chamado de ‘</w:t>
      </w:r>
      <w:r w:rsidR="00B84648" w:rsidRPr="002E2B5B">
        <w:rPr>
          <w:rFonts w:ascii="Calibri" w:hAnsi="Calibri" w:cs="Calibri"/>
          <w:sz w:val="22"/>
          <w:szCs w:val="22"/>
          <w:shd w:val="clear" w:color="auto" w:fill="FFFFFF"/>
        </w:rPr>
        <w:t>I</w:t>
      </w:r>
      <w:r w:rsidRPr="002E2B5B">
        <w:rPr>
          <w:rFonts w:ascii="Calibri" w:hAnsi="Calibri" w:cs="Calibri"/>
          <w:sz w:val="22"/>
          <w:szCs w:val="22"/>
          <w:shd w:val="clear" w:color="auto" w:fill="FFFFFF"/>
        </w:rPr>
        <w:t xml:space="preserve">nvestimento </w:t>
      </w:r>
      <w:r w:rsidR="00B84648" w:rsidRPr="002E2B5B">
        <w:rPr>
          <w:rFonts w:ascii="Calibri" w:hAnsi="Calibri" w:cs="Calibri"/>
          <w:sz w:val="22"/>
          <w:szCs w:val="22"/>
          <w:shd w:val="clear" w:color="auto" w:fill="FFFFFF"/>
        </w:rPr>
        <w:t>C</w:t>
      </w:r>
      <w:r w:rsidRPr="002E2B5B">
        <w:rPr>
          <w:rFonts w:ascii="Calibri" w:hAnsi="Calibri" w:cs="Calibri"/>
          <w:sz w:val="22"/>
          <w:szCs w:val="22"/>
          <w:shd w:val="clear" w:color="auto" w:fill="FFFFFF"/>
        </w:rPr>
        <w:t>ruzado’, pelo qual é possibilitada a ampliação da malha e da capacidade do subsistema ferroviário, sem que haja uma obrigação direta da União em aportar recursos.</w:t>
      </w:r>
    </w:p>
    <w:p w14:paraId="03564658" w14:textId="582B5945" w:rsidR="00A309A1" w:rsidRPr="002E2B5B" w:rsidRDefault="00232874" w:rsidP="00937ED9">
      <w:pPr>
        <w:autoSpaceDE w:val="0"/>
        <w:autoSpaceDN w:val="0"/>
        <w:adjustRightInd w:val="0"/>
        <w:spacing w:after="120"/>
        <w:jc w:val="both"/>
        <w:rPr>
          <w:rFonts w:ascii="Calibri" w:hAnsi="Calibri" w:cs="Calibri"/>
          <w:sz w:val="22"/>
          <w:szCs w:val="22"/>
          <w:shd w:val="clear" w:color="auto" w:fill="FFFFFF"/>
        </w:rPr>
      </w:pPr>
      <w:r w:rsidRPr="002E2B5B">
        <w:rPr>
          <w:rFonts w:ascii="Calibri" w:hAnsi="Calibri" w:cs="Calibri"/>
          <w:sz w:val="22"/>
          <w:szCs w:val="22"/>
          <w:shd w:val="clear" w:color="auto" w:fill="FFFFFF"/>
        </w:rPr>
        <w:t>Fundamentado na Lei nº 13.448/2017, o Terceiro Termo Aditivo ao contrato de concessão da Estrada de Ferro Vitória a Minas, concedida à VALE S/A, prevê a renovação antecipada de outorga e descreve, no Anexo 9, termos que disciplinam as condições de realização das Obrigações de Investimento assumidas pela Concessionária em projetos de titularidade da VALEC conforme a Lei nº 11.772/2008, envolvendo:</w:t>
      </w:r>
    </w:p>
    <w:p w14:paraId="476E9A2A" w14:textId="77777777" w:rsidR="00232874" w:rsidRPr="002E2B5B" w:rsidRDefault="00232874" w:rsidP="00937ED9">
      <w:pPr>
        <w:pStyle w:val="PargrafodaLista"/>
        <w:widowControl w:val="0"/>
        <w:numPr>
          <w:ilvl w:val="0"/>
          <w:numId w:val="34"/>
        </w:numPr>
        <w:spacing w:after="120"/>
        <w:ind w:hanging="578"/>
        <w:jc w:val="both"/>
        <w:rPr>
          <w:rFonts w:ascii="Calibri" w:hAnsi="Calibri" w:cs="Calibri"/>
          <w:sz w:val="22"/>
          <w:szCs w:val="22"/>
        </w:rPr>
      </w:pPr>
      <w:r w:rsidRPr="002E2B5B">
        <w:rPr>
          <w:rFonts w:ascii="Calibri" w:hAnsi="Calibri" w:cs="Calibri"/>
          <w:sz w:val="22"/>
          <w:szCs w:val="22"/>
        </w:rPr>
        <w:t xml:space="preserve">A implantação da infraestrutura e superestrutura ferroviária de Trecho da Ferrovia de Integração Centro-Oeste (FICO), EF-354, compreendido entre os municípios de Água Boa/MT e Mara Rosa/GO; </w:t>
      </w:r>
    </w:p>
    <w:p w14:paraId="791D20D6" w14:textId="77777777" w:rsidR="00232874" w:rsidRPr="002E2B5B" w:rsidRDefault="00232874" w:rsidP="00937ED9">
      <w:pPr>
        <w:pStyle w:val="PargrafodaLista"/>
        <w:widowControl w:val="0"/>
        <w:numPr>
          <w:ilvl w:val="0"/>
          <w:numId w:val="34"/>
        </w:numPr>
        <w:spacing w:after="120"/>
        <w:ind w:hanging="578"/>
        <w:jc w:val="both"/>
        <w:rPr>
          <w:rFonts w:ascii="Calibri" w:hAnsi="Calibri" w:cs="Calibri"/>
          <w:sz w:val="22"/>
          <w:szCs w:val="22"/>
        </w:rPr>
      </w:pPr>
      <w:r w:rsidRPr="002E2B5B">
        <w:rPr>
          <w:rFonts w:ascii="Calibri" w:hAnsi="Calibri" w:cs="Calibri"/>
          <w:sz w:val="22"/>
          <w:szCs w:val="22"/>
        </w:rPr>
        <w:lastRenderedPageBreak/>
        <w:t>A aquisição de Trilhos e Dormentes a serem incorporados no Projeto de Infraestrutura da Ferrovia Integração Oeste Leste (FIOL), EF – 334; e</w:t>
      </w:r>
    </w:p>
    <w:p w14:paraId="4416C50A" w14:textId="62F087DE" w:rsidR="00D4582D" w:rsidRPr="002E2B5B" w:rsidRDefault="00232874" w:rsidP="00937ED9">
      <w:pPr>
        <w:pStyle w:val="PargrafodaLista"/>
        <w:widowControl w:val="0"/>
        <w:numPr>
          <w:ilvl w:val="0"/>
          <w:numId w:val="34"/>
        </w:numPr>
        <w:spacing w:after="120"/>
        <w:ind w:hanging="578"/>
        <w:jc w:val="both"/>
        <w:rPr>
          <w:rFonts w:ascii="Calibri" w:hAnsi="Calibri" w:cs="Calibri"/>
          <w:sz w:val="22"/>
          <w:szCs w:val="22"/>
        </w:rPr>
      </w:pPr>
      <w:r w:rsidRPr="002E2B5B">
        <w:rPr>
          <w:rFonts w:ascii="Calibri" w:hAnsi="Calibri" w:cs="Calibri"/>
          <w:sz w:val="22"/>
          <w:szCs w:val="22"/>
        </w:rPr>
        <w:t>Enquadramento do projeto FICO e FIOL no Regime Especial de Incentivo para o Desenvolvimento da Infraestrutura (REIDI).</w:t>
      </w:r>
    </w:p>
    <w:p w14:paraId="7FABD814" w14:textId="0993F8C8" w:rsidR="00D4582D" w:rsidRPr="002E2B5B" w:rsidRDefault="00232874" w:rsidP="00937ED9">
      <w:pPr>
        <w:autoSpaceDE w:val="0"/>
        <w:autoSpaceDN w:val="0"/>
        <w:adjustRightInd w:val="0"/>
        <w:spacing w:after="120"/>
        <w:jc w:val="both"/>
        <w:rPr>
          <w:rFonts w:ascii="Calibri" w:hAnsi="Calibri" w:cs="Calibri"/>
          <w:sz w:val="22"/>
          <w:szCs w:val="22"/>
          <w:shd w:val="clear" w:color="auto" w:fill="FFFFFF"/>
        </w:rPr>
      </w:pPr>
      <w:r w:rsidRPr="002E2B5B">
        <w:rPr>
          <w:rFonts w:ascii="Calibri" w:hAnsi="Calibri" w:cs="Calibri"/>
          <w:sz w:val="22"/>
          <w:szCs w:val="22"/>
          <w:shd w:val="clear" w:color="auto" w:fill="FFFFFF"/>
        </w:rPr>
        <w:t xml:space="preserve">No âmbito do Anexo 9 do Terceiro Termo Aditivo, assinado em 18 de dezembro de 2020, a </w:t>
      </w:r>
      <w:r w:rsidR="00B84648" w:rsidRPr="002E2B5B">
        <w:rPr>
          <w:rFonts w:ascii="Calibri" w:hAnsi="Calibri" w:cs="Calibri"/>
          <w:sz w:val="22"/>
          <w:szCs w:val="22"/>
          <w:shd w:val="clear" w:color="auto" w:fill="FFFFFF"/>
        </w:rPr>
        <w:t>VALEC,</w:t>
      </w:r>
      <w:r w:rsidRPr="002E2B5B">
        <w:rPr>
          <w:rFonts w:ascii="Calibri" w:hAnsi="Calibri" w:cs="Calibri"/>
          <w:sz w:val="22"/>
          <w:szCs w:val="22"/>
          <w:shd w:val="clear" w:color="auto" w:fill="FFFFFF"/>
        </w:rPr>
        <w:t xml:space="preserve"> na figura de Interveniente Anuente e titular dos Projetos de Infraestrutura da FICO e da FIOL, compromete</w:t>
      </w:r>
      <w:r w:rsidR="00B84648" w:rsidRPr="002E2B5B">
        <w:rPr>
          <w:rFonts w:ascii="Calibri" w:hAnsi="Calibri" w:cs="Calibri"/>
          <w:sz w:val="22"/>
          <w:szCs w:val="22"/>
          <w:shd w:val="clear" w:color="auto" w:fill="FFFFFF"/>
        </w:rPr>
        <w:t>u</w:t>
      </w:r>
      <w:r w:rsidRPr="002E2B5B">
        <w:rPr>
          <w:rFonts w:ascii="Calibri" w:hAnsi="Calibri" w:cs="Calibri"/>
          <w:sz w:val="22"/>
          <w:szCs w:val="22"/>
          <w:shd w:val="clear" w:color="auto" w:fill="FFFFFF"/>
        </w:rPr>
        <w:t>-se a requerer os enquadramentos dos Projetos junto ao Ministério da Infraestrutura, bem como as suas habilitações no regime do REIDI, regulado pela Lei nº 11.488</w:t>
      </w:r>
      <w:r w:rsidR="00750CA7">
        <w:rPr>
          <w:rFonts w:ascii="Calibri" w:hAnsi="Calibri" w:cs="Calibri"/>
          <w:sz w:val="22"/>
          <w:szCs w:val="22"/>
          <w:shd w:val="clear" w:color="auto" w:fill="FFFFFF"/>
        </w:rPr>
        <w:t>, de 15 de junho de 20</w:t>
      </w:r>
      <w:r w:rsidRPr="002E2B5B">
        <w:rPr>
          <w:rFonts w:ascii="Calibri" w:hAnsi="Calibri" w:cs="Calibri"/>
          <w:sz w:val="22"/>
          <w:szCs w:val="22"/>
          <w:shd w:val="clear" w:color="auto" w:fill="FFFFFF"/>
        </w:rPr>
        <w:t>07, perante a Secretaria da Receita Federal do Brasil.</w:t>
      </w:r>
    </w:p>
    <w:p w14:paraId="677ADFEB" w14:textId="002EEF2D" w:rsidR="00D4582D" w:rsidRPr="002E2B5B" w:rsidRDefault="00B84648" w:rsidP="00937ED9">
      <w:pPr>
        <w:autoSpaceDE w:val="0"/>
        <w:autoSpaceDN w:val="0"/>
        <w:adjustRightInd w:val="0"/>
        <w:spacing w:after="120"/>
        <w:jc w:val="both"/>
        <w:rPr>
          <w:rFonts w:ascii="Calibri" w:hAnsi="Calibri" w:cs="Calibri"/>
          <w:sz w:val="22"/>
          <w:szCs w:val="22"/>
          <w:shd w:val="clear" w:color="auto" w:fill="FFFFFF"/>
        </w:rPr>
      </w:pPr>
      <w:r w:rsidRPr="002E2B5B">
        <w:rPr>
          <w:rFonts w:ascii="Calibri" w:hAnsi="Calibri" w:cs="Calibri"/>
          <w:sz w:val="22"/>
          <w:szCs w:val="22"/>
          <w:shd w:val="clear" w:color="auto" w:fill="FFFFFF"/>
        </w:rPr>
        <w:t>A habilitação da VALEC no regime do REIDI para os Projetos FICO e FIOL foi realizada em 21 de junho de 2021, por meio dos Atos Declaratórios nº 107 e 108 da Secretaria Especial da Receita Federal do Brasil, conforme publicado no Diário Oficial da União em 24 de junho de 2021.</w:t>
      </w:r>
    </w:p>
    <w:p w14:paraId="39086CB3" w14:textId="693A9A36" w:rsidR="007F779B" w:rsidRDefault="00232874" w:rsidP="00937ED9">
      <w:pPr>
        <w:autoSpaceDE w:val="0"/>
        <w:autoSpaceDN w:val="0"/>
        <w:adjustRightInd w:val="0"/>
        <w:spacing w:after="120"/>
        <w:jc w:val="both"/>
        <w:rPr>
          <w:rFonts w:ascii="Calibri" w:hAnsi="Calibri" w:cs="Calibri"/>
          <w:sz w:val="22"/>
          <w:szCs w:val="22"/>
          <w:shd w:val="clear" w:color="auto" w:fill="FFFFFF"/>
        </w:rPr>
      </w:pPr>
      <w:r w:rsidRPr="002E2B5B">
        <w:rPr>
          <w:rFonts w:ascii="Calibri" w:hAnsi="Calibri" w:cs="Calibri"/>
          <w:sz w:val="22"/>
          <w:szCs w:val="22"/>
          <w:shd w:val="clear" w:color="auto" w:fill="FFFFFF"/>
        </w:rPr>
        <w:t>A V</w:t>
      </w:r>
      <w:r w:rsidR="00B84648" w:rsidRPr="002E2B5B">
        <w:rPr>
          <w:rFonts w:ascii="Calibri" w:hAnsi="Calibri" w:cs="Calibri"/>
          <w:sz w:val="22"/>
          <w:szCs w:val="22"/>
          <w:shd w:val="clear" w:color="auto" w:fill="FFFFFF"/>
        </w:rPr>
        <w:t>ALEC</w:t>
      </w:r>
      <w:r w:rsidRPr="002E2B5B">
        <w:rPr>
          <w:rFonts w:ascii="Calibri" w:hAnsi="Calibri" w:cs="Calibri"/>
          <w:sz w:val="22"/>
          <w:szCs w:val="22"/>
          <w:shd w:val="clear" w:color="auto" w:fill="FFFFFF"/>
        </w:rPr>
        <w:t xml:space="preserve"> compromete</w:t>
      </w:r>
      <w:r w:rsidR="00B84648" w:rsidRPr="002E2B5B">
        <w:rPr>
          <w:rFonts w:ascii="Calibri" w:hAnsi="Calibri" w:cs="Calibri"/>
          <w:sz w:val="22"/>
          <w:szCs w:val="22"/>
          <w:shd w:val="clear" w:color="auto" w:fill="FFFFFF"/>
        </w:rPr>
        <w:t>u</w:t>
      </w:r>
      <w:r w:rsidRPr="002E2B5B">
        <w:rPr>
          <w:rFonts w:ascii="Calibri" w:hAnsi="Calibri" w:cs="Calibri"/>
          <w:sz w:val="22"/>
          <w:szCs w:val="22"/>
          <w:shd w:val="clear" w:color="auto" w:fill="FFFFFF"/>
        </w:rPr>
        <w:t>-se, ainda, a participar dos contratos, aditivos contratuais e demais documentos competentes previstos na legislação do R</w:t>
      </w:r>
      <w:r w:rsidR="00B84648" w:rsidRPr="002E2B5B">
        <w:rPr>
          <w:rFonts w:ascii="Calibri" w:hAnsi="Calibri" w:cs="Calibri"/>
          <w:sz w:val="22"/>
          <w:szCs w:val="22"/>
          <w:shd w:val="clear" w:color="auto" w:fill="FFFFFF"/>
        </w:rPr>
        <w:t>EIDI</w:t>
      </w:r>
      <w:r w:rsidRPr="002E2B5B">
        <w:rPr>
          <w:rFonts w:ascii="Calibri" w:hAnsi="Calibri" w:cs="Calibri"/>
          <w:sz w:val="22"/>
          <w:szCs w:val="22"/>
          <w:shd w:val="clear" w:color="auto" w:fill="FFFFFF"/>
        </w:rPr>
        <w:t xml:space="preserve">, inclusive na posição de destinatária das obras de infraestrutura, dos trilhos e dormentes, com o fim único e exclusivo de expressar nesses instrumentos a sua concordância com a aquisição das obras de infraestrutura pelo Projeto de Infraestrutura da FICO e dos Trilhos e Dormentes pelo Projeto de Infraestrutura da FIOL elegíveis ao </w:t>
      </w:r>
      <w:r w:rsidR="00B84648" w:rsidRPr="002E2B5B">
        <w:rPr>
          <w:rFonts w:ascii="Calibri" w:hAnsi="Calibri" w:cs="Calibri"/>
          <w:sz w:val="22"/>
          <w:szCs w:val="22"/>
          <w:shd w:val="clear" w:color="auto" w:fill="FFFFFF"/>
        </w:rPr>
        <w:t>REIDI</w:t>
      </w:r>
      <w:r w:rsidRPr="002E2B5B">
        <w:rPr>
          <w:rFonts w:ascii="Calibri" w:hAnsi="Calibri" w:cs="Calibri"/>
          <w:sz w:val="22"/>
          <w:szCs w:val="22"/>
          <w:shd w:val="clear" w:color="auto" w:fill="FFFFFF"/>
        </w:rPr>
        <w:t xml:space="preserve"> e de restar como beneficiária das garantias contratuais perante os fornecedores dos Trilhos e Dormentes.</w:t>
      </w:r>
    </w:p>
    <w:p w14:paraId="083AFB70" w14:textId="1FA27BA8" w:rsidR="00A1256E" w:rsidRDefault="00A1256E" w:rsidP="00937ED9">
      <w:pPr>
        <w:autoSpaceDE w:val="0"/>
        <w:autoSpaceDN w:val="0"/>
        <w:adjustRightInd w:val="0"/>
        <w:spacing w:after="120"/>
        <w:jc w:val="both"/>
        <w:rPr>
          <w:rFonts w:ascii="Calibri" w:hAnsi="Calibri" w:cs="Calibri"/>
          <w:sz w:val="22"/>
          <w:szCs w:val="22"/>
          <w:shd w:val="clear" w:color="auto" w:fill="FFFFFF"/>
        </w:rPr>
      </w:pPr>
      <w:r>
        <w:rPr>
          <w:rFonts w:ascii="Calibri" w:hAnsi="Calibri" w:cs="Calibri"/>
          <w:sz w:val="22"/>
          <w:szCs w:val="22"/>
          <w:shd w:val="clear" w:color="auto" w:fill="FFFFFF"/>
        </w:rPr>
        <w:t xml:space="preserve">A título de Investimento Cruzado, </w:t>
      </w:r>
      <w:r w:rsidR="0046490D">
        <w:rPr>
          <w:rFonts w:ascii="Calibri" w:hAnsi="Calibri" w:cs="Calibri"/>
          <w:sz w:val="22"/>
          <w:szCs w:val="22"/>
          <w:shd w:val="clear" w:color="auto" w:fill="FFFFFF"/>
        </w:rPr>
        <w:t xml:space="preserve">até o </w:t>
      </w:r>
      <w:r w:rsidR="0057151A">
        <w:rPr>
          <w:rFonts w:ascii="Calibri" w:hAnsi="Calibri" w:cs="Calibri"/>
          <w:sz w:val="22"/>
          <w:szCs w:val="22"/>
          <w:shd w:val="clear" w:color="auto" w:fill="FFFFFF"/>
        </w:rPr>
        <w:t>2</w:t>
      </w:r>
      <w:r w:rsidR="0046490D">
        <w:rPr>
          <w:rFonts w:ascii="Calibri" w:hAnsi="Calibri" w:cs="Calibri"/>
          <w:sz w:val="22"/>
          <w:szCs w:val="22"/>
          <w:shd w:val="clear" w:color="auto" w:fill="FFFFFF"/>
        </w:rPr>
        <w:t>º trimestre de 2022,</w:t>
      </w:r>
      <w:r>
        <w:rPr>
          <w:rFonts w:ascii="Calibri" w:hAnsi="Calibri" w:cs="Calibri"/>
          <w:sz w:val="22"/>
          <w:szCs w:val="22"/>
          <w:shd w:val="clear" w:color="auto" w:fill="FFFFFF"/>
        </w:rPr>
        <w:t xml:space="preserve"> foram investidos R$ </w:t>
      </w:r>
      <w:r w:rsidR="00815DE7">
        <w:rPr>
          <w:rFonts w:ascii="Calibri" w:hAnsi="Calibri" w:cs="Calibri"/>
          <w:sz w:val="22"/>
          <w:szCs w:val="22"/>
          <w:shd w:val="clear" w:color="auto" w:fill="FFFFFF"/>
        </w:rPr>
        <w:t>412</w:t>
      </w:r>
      <w:r w:rsidR="0046490D">
        <w:rPr>
          <w:rFonts w:ascii="Calibri" w:hAnsi="Calibri" w:cs="Calibri"/>
          <w:sz w:val="22"/>
          <w:szCs w:val="22"/>
          <w:shd w:val="clear" w:color="auto" w:fill="FFFFFF"/>
        </w:rPr>
        <w:t>,</w:t>
      </w:r>
      <w:r w:rsidR="00815DE7">
        <w:rPr>
          <w:rFonts w:ascii="Calibri" w:hAnsi="Calibri" w:cs="Calibri"/>
          <w:sz w:val="22"/>
          <w:szCs w:val="22"/>
          <w:shd w:val="clear" w:color="auto" w:fill="FFFFFF"/>
        </w:rPr>
        <w:t>71</w:t>
      </w:r>
      <w:r>
        <w:rPr>
          <w:rFonts w:ascii="Calibri" w:hAnsi="Calibri" w:cs="Calibri"/>
          <w:sz w:val="22"/>
          <w:szCs w:val="22"/>
          <w:shd w:val="clear" w:color="auto" w:fill="FFFFFF"/>
        </w:rPr>
        <w:t xml:space="preserve"> milhões na FIOL e R$ </w:t>
      </w:r>
      <w:r w:rsidR="0057151A">
        <w:rPr>
          <w:rFonts w:ascii="Calibri" w:hAnsi="Calibri" w:cs="Calibri"/>
          <w:sz w:val="22"/>
          <w:szCs w:val="22"/>
          <w:shd w:val="clear" w:color="auto" w:fill="FFFFFF"/>
        </w:rPr>
        <w:t>45</w:t>
      </w:r>
      <w:r>
        <w:rPr>
          <w:rFonts w:ascii="Calibri" w:hAnsi="Calibri" w:cs="Calibri"/>
          <w:sz w:val="22"/>
          <w:szCs w:val="22"/>
          <w:shd w:val="clear" w:color="auto" w:fill="FFFFFF"/>
        </w:rPr>
        <w:t>,</w:t>
      </w:r>
      <w:r w:rsidR="00815DE7">
        <w:rPr>
          <w:rFonts w:ascii="Calibri" w:hAnsi="Calibri" w:cs="Calibri"/>
          <w:sz w:val="22"/>
          <w:szCs w:val="22"/>
          <w:shd w:val="clear" w:color="auto" w:fill="FFFFFF"/>
        </w:rPr>
        <w:t>7</w:t>
      </w:r>
      <w:r w:rsidR="0057151A">
        <w:rPr>
          <w:rFonts w:ascii="Calibri" w:hAnsi="Calibri" w:cs="Calibri"/>
          <w:sz w:val="22"/>
          <w:szCs w:val="22"/>
          <w:shd w:val="clear" w:color="auto" w:fill="FFFFFF"/>
        </w:rPr>
        <w:t>2</w:t>
      </w:r>
      <w:r>
        <w:rPr>
          <w:rFonts w:ascii="Calibri" w:hAnsi="Calibri" w:cs="Calibri"/>
          <w:sz w:val="22"/>
          <w:szCs w:val="22"/>
          <w:shd w:val="clear" w:color="auto" w:fill="FFFFFF"/>
        </w:rPr>
        <w:t xml:space="preserve"> milhões na FICO</w:t>
      </w:r>
      <w:r w:rsidR="00C02397">
        <w:rPr>
          <w:rFonts w:ascii="Calibri" w:hAnsi="Calibri" w:cs="Calibri"/>
          <w:sz w:val="22"/>
          <w:szCs w:val="22"/>
          <w:shd w:val="clear" w:color="auto" w:fill="FFFFFF"/>
        </w:rPr>
        <w:t>, conforme detalhado na Nota 8-IV.</w:t>
      </w:r>
    </w:p>
    <w:bookmarkEnd w:id="0"/>
    <w:p w14:paraId="187316E1" w14:textId="77777777" w:rsidR="00ED6D2E" w:rsidRPr="002E2B5B" w:rsidRDefault="00ED6D2E" w:rsidP="00937ED9">
      <w:pPr>
        <w:autoSpaceDE w:val="0"/>
        <w:autoSpaceDN w:val="0"/>
        <w:adjustRightInd w:val="0"/>
        <w:spacing w:after="120"/>
        <w:jc w:val="both"/>
        <w:rPr>
          <w:rFonts w:ascii="Calibri" w:hAnsi="Calibri" w:cs="Calibri"/>
          <w:b/>
          <w:sz w:val="22"/>
          <w:szCs w:val="22"/>
          <w:shd w:val="clear" w:color="auto" w:fill="FFFFFF"/>
        </w:rPr>
      </w:pPr>
      <w:r w:rsidRPr="002E2B5B">
        <w:rPr>
          <w:rFonts w:ascii="Calibri" w:hAnsi="Calibri" w:cs="Calibri"/>
          <w:b/>
          <w:sz w:val="22"/>
          <w:szCs w:val="22"/>
          <w:shd w:val="clear" w:color="auto" w:fill="FFFFFF"/>
        </w:rPr>
        <w:t>V –</w:t>
      </w:r>
      <w:r w:rsidRPr="002E2B5B">
        <w:rPr>
          <w:rFonts w:ascii="Calibri" w:hAnsi="Calibri" w:cs="Calibri"/>
          <w:sz w:val="22"/>
          <w:szCs w:val="22"/>
          <w:shd w:val="clear" w:color="auto" w:fill="FFFFFF"/>
        </w:rPr>
        <w:t xml:space="preserve"> </w:t>
      </w:r>
      <w:r w:rsidRPr="002E2B5B">
        <w:rPr>
          <w:rFonts w:ascii="Calibri" w:hAnsi="Calibri" w:cs="Calibri"/>
          <w:b/>
          <w:sz w:val="22"/>
          <w:szCs w:val="22"/>
          <w:shd w:val="clear" w:color="auto" w:fill="FFFFFF"/>
        </w:rPr>
        <w:t>PERMISSÃO DE USO DE PÁTIOS</w:t>
      </w:r>
    </w:p>
    <w:p w14:paraId="36B124CA" w14:textId="49874A10" w:rsidR="00E055C4" w:rsidRDefault="00E055C4" w:rsidP="00937ED9">
      <w:pPr>
        <w:autoSpaceDE w:val="0"/>
        <w:autoSpaceDN w:val="0"/>
        <w:adjustRightInd w:val="0"/>
        <w:spacing w:after="120"/>
        <w:jc w:val="both"/>
        <w:rPr>
          <w:rFonts w:ascii="Calibri" w:hAnsi="Calibri" w:cs="Calibri"/>
          <w:sz w:val="22"/>
          <w:szCs w:val="22"/>
          <w:shd w:val="clear" w:color="auto" w:fill="FFFFFF"/>
        </w:rPr>
      </w:pPr>
      <w:r w:rsidRPr="00E30017">
        <w:rPr>
          <w:rFonts w:ascii="Calibri" w:hAnsi="Calibri" w:cs="Calibri"/>
          <w:sz w:val="22"/>
          <w:szCs w:val="22"/>
          <w:shd w:val="clear" w:color="auto" w:fill="FFFFFF"/>
        </w:rPr>
        <w:t>A V</w:t>
      </w:r>
      <w:r>
        <w:rPr>
          <w:rFonts w:ascii="Calibri" w:hAnsi="Calibri" w:cs="Calibri"/>
          <w:sz w:val="22"/>
          <w:szCs w:val="22"/>
          <w:shd w:val="clear" w:color="auto" w:fill="FFFFFF"/>
        </w:rPr>
        <w:t>ALEC</w:t>
      </w:r>
      <w:r w:rsidRPr="00E30017">
        <w:rPr>
          <w:rFonts w:ascii="Calibri" w:hAnsi="Calibri" w:cs="Calibri"/>
          <w:sz w:val="22"/>
          <w:szCs w:val="22"/>
          <w:shd w:val="clear" w:color="auto" w:fill="FFFFFF"/>
        </w:rPr>
        <w:t xml:space="preserve"> também explora e fomenta o transporte ferroviário por meio de terminais de armazenamento e transbordo de cargas. Atualmente estão vigentes 17 (dezessete) instrumentos de outorga envolvendo terminais. A</w:t>
      </w:r>
      <w:r>
        <w:rPr>
          <w:rFonts w:ascii="Calibri" w:hAnsi="Calibri" w:cs="Calibri"/>
          <w:sz w:val="22"/>
          <w:szCs w:val="22"/>
          <w:shd w:val="clear" w:color="auto" w:fill="FFFFFF"/>
        </w:rPr>
        <w:t>s</w:t>
      </w:r>
      <w:r w:rsidRPr="00E30017">
        <w:rPr>
          <w:rFonts w:ascii="Calibri" w:hAnsi="Calibri" w:cs="Calibri"/>
          <w:sz w:val="22"/>
          <w:szCs w:val="22"/>
          <w:shd w:val="clear" w:color="auto" w:fill="FFFFFF"/>
        </w:rPr>
        <w:t xml:space="preserve"> localizaç</w:t>
      </w:r>
      <w:r>
        <w:rPr>
          <w:rFonts w:ascii="Calibri" w:hAnsi="Calibri" w:cs="Calibri"/>
          <w:sz w:val="22"/>
          <w:szCs w:val="22"/>
          <w:shd w:val="clear" w:color="auto" w:fill="FFFFFF"/>
        </w:rPr>
        <w:t xml:space="preserve">ões </w:t>
      </w:r>
      <w:r w:rsidRPr="00E30017">
        <w:rPr>
          <w:rFonts w:ascii="Calibri" w:hAnsi="Calibri" w:cs="Calibri"/>
          <w:sz w:val="22"/>
          <w:szCs w:val="22"/>
          <w:shd w:val="clear" w:color="auto" w:fill="FFFFFF"/>
        </w:rPr>
        <w:t xml:space="preserve">das áreas outorgadas estão assim dispostas: 5 (cinco) em Porto Franco/MA, 1 (um) em Palmeirante/TO, </w:t>
      </w:r>
      <w:r w:rsidR="00744E62">
        <w:rPr>
          <w:rFonts w:ascii="Calibri" w:hAnsi="Calibri" w:cs="Calibri"/>
          <w:sz w:val="22"/>
          <w:szCs w:val="22"/>
          <w:shd w:val="clear" w:color="auto" w:fill="FFFFFF"/>
        </w:rPr>
        <w:t>3</w:t>
      </w:r>
      <w:r w:rsidRPr="00E30017">
        <w:rPr>
          <w:rFonts w:ascii="Calibri" w:hAnsi="Calibri" w:cs="Calibri"/>
          <w:sz w:val="22"/>
          <w:szCs w:val="22"/>
          <w:shd w:val="clear" w:color="auto" w:fill="FFFFFF"/>
        </w:rPr>
        <w:t xml:space="preserve"> (</w:t>
      </w:r>
      <w:r w:rsidR="00744E62">
        <w:rPr>
          <w:rFonts w:ascii="Calibri" w:hAnsi="Calibri" w:cs="Calibri"/>
          <w:sz w:val="22"/>
          <w:szCs w:val="22"/>
          <w:shd w:val="clear" w:color="auto" w:fill="FFFFFF"/>
        </w:rPr>
        <w:t>três</w:t>
      </w:r>
      <w:r w:rsidRPr="00E30017">
        <w:rPr>
          <w:rFonts w:ascii="Calibri" w:hAnsi="Calibri" w:cs="Calibri"/>
          <w:sz w:val="22"/>
          <w:szCs w:val="22"/>
          <w:shd w:val="clear" w:color="auto" w:fill="FFFFFF"/>
        </w:rPr>
        <w:t>) em Guaraí/TO, 7 (sete) em Porto Nacional/TO</w:t>
      </w:r>
      <w:r w:rsidR="00744E62">
        <w:rPr>
          <w:rFonts w:ascii="Calibri" w:hAnsi="Calibri" w:cs="Calibri"/>
          <w:sz w:val="22"/>
          <w:szCs w:val="22"/>
          <w:shd w:val="clear" w:color="auto" w:fill="FFFFFF"/>
        </w:rPr>
        <w:t xml:space="preserve"> e</w:t>
      </w:r>
      <w:r w:rsidRPr="00E30017">
        <w:rPr>
          <w:rFonts w:ascii="Calibri" w:hAnsi="Calibri" w:cs="Calibri"/>
          <w:sz w:val="22"/>
          <w:szCs w:val="22"/>
          <w:shd w:val="clear" w:color="auto" w:fill="FFFFFF"/>
        </w:rPr>
        <w:t xml:space="preserve"> 1 (um) em Gurupi/TO</w:t>
      </w:r>
      <w:r w:rsidR="00744E62">
        <w:rPr>
          <w:rFonts w:ascii="Calibri" w:hAnsi="Calibri" w:cs="Calibri"/>
          <w:sz w:val="22"/>
          <w:szCs w:val="22"/>
          <w:shd w:val="clear" w:color="auto" w:fill="FFFFFF"/>
        </w:rPr>
        <w:t>.</w:t>
      </w:r>
      <w:r w:rsidRPr="00E30017">
        <w:rPr>
          <w:rFonts w:ascii="Calibri" w:hAnsi="Calibri" w:cs="Calibri"/>
          <w:sz w:val="22"/>
          <w:szCs w:val="22"/>
          <w:shd w:val="clear" w:color="auto" w:fill="FFFFFF"/>
        </w:rPr>
        <w:t xml:space="preserve"> </w:t>
      </w:r>
      <w:r>
        <w:rPr>
          <w:rFonts w:ascii="Calibri" w:hAnsi="Calibri" w:cs="Calibri"/>
          <w:sz w:val="22"/>
          <w:szCs w:val="22"/>
          <w:shd w:val="clear" w:color="auto" w:fill="FFFFFF"/>
        </w:rPr>
        <w:t>D</w:t>
      </w:r>
      <w:r w:rsidRPr="00E30017">
        <w:rPr>
          <w:rFonts w:ascii="Calibri" w:hAnsi="Calibri" w:cs="Calibri"/>
          <w:sz w:val="22"/>
          <w:szCs w:val="22"/>
          <w:shd w:val="clear" w:color="auto" w:fill="FFFFFF"/>
        </w:rPr>
        <w:t>entre as outorgas</w:t>
      </w:r>
      <w:r>
        <w:rPr>
          <w:rFonts w:ascii="Calibri" w:hAnsi="Calibri" w:cs="Calibri"/>
          <w:sz w:val="22"/>
          <w:szCs w:val="22"/>
          <w:shd w:val="clear" w:color="auto" w:fill="FFFFFF"/>
        </w:rPr>
        <w:t xml:space="preserve"> estão:</w:t>
      </w:r>
      <w:r w:rsidRPr="00E30017">
        <w:rPr>
          <w:rFonts w:ascii="Calibri" w:hAnsi="Calibri" w:cs="Calibri"/>
          <w:sz w:val="22"/>
          <w:szCs w:val="22"/>
          <w:shd w:val="clear" w:color="auto" w:fill="FFFFFF"/>
        </w:rPr>
        <w:t xml:space="preserve"> Termo</w:t>
      </w:r>
      <w:r>
        <w:rPr>
          <w:rFonts w:ascii="Calibri" w:hAnsi="Calibri" w:cs="Calibri"/>
          <w:sz w:val="22"/>
          <w:szCs w:val="22"/>
          <w:shd w:val="clear" w:color="auto" w:fill="FFFFFF"/>
        </w:rPr>
        <w:t>s</w:t>
      </w:r>
      <w:r w:rsidRPr="00E30017">
        <w:rPr>
          <w:rFonts w:ascii="Calibri" w:hAnsi="Calibri" w:cs="Calibri"/>
          <w:sz w:val="22"/>
          <w:szCs w:val="22"/>
          <w:shd w:val="clear" w:color="auto" w:fill="FFFFFF"/>
        </w:rPr>
        <w:t xml:space="preserve"> de Permissão de Uso, Contratos de Arrendamentos, Contratos de Permissões de Uso e Contratos de Concessões de Uso.</w:t>
      </w:r>
    </w:p>
    <w:p w14:paraId="49B922A3" w14:textId="120EABC2" w:rsidR="003772E3" w:rsidRPr="002E2B5B" w:rsidRDefault="003772E3" w:rsidP="00937ED9">
      <w:pPr>
        <w:pStyle w:val="Ttulo4"/>
        <w:spacing w:after="120" w:line="240" w:lineRule="auto"/>
        <w:rPr>
          <w:rFonts w:ascii="Calibri" w:hAnsi="Calibri" w:cs="Calibri"/>
          <w:bCs w:val="0"/>
          <w:sz w:val="22"/>
          <w:szCs w:val="22"/>
        </w:rPr>
      </w:pPr>
      <w:r w:rsidRPr="002E2B5B">
        <w:rPr>
          <w:rFonts w:ascii="Calibri" w:hAnsi="Calibri" w:cs="Calibri"/>
          <w:bCs w:val="0"/>
          <w:sz w:val="22"/>
          <w:szCs w:val="22"/>
        </w:rPr>
        <w:t xml:space="preserve">NOTA 2 – </w:t>
      </w:r>
      <w:r w:rsidR="007E5CEC" w:rsidRPr="002E2B5B">
        <w:rPr>
          <w:rFonts w:ascii="Calibri" w:hAnsi="Calibri" w:cs="Calibri"/>
          <w:bCs w:val="0"/>
          <w:sz w:val="22"/>
          <w:szCs w:val="22"/>
        </w:rPr>
        <w:t>BASE DE PREPARAÇÃO</w:t>
      </w:r>
      <w:r w:rsidR="00CF73D2" w:rsidRPr="002E2B5B">
        <w:rPr>
          <w:rFonts w:ascii="Calibri" w:hAnsi="Calibri" w:cs="Calibri"/>
          <w:bCs w:val="0"/>
          <w:sz w:val="22"/>
          <w:szCs w:val="22"/>
        </w:rPr>
        <w:t xml:space="preserve"> DAS DEMONSTRAÇÕES E PRINCIPAIS PRÁTICAS CONTÁBEIS </w:t>
      </w:r>
    </w:p>
    <w:p w14:paraId="21A9E458" w14:textId="2E4E94C7" w:rsidR="009B67A2" w:rsidRPr="002A3367" w:rsidRDefault="009B67A2" w:rsidP="009B67A2">
      <w:pPr>
        <w:numPr>
          <w:ilvl w:val="0"/>
          <w:numId w:val="32"/>
        </w:numPr>
        <w:spacing w:after="120"/>
        <w:ind w:left="714" w:hanging="357"/>
        <w:jc w:val="both"/>
        <w:rPr>
          <w:rFonts w:ascii="Calibri" w:hAnsi="Calibri" w:cs="Calibri"/>
          <w:sz w:val="22"/>
          <w:szCs w:val="22"/>
        </w:rPr>
      </w:pPr>
      <w:r w:rsidRPr="002A3367">
        <w:rPr>
          <w:rFonts w:ascii="Calibri" w:hAnsi="Calibri" w:cs="Calibri"/>
          <w:sz w:val="22"/>
          <w:szCs w:val="22"/>
        </w:rPr>
        <w:t xml:space="preserve">A autorização para a conclusão destas demonstrações contábeis foi dada pela Conselho de Administração em </w:t>
      </w:r>
      <w:r w:rsidR="002A3367" w:rsidRPr="00486CAC">
        <w:rPr>
          <w:rFonts w:ascii="Calibri" w:hAnsi="Calibri" w:cs="Calibri"/>
          <w:sz w:val="22"/>
          <w:szCs w:val="22"/>
        </w:rPr>
        <w:t>2</w:t>
      </w:r>
      <w:r w:rsidR="00486CAC">
        <w:rPr>
          <w:rFonts w:ascii="Calibri" w:hAnsi="Calibri" w:cs="Calibri"/>
          <w:sz w:val="22"/>
          <w:szCs w:val="22"/>
        </w:rPr>
        <w:t>7</w:t>
      </w:r>
      <w:r w:rsidR="002A3367" w:rsidRPr="00486CAC">
        <w:rPr>
          <w:rFonts w:ascii="Calibri" w:hAnsi="Calibri" w:cs="Calibri"/>
          <w:sz w:val="22"/>
          <w:szCs w:val="22"/>
        </w:rPr>
        <w:t xml:space="preserve"> de </w:t>
      </w:r>
      <w:r w:rsidR="00486CAC">
        <w:rPr>
          <w:rFonts w:ascii="Calibri" w:hAnsi="Calibri" w:cs="Calibri"/>
          <w:sz w:val="22"/>
          <w:szCs w:val="22"/>
        </w:rPr>
        <w:t>setembro</w:t>
      </w:r>
      <w:r w:rsidR="002A3367" w:rsidRPr="00486CAC">
        <w:rPr>
          <w:rFonts w:ascii="Calibri" w:hAnsi="Calibri" w:cs="Calibri"/>
          <w:sz w:val="22"/>
          <w:szCs w:val="22"/>
        </w:rPr>
        <w:t xml:space="preserve"> de 2022</w:t>
      </w:r>
      <w:r w:rsidR="002A3367" w:rsidRPr="002A3367">
        <w:rPr>
          <w:rFonts w:ascii="Calibri" w:hAnsi="Calibri" w:cs="Calibri"/>
          <w:sz w:val="22"/>
          <w:szCs w:val="22"/>
        </w:rPr>
        <w:t>.</w:t>
      </w:r>
    </w:p>
    <w:p w14:paraId="5E72AE3D" w14:textId="0B3F97A9" w:rsidR="00356063" w:rsidRPr="002E2B5B" w:rsidRDefault="00356063" w:rsidP="00937ED9">
      <w:pPr>
        <w:numPr>
          <w:ilvl w:val="0"/>
          <w:numId w:val="32"/>
        </w:numPr>
        <w:spacing w:after="120"/>
        <w:ind w:left="714" w:hanging="357"/>
        <w:jc w:val="both"/>
        <w:rPr>
          <w:rFonts w:ascii="Calibri" w:hAnsi="Calibri" w:cs="Calibri"/>
          <w:sz w:val="22"/>
          <w:szCs w:val="22"/>
        </w:rPr>
      </w:pPr>
      <w:r w:rsidRPr="002E2B5B">
        <w:rPr>
          <w:rFonts w:ascii="Calibri" w:hAnsi="Calibri" w:cs="Calibri"/>
          <w:sz w:val="22"/>
          <w:szCs w:val="22"/>
        </w:rPr>
        <w:t xml:space="preserve">As demonstrações contábeis fundamentam-se de acordo </w:t>
      </w:r>
      <w:r w:rsidR="00A100E5" w:rsidRPr="002E2B5B">
        <w:rPr>
          <w:rFonts w:ascii="Calibri" w:hAnsi="Calibri" w:cs="Calibri"/>
          <w:sz w:val="22"/>
          <w:szCs w:val="22"/>
        </w:rPr>
        <w:t xml:space="preserve">com as </w:t>
      </w:r>
      <w:r w:rsidRPr="002E2B5B">
        <w:rPr>
          <w:rFonts w:ascii="Calibri" w:hAnsi="Calibri" w:cs="Calibri"/>
          <w:sz w:val="22"/>
          <w:szCs w:val="22"/>
        </w:rPr>
        <w:t>práticas</w:t>
      </w:r>
      <w:r w:rsidR="00A100E5" w:rsidRPr="002E2B5B">
        <w:rPr>
          <w:rFonts w:ascii="Calibri" w:hAnsi="Calibri" w:cs="Calibri"/>
          <w:sz w:val="22"/>
          <w:szCs w:val="22"/>
        </w:rPr>
        <w:t xml:space="preserve"> contábeis</w:t>
      </w:r>
      <w:r w:rsidRPr="002E2B5B">
        <w:rPr>
          <w:rFonts w:ascii="Calibri" w:hAnsi="Calibri" w:cs="Calibri"/>
          <w:sz w:val="22"/>
          <w:szCs w:val="22"/>
        </w:rPr>
        <w:t xml:space="preserve"> adotadas no Brasil</w:t>
      </w:r>
      <w:r w:rsidR="00B60EFF" w:rsidRPr="002E2B5B">
        <w:rPr>
          <w:rFonts w:ascii="Calibri" w:hAnsi="Calibri" w:cs="Calibri"/>
          <w:sz w:val="22"/>
          <w:szCs w:val="22"/>
        </w:rPr>
        <w:t xml:space="preserve">, </w:t>
      </w:r>
      <w:r w:rsidR="00A100E5" w:rsidRPr="002E2B5B">
        <w:rPr>
          <w:rFonts w:ascii="Calibri" w:hAnsi="Calibri" w:cs="Calibri"/>
          <w:sz w:val="22"/>
          <w:szCs w:val="22"/>
        </w:rPr>
        <w:t>por meio das</w:t>
      </w:r>
      <w:r w:rsidRPr="002E2B5B">
        <w:rPr>
          <w:rFonts w:ascii="Calibri" w:hAnsi="Calibri" w:cs="Calibri"/>
          <w:sz w:val="22"/>
          <w:szCs w:val="22"/>
        </w:rPr>
        <w:t xml:space="preserve"> Normas Brasileiras de Contabilidade expedidas pelo Conselho Federal de Contabilidade </w:t>
      </w:r>
      <w:r w:rsidR="00E73235" w:rsidRPr="002E2B5B">
        <w:rPr>
          <w:rFonts w:ascii="Calibri" w:hAnsi="Calibri" w:cs="Calibri"/>
          <w:sz w:val="22"/>
          <w:szCs w:val="22"/>
        </w:rPr>
        <w:t xml:space="preserve">- </w:t>
      </w:r>
      <w:r w:rsidRPr="002E2B5B">
        <w:rPr>
          <w:rFonts w:ascii="Calibri" w:hAnsi="Calibri" w:cs="Calibri"/>
          <w:sz w:val="22"/>
          <w:szCs w:val="22"/>
        </w:rPr>
        <w:t xml:space="preserve">CFC e os Pronunciamentos do Comitê de Pronunciamentos Contábeis </w:t>
      </w:r>
      <w:r w:rsidR="004B5BEE" w:rsidRPr="002E2B5B">
        <w:rPr>
          <w:rFonts w:ascii="Calibri" w:hAnsi="Calibri" w:cs="Calibri"/>
          <w:sz w:val="22"/>
          <w:szCs w:val="22"/>
        </w:rPr>
        <w:t>–</w:t>
      </w:r>
      <w:r w:rsidR="00E73235" w:rsidRPr="002E2B5B">
        <w:rPr>
          <w:rFonts w:ascii="Calibri" w:hAnsi="Calibri" w:cs="Calibri"/>
          <w:sz w:val="22"/>
          <w:szCs w:val="22"/>
        </w:rPr>
        <w:t xml:space="preserve"> </w:t>
      </w:r>
      <w:r w:rsidRPr="002E2B5B">
        <w:rPr>
          <w:rFonts w:ascii="Calibri" w:hAnsi="Calibri" w:cs="Calibri"/>
          <w:sz w:val="22"/>
          <w:szCs w:val="22"/>
        </w:rPr>
        <w:t>CPC</w:t>
      </w:r>
      <w:r w:rsidR="004B5BEE" w:rsidRPr="002E2B5B">
        <w:rPr>
          <w:rFonts w:ascii="Calibri" w:hAnsi="Calibri" w:cs="Calibri"/>
          <w:sz w:val="22"/>
          <w:szCs w:val="22"/>
        </w:rPr>
        <w:t>;</w:t>
      </w:r>
    </w:p>
    <w:p w14:paraId="709350FE" w14:textId="77777777" w:rsidR="00356063" w:rsidRPr="002E2B5B" w:rsidRDefault="00356063" w:rsidP="00937ED9">
      <w:pPr>
        <w:numPr>
          <w:ilvl w:val="0"/>
          <w:numId w:val="32"/>
        </w:numPr>
        <w:spacing w:after="120"/>
        <w:ind w:left="714" w:hanging="357"/>
        <w:jc w:val="both"/>
        <w:rPr>
          <w:rFonts w:ascii="Calibri" w:hAnsi="Calibri" w:cs="Calibri"/>
          <w:sz w:val="22"/>
          <w:szCs w:val="22"/>
        </w:rPr>
      </w:pPr>
      <w:r w:rsidRPr="002E2B5B">
        <w:rPr>
          <w:rFonts w:ascii="Calibri" w:hAnsi="Calibri" w:cs="Calibri"/>
          <w:sz w:val="22"/>
          <w:szCs w:val="22"/>
        </w:rPr>
        <w:t xml:space="preserve">As demonstrações contábeis originam-se de fatos contábeis vinculados ao Registro pelo Valor Original e os saldos estão disponibilizados </w:t>
      </w:r>
      <w:r w:rsidR="00173EAD" w:rsidRPr="002E2B5B">
        <w:rPr>
          <w:rFonts w:ascii="Calibri" w:hAnsi="Calibri" w:cs="Calibri"/>
          <w:sz w:val="22"/>
          <w:szCs w:val="22"/>
        </w:rPr>
        <w:t>em unidade de Real (R$ 1)</w:t>
      </w:r>
      <w:r w:rsidRPr="002E2B5B">
        <w:rPr>
          <w:rFonts w:ascii="Calibri" w:hAnsi="Calibri" w:cs="Calibri"/>
          <w:sz w:val="22"/>
          <w:szCs w:val="22"/>
        </w:rPr>
        <w:t xml:space="preserve">, </w:t>
      </w:r>
      <w:r w:rsidR="00A100E5" w:rsidRPr="002E2B5B">
        <w:rPr>
          <w:rFonts w:ascii="Calibri" w:hAnsi="Calibri" w:cs="Calibri"/>
          <w:sz w:val="22"/>
          <w:szCs w:val="22"/>
        </w:rPr>
        <w:t xml:space="preserve">exceto quando indicado de outra forma, </w:t>
      </w:r>
      <w:r w:rsidRPr="002E2B5B">
        <w:rPr>
          <w:rFonts w:ascii="Calibri" w:hAnsi="Calibri" w:cs="Calibri"/>
          <w:sz w:val="22"/>
          <w:szCs w:val="22"/>
        </w:rPr>
        <w:t xml:space="preserve">sendo </w:t>
      </w:r>
      <w:r w:rsidR="008F7883" w:rsidRPr="002E2B5B">
        <w:rPr>
          <w:rFonts w:ascii="Calibri" w:hAnsi="Calibri" w:cs="Calibri"/>
          <w:sz w:val="22"/>
          <w:szCs w:val="22"/>
        </w:rPr>
        <w:t>o Real</w:t>
      </w:r>
      <w:r w:rsidRPr="002E2B5B">
        <w:rPr>
          <w:rFonts w:ascii="Calibri" w:hAnsi="Calibri" w:cs="Calibri"/>
          <w:sz w:val="22"/>
          <w:szCs w:val="22"/>
        </w:rPr>
        <w:t xml:space="preserve"> a moeda funcional e de apresentação da VALEC</w:t>
      </w:r>
      <w:r w:rsidR="004B5BEE" w:rsidRPr="002E2B5B">
        <w:rPr>
          <w:rFonts w:ascii="Calibri" w:hAnsi="Calibri" w:cs="Calibri"/>
          <w:sz w:val="22"/>
          <w:szCs w:val="22"/>
        </w:rPr>
        <w:t>;</w:t>
      </w:r>
    </w:p>
    <w:p w14:paraId="5E97239F" w14:textId="73EE52FA" w:rsidR="00356063" w:rsidRDefault="00356063" w:rsidP="00937ED9">
      <w:pPr>
        <w:numPr>
          <w:ilvl w:val="0"/>
          <w:numId w:val="32"/>
        </w:numPr>
        <w:spacing w:after="120"/>
        <w:ind w:left="714" w:hanging="357"/>
        <w:jc w:val="both"/>
        <w:rPr>
          <w:rFonts w:ascii="Calibri" w:hAnsi="Calibri" w:cs="Calibri"/>
          <w:sz w:val="22"/>
          <w:szCs w:val="22"/>
        </w:rPr>
      </w:pPr>
      <w:r w:rsidRPr="002E2B5B">
        <w:rPr>
          <w:rFonts w:ascii="Calibri" w:hAnsi="Calibri" w:cs="Calibri"/>
          <w:sz w:val="22"/>
          <w:szCs w:val="22"/>
        </w:rPr>
        <w:t xml:space="preserve">A VALEC integra o Sistema Integrado de Administração Financeira do Governo Federal - SIAFI, na modalidade total em relação ao orçamento, conforme disposto na Lei nº 4.320, de </w:t>
      </w:r>
      <w:r w:rsidR="0066652D" w:rsidRPr="002E2B5B">
        <w:rPr>
          <w:rFonts w:ascii="Calibri" w:hAnsi="Calibri" w:cs="Calibri"/>
          <w:sz w:val="22"/>
          <w:szCs w:val="22"/>
        </w:rPr>
        <w:t>17 de março de 1964</w:t>
      </w:r>
      <w:r w:rsidRPr="002E2B5B">
        <w:rPr>
          <w:rFonts w:ascii="Calibri" w:hAnsi="Calibri" w:cs="Calibri"/>
          <w:sz w:val="22"/>
          <w:szCs w:val="22"/>
        </w:rPr>
        <w:t xml:space="preserve"> e aspectos societários da Lei n° 6.404</w:t>
      </w:r>
      <w:r w:rsidR="00B9667A" w:rsidRPr="002E2B5B">
        <w:rPr>
          <w:rFonts w:ascii="Calibri" w:hAnsi="Calibri" w:cs="Calibri"/>
          <w:sz w:val="22"/>
          <w:szCs w:val="22"/>
        </w:rPr>
        <w:t>, de 15 de dezembro de 1976,</w:t>
      </w:r>
      <w:r w:rsidRPr="002E2B5B">
        <w:rPr>
          <w:rFonts w:ascii="Calibri" w:hAnsi="Calibri" w:cs="Calibri"/>
          <w:sz w:val="22"/>
          <w:szCs w:val="22"/>
        </w:rPr>
        <w:t xml:space="preserve"> em relação à apresentação das Demonstrações Contábeis, com as alterações promovidas pelas Leis </w:t>
      </w:r>
      <w:proofErr w:type="spellStart"/>
      <w:r w:rsidRPr="002E2B5B">
        <w:rPr>
          <w:rFonts w:ascii="Calibri" w:hAnsi="Calibri" w:cs="Calibri"/>
          <w:sz w:val="22"/>
          <w:szCs w:val="22"/>
        </w:rPr>
        <w:t>nºs</w:t>
      </w:r>
      <w:proofErr w:type="spellEnd"/>
      <w:r w:rsidRPr="002E2B5B">
        <w:rPr>
          <w:rFonts w:ascii="Calibri" w:hAnsi="Calibri" w:cs="Calibri"/>
          <w:sz w:val="22"/>
          <w:szCs w:val="22"/>
        </w:rPr>
        <w:t xml:space="preserve"> 11.638</w:t>
      </w:r>
      <w:r w:rsidR="00B9667A" w:rsidRPr="002E2B5B">
        <w:rPr>
          <w:rFonts w:ascii="Calibri" w:hAnsi="Calibri" w:cs="Calibri"/>
          <w:sz w:val="22"/>
          <w:szCs w:val="22"/>
        </w:rPr>
        <w:t>, de 28 de dezembro de 2007,</w:t>
      </w:r>
      <w:r w:rsidRPr="002E2B5B">
        <w:rPr>
          <w:rFonts w:ascii="Calibri" w:hAnsi="Calibri" w:cs="Calibri"/>
          <w:sz w:val="22"/>
          <w:szCs w:val="22"/>
        </w:rPr>
        <w:t xml:space="preserve"> e 11.941</w:t>
      </w:r>
      <w:r w:rsidR="00B9667A" w:rsidRPr="002E2B5B">
        <w:rPr>
          <w:rFonts w:ascii="Calibri" w:hAnsi="Calibri" w:cs="Calibri"/>
          <w:sz w:val="22"/>
          <w:szCs w:val="22"/>
        </w:rPr>
        <w:t>, de 27 de maio de 20</w:t>
      </w:r>
      <w:r w:rsidRPr="002E2B5B">
        <w:rPr>
          <w:rFonts w:ascii="Calibri" w:hAnsi="Calibri" w:cs="Calibri"/>
          <w:sz w:val="22"/>
          <w:szCs w:val="22"/>
        </w:rPr>
        <w:t>09;</w:t>
      </w:r>
    </w:p>
    <w:p w14:paraId="18F23962" w14:textId="7E663CA9" w:rsidR="009B67A2" w:rsidRPr="002E2B5B" w:rsidRDefault="009B67A2" w:rsidP="00937ED9">
      <w:pPr>
        <w:numPr>
          <w:ilvl w:val="0"/>
          <w:numId w:val="32"/>
        </w:numPr>
        <w:spacing w:after="120"/>
        <w:ind w:left="714" w:hanging="357"/>
        <w:jc w:val="both"/>
        <w:rPr>
          <w:rFonts w:ascii="Calibri" w:hAnsi="Calibri" w:cs="Calibri"/>
          <w:sz w:val="22"/>
          <w:szCs w:val="22"/>
        </w:rPr>
      </w:pPr>
      <w:r w:rsidRPr="009B67A2">
        <w:rPr>
          <w:rFonts w:ascii="Calibri" w:hAnsi="Calibri" w:cs="Calibri"/>
          <w:sz w:val="22"/>
          <w:szCs w:val="22"/>
        </w:rPr>
        <w:t>Os registros contábeis da empresa são realizados por meio do Sistema Integrado de Administração Financeira do Governo Federal (SIAFI)</w:t>
      </w:r>
      <w:r>
        <w:rPr>
          <w:rFonts w:ascii="Calibri" w:hAnsi="Calibri" w:cs="Calibri"/>
          <w:sz w:val="22"/>
          <w:szCs w:val="22"/>
        </w:rPr>
        <w:t xml:space="preserve"> conforme as normas aplicadas </w:t>
      </w:r>
      <w:r w:rsidR="00B64DBB">
        <w:rPr>
          <w:rFonts w:ascii="Calibri" w:hAnsi="Calibri" w:cs="Calibri"/>
          <w:sz w:val="22"/>
          <w:szCs w:val="22"/>
        </w:rPr>
        <w:t>à</w:t>
      </w:r>
      <w:r>
        <w:rPr>
          <w:rFonts w:ascii="Calibri" w:hAnsi="Calibri" w:cs="Calibri"/>
          <w:sz w:val="22"/>
          <w:szCs w:val="22"/>
        </w:rPr>
        <w:t xml:space="preserve"> contabilidade do Setor Público</w:t>
      </w:r>
      <w:r w:rsidRPr="009B67A2">
        <w:rPr>
          <w:rFonts w:ascii="Calibri" w:hAnsi="Calibri" w:cs="Calibri"/>
          <w:sz w:val="22"/>
          <w:szCs w:val="22"/>
        </w:rPr>
        <w:t xml:space="preserve"> e</w:t>
      </w:r>
      <w:r>
        <w:rPr>
          <w:rFonts w:ascii="Calibri" w:hAnsi="Calibri" w:cs="Calibri"/>
          <w:sz w:val="22"/>
          <w:szCs w:val="22"/>
        </w:rPr>
        <w:t>,</w:t>
      </w:r>
      <w:r w:rsidRPr="009B67A2">
        <w:rPr>
          <w:rFonts w:ascii="Calibri" w:hAnsi="Calibri" w:cs="Calibri"/>
          <w:sz w:val="22"/>
          <w:szCs w:val="22"/>
        </w:rPr>
        <w:t xml:space="preserve"> posteriormente</w:t>
      </w:r>
      <w:r>
        <w:rPr>
          <w:rFonts w:ascii="Calibri" w:hAnsi="Calibri" w:cs="Calibri"/>
          <w:sz w:val="22"/>
          <w:szCs w:val="22"/>
        </w:rPr>
        <w:t>,</w:t>
      </w:r>
      <w:r w:rsidRPr="009B67A2">
        <w:rPr>
          <w:rFonts w:ascii="Calibri" w:hAnsi="Calibri" w:cs="Calibri"/>
          <w:sz w:val="22"/>
          <w:szCs w:val="22"/>
        </w:rPr>
        <w:t xml:space="preserve"> são conciliados para atender </w:t>
      </w:r>
      <w:r>
        <w:rPr>
          <w:rFonts w:ascii="Calibri" w:hAnsi="Calibri" w:cs="Calibri"/>
          <w:sz w:val="22"/>
          <w:szCs w:val="22"/>
        </w:rPr>
        <w:t>às normas aplicadas à Contabilidade</w:t>
      </w:r>
      <w:r w:rsidRPr="009B67A2">
        <w:rPr>
          <w:rFonts w:ascii="Calibri" w:hAnsi="Calibri" w:cs="Calibri"/>
          <w:sz w:val="22"/>
          <w:szCs w:val="22"/>
        </w:rPr>
        <w:t xml:space="preserve"> Societária</w:t>
      </w:r>
      <w:r>
        <w:rPr>
          <w:rFonts w:ascii="Calibri" w:hAnsi="Calibri" w:cs="Calibri"/>
          <w:sz w:val="22"/>
          <w:szCs w:val="22"/>
        </w:rPr>
        <w:t xml:space="preserve">. A conciliação é realizada </w:t>
      </w:r>
      <w:r w:rsidRPr="009B67A2">
        <w:rPr>
          <w:rFonts w:ascii="Calibri" w:hAnsi="Calibri" w:cs="Calibri"/>
          <w:sz w:val="22"/>
          <w:szCs w:val="22"/>
        </w:rPr>
        <w:t>“off-book”, por meio de planilhas</w:t>
      </w:r>
      <w:r>
        <w:rPr>
          <w:rFonts w:ascii="Calibri" w:hAnsi="Calibri" w:cs="Calibri"/>
          <w:sz w:val="22"/>
          <w:szCs w:val="22"/>
        </w:rPr>
        <w:t xml:space="preserve"> de </w:t>
      </w:r>
      <w:r w:rsidR="00B64DBB">
        <w:rPr>
          <w:rFonts w:ascii="Calibri" w:hAnsi="Calibri" w:cs="Calibri"/>
          <w:sz w:val="22"/>
          <w:szCs w:val="22"/>
        </w:rPr>
        <w:t>E</w:t>
      </w:r>
      <w:r>
        <w:rPr>
          <w:rFonts w:ascii="Calibri" w:hAnsi="Calibri" w:cs="Calibri"/>
          <w:sz w:val="22"/>
          <w:szCs w:val="22"/>
        </w:rPr>
        <w:t>xcel</w:t>
      </w:r>
      <w:r w:rsidR="00B64DBB">
        <w:rPr>
          <w:rFonts w:ascii="Calibri" w:hAnsi="Calibri" w:cs="Calibri"/>
          <w:sz w:val="22"/>
          <w:szCs w:val="22"/>
        </w:rPr>
        <w:t xml:space="preserve"> e são </w:t>
      </w:r>
      <w:r w:rsidRPr="009B67A2">
        <w:rPr>
          <w:rFonts w:ascii="Calibri" w:hAnsi="Calibri" w:cs="Calibri"/>
          <w:sz w:val="22"/>
          <w:szCs w:val="22"/>
        </w:rPr>
        <w:t xml:space="preserve">necessárias devido </w:t>
      </w:r>
      <w:r w:rsidR="00B64DBB">
        <w:rPr>
          <w:rFonts w:ascii="Calibri" w:hAnsi="Calibri" w:cs="Calibri"/>
          <w:sz w:val="22"/>
          <w:szCs w:val="22"/>
        </w:rPr>
        <w:t>às</w:t>
      </w:r>
      <w:r w:rsidRPr="009B67A2">
        <w:rPr>
          <w:rFonts w:ascii="Calibri" w:hAnsi="Calibri" w:cs="Calibri"/>
          <w:sz w:val="22"/>
          <w:szCs w:val="22"/>
        </w:rPr>
        <w:t xml:space="preserve"> diferenças temporais e </w:t>
      </w:r>
      <w:r w:rsidR="00B64DBB">
        <w:rPr>
          <w:rFonts w:ascii="Calibri" w:hAnsi="Calibri" w:cs="Calibri"/>
          <w:sz w:val="22"/>
          <w:szCs w:val="22"/>
        </w:rPr>
        <w:t>normativas</w:t>
      </w:r>
      <w:r w:rsidRPr="009B67A2">
        <w:rPr>
          <w:rFonts w:ascii="Calibri" w:hAnsi="Calibri" w:cs="Calibri"/>
          <w:sz w:val="22"/>
          <w:szCs w:val="22"/>
        </w:rPr>
        <w:t xml:space="preserve"> </w:t>
      </w:r>
      <w:r w:rsidR="00B64DBB">
        <w:rPr>
          <w:rFonts w:ascii="Calibri" w:hAnsi="Calibri" w:cs="Calibri"/>
          <w:sz w:val="22"/>
          <w:szCs w:val="22"/>
        </w:rPr>
        <w:t>entre contabilidade pública e societária, conforme divulgado na Nota</w:t>
      </w:r>
      <w:r w:rsidRPr="009B67A2">
        <w:rPr>
          <w:rFonts w:ascii="Calibri" w:hAnsi="Calibri" w:cs="Calibri"/>
          <w:sz w:val="22"/>
          <w:szCs w:val="22"/>
        </w:rPr>
        <w:t xml:space="preserve"> 2</w:t>
      </w:r>
      <w:r w:rsidR="00401AA6">
        <w:rPr>
          <w:rFonts w:ascii="Calibri" w:hAnsi="Calibri" w:cs="Calibri"/>
          <w:sz w:val="22"/>
          <w:szCs w:val="22"/>
        </w:rPr>
        <w:t>4</w:t>
      </w:r>
      <w:r w:rsidR="00247E8A">
        <w:rPr>
          <w:rFonts w:ascii="Calibri" w:hAnsi="Calibri" w:cs="Calibri"/>
          <w:sz w:val="22"/>
          <w:szCs w:val="22"/>
        </w:rPr>
        <w:t>;</w:t>
      </w:r>
    </w:p>
    <w:p w14:paraId="620D5DF1" w14:textId="159802D1" w:rsidR="00356063" w:rsidRPr="00B80638" w:rsidRDefault="00356063" w:rsidP="00937ED9">
      <w:pPr>
        <w:numPr>
          <w:ilvl w:val="0"/>
          <w:numId w:val="32"/>
        </w:numPr>
        <w:spacing w:after="120"/>
        <w:ind w:left="714" w:hanging="357"/>
        <w:jc w:val="both"/>
        <w:rPr>
          <w:rFonts w:ascii="Calibri" w:hAnsi="Calibri" w:cs="Calibri"/>
          <w:sz w:val="22"/>
          <w:szCs w:val="22"/>
        </w:rPr>
      </w:pPr>
      <w:r w:rsidRPr="00B80638">
        <w:rPr>
          <w:rFonts w:ascii="Calibri" w:hAnsi="Calibri" w:cs="Calibri"/>
          <w:sz w:val="22"/>
          <w:szCs w:val="22"/>
        </w:rPr>
        <w:lastRenderedPageBreak/>
        <w:t>As receitas e despesas são apropriadas pelo regime de competência, observando-se o critério de liquidez e natureza financeira, incluindo os efeitos das variações monetárias computados sobre ativos e passivos indexados;</w:t>
      </w:r>
    </w:p>
    <w:p w14:paraId="35D9C064" w14:textId="77777777" w:rsidR="0026417F" w:rsidRPr="002E2B5B" w:rsidRDefault="00356063" w:rsidP="00937ED9">
      <w:pPr>
        <w:numPr>
          <w:ilvl w:val="0"/>
          <w:numId w:val="32"/>
        </w:numPr>
        <w:spacing w:after="120"/>
        <w:ind w:left="714" w:hanging="357"/>
        <w:jc w:val="both"/>
        <w:rPr>
          <w:rFonts w:ascii="Calibri" w:hAnsi="Calibri" w:cs="Calibri"/>
          <w:sz w:val="22"/>
          <w:szCs w:val="22"/>
        </w:rPr>
      </w:pPr>
      <w:r w:rsidRPr="002E2B5B">
        <w:rPr>
          <w:rFonts w:ascii="Calibri" w:hAnsi="Calibri" w:cs="Calibri"/>
          <w:sz w:val="22"/>
          <w:szCs w:val="22"/>
        </w:rPr>
        <w:t xml:space="preserve">Os ativos </w:t>
      </w:r>
      <w:r w:rsidR="00341FD7" w:rsidRPr="002E2B5B">
        <w:rPr>
          <w:rFonts w:ascii="Calibri" w:hAnsi="Calibri" w:cs="Calibri"/>
          <w:sz w:val="22"/>
          <w:szCs w:val="22"/>
        </w:rPr>
        <w:t>circulantes</w:t>
      </w:r>
      <w:r w:rsidR="0026417F" w:rsidRPr="002E2B5B">
        <w:rPr>
          <w:rFonts w:ascii="Calibri" w:hAnsi="Calibri" w:cs="Calibri"/>
          <w:sz w:val="22"/>
          <w:szCs w:val="22"/>
        </w:rPr>
        <w:t xml:space="preserve"> e realiz</w:t>
      </w:r>
      <w:r w:rsidR="00092D86" w:rsidRPr="002E2B5B">
        <w:rPr>
          <w:rFonts w:ascii="Calibri" w:hAnsi="Calibri" w:cs="Calibri"/>
          <w:sz w:val="22"/>
          <w:szCs w:val="22"/>
        </w:rPr>
        <w:t>áve</w:t>
      </w:r>
      <w:r w:rsidR="00464FF8" w:rsidRPr="002E2B5B">
        <w:rPr>
          <w:rFonts w:ascii="Calibri" w:hAnsi="Calibri" w:cs="Calibri"/>
          <w:sz w:val="22"/>
          <w:szCs w:val="22"/>
        </w:rPr>
        <w:t>is</w:t>
      </w:r>
      <w:r w:rsidR="00092D86" w:rsidRPr="002E2B5B">
        <w:rPr>
          <w:rFonts w:ascii="Calibri" w:hAnsi="Calibri" w:cs="Calibri"/>
          <w:sz w:val="22"/>
          <w:szCs w:val="22"/>
        </w:rPr>
        <w:t xml:space="preserve"> a longo prazo</w:t>
      </w:r>
      <w:r w:rsidR="00341FD7" w:rsidRPr="002E2B5B">
        <w:rPr>
          <w:rFonts w:ascii="Calibri" w:hAnsi="Calibri" w:cs="Calibri"/>
          <w:sz w:val="22"/>
          <w:szCs w:val="22"/>
        </w:rPr>
        <w:t xml:space="preserve"> </w:t>
      </w:r>
      <w:r w:rsidRPr="002E2B5B">
        <w:rPr>
          <w:rFonts w:ascii="Calibri" w:hAnsi="Calibri" w:cs="Calibri"/>
          <w:sz w:val="22"/>
          <w:szCs w:val="22"/>
        </w:rPr>
        <w:t>são demonstrados pelos valores de realização</w:t>
      </w:r>
      <w:r w:rsidR="00341FD7" w:rsidRPr="002E2B5B">
        <w:rPr>
          <w:rFonts w:ascii="Calibri" w:hAnsi="Calibri" w:cs="Calibri"/>
          <w:sz w:val="22"/>
          <w:szCs w:val="22"/>
        </w:rPr>
        <w:t xml:space="preserve"> e</w:t>
      </w:r>
      <w:r w:rsidRPr="002E2B5B">
        <w:rPr>
          <w:rFonts w:ascii="Calibri" w:hAnsi="Calibri" w:cs="Calibri"/>
          <w:sz w:val="22"/>
          <w:szCs w:val="22"/>
        </w:rPr>
        <w:t xml:space="preserve"> os passivos </w:t>
      </w:r>
      <w:r w:rsidR="00341FD7" w:rsidRPr="002E2B5B">
        <w:rPr>
          <w:rFonts w:ascii="Calibri" w:hAnsi="Calibri" w:cs="Calibri"/>
          <w:sz w:val="22"/>
          <w:szCs w:val="22"/>
        </w:rPr>
        <w:t>circulantes</w:t>
      </w:r>
      <w:r w:rsidR="00092D86" w:rsidRPr="002E2B5B">
        <w:rPr>
          <w:rFonts w:ascii="Calibri" w:hAnsi="Calibri" w:cs="Calibri"/>
          <w:sz w:val="22"/>
          <w:szCs w:val="22"/>
        </w:rPr>
        <w:t xml:space="preserve"> e não circulantes</w:t>
      </w:r>
      <w:r w:rsidR="00341FD7" w:rsidRPr="002E2B5B">
        <w:rPr>
          <w:rFonts w:ascii="Calibri" w:hAnsi="Calibri" w:cs="Calibri"/>
          <w:sz w:val="22"/>
          <w:szCs w:val="22"/>
        </w:rPr>
        <w:t xml:space="preserve">, </w:t>
      </w:r>
      <w:r w:rsidRPr="002E2B5B">
        <w:rPr>
          <w:rFonts w:ascii="Calibri" w:hAnsi="Calibri" w:cs="Calibri"/>
          <w:sz w:val="22"/>
          <w:szCs w:val="22"/>
        </w:rPr>
        <w:t>pelos valores conhecidos ou calculáveis, incluindo quando aplicáveis os rendimentos e/ou encargos correspondentes, calculados a índices ou taxas oficiais, bem como, os efeitos de ajustes de ativo para valor de mercado ou de realização</w:t>
      </w:r>
      <w:r w:rsidR="0026417F" w:rsidRPr="002E2B5B">
        <w:rPr>
          <w:rFonts w:ascii="Calibri" w:hAnsi="Calibri" w:cs="Calibri"/>
          <w:sz w:val="22"/>
          <w:szCs w:val="22"/>
        </w:rPr>
        <w:t>;</w:t>
      </w:r>
      <w:r w:rsidRPr="002E2B5B">
        <w:rPr>
          <w:rFonts w:ascii="Calibri" w:hAnsi="Calibri" w:cs="Calibri"/>
          <w:sz w:val="22"/>
          <w:szCs w:val="22"/>
        </w:rPr>
        <w:t xml:space="preserve"> </w:t>
      </w:r>
    </w:p>
    <w:p w14:paraId="7DB68DFF" w14:textId="5C9A9BD6" w:rsidR="00356063" w:rsidRPr="00B23D01" w:rsidRDefault="00356063" w:rsidP="00937ED9">
      <w:pPr>
        <w:numPr>
          <w:ilvl w:val="0"/>
          <w:numId w:val="32"/>
        </w:numPr>
        <w:autoSpaceDE w:val="0"/>
        <w:autoSpaceDN w:val="0"/>
        <w:spacing w:after="120"/>
        <w:ind w:left="714" w:hanging="357"/>
        <w:jc w:val="both"/>
        <w:rPr>
          <w:rFonts w:ascii="Calibri" w:hAnsi="Calibri" w:cs="Calibri"/>
          <w:sz w:val="22"/>
          <w:szCs w:val="22"/>
        </w:rPr>
      </w:pPr>
      <w:r w:rsidRPr="002E2B5B">
        <w:rPr>
          <w:rFonts w:ascii="Calibri" w:hAnsi="Calibri" w:cs="Calibri"/>
          <w:sz w:val="22"/>
          <w:szCs w:val="22"/>
        </w:rPr>
        <w:t xml:space="preserve">O ativo imobilizado </w:t>
      </w:r>
      <w:r w:rsidR="009F6D22" w:rsidRPr="002E2B5B">
        <w:rPr>
          <w:rFonts w:ascii="Calibri" w:hAnsi="Calibri" w:cs="Calibri"/>
          <w:sz w:val="22"/>
          <w:szCs w:val="22"/>
        </w:rPr>
        <w:t>é</w:t>
      </w:r>
      <w:r w:rsidRPr="002E2B5B">
        <w:rPr>
          <w:rFonts w:ascii="Calibri" w:hAnsi="Calibri" w:cs="Calibri"/>
          <w:sz w:val="22"/>
          <w:szCs w:val="22"/>
        </w:rPr>
        <w:t xml:space="preserve"> reconhecid</w:t>
      </w:r>
      <w:r w:rsidR="009F6D22" w:rsidRPr="002E2B5B">
        <w:rPr>
          <w:rFonts w:ascii="Calibri" w:hAnsi="Calibri" w:cs="Calibri"/>
          <w:sz w:val="22"/>
          <w:szCs w:val="22"/>
        </w:rPr>
        <w:t>o</w:t>
      </w:r>
      <w:r w:rsidRPr="002E2B5B">
        <w:rPr>
          <w:rFonts w:ascii="Calibri" w:hAnsi="Calibri" w:cs="Calibri"/>
          <w:sz w:val="22"/>
          <w:szCs w:val="22"/>
        </w:rPr>
        <w:t xml:space="preserve"> pelo custo de aquisição deduzido das respectivas depreciações acumuladas, calculadas pelo método linear de acordo com a vida útil estimada dos bens, </w:t>
      </w:r>
      <w:r w:rsidRPr="00750CA7">
        <w:rPr>
          <w:rFonts w:ascii="Calibri" w:hAnsi="Calibri" w:cs="Calibri"/>
          <w:sz w:val="22"/>
          <w:szCs w:val="22"/>
        </w:rPr>
        <w:t xml:space="preserve">conforme </w:t>
      </w:r>
      <w:r w:rsidR="002E3C51" w:rsidRPr="00B23D01">
        <w:rPr>
          <w:rFonts w:ascii="Calibri" w:hAnsi="Calibri" w:cs="Calibri"/>
          <w:sz w:val="22"/>
          <w:szCs w:val="22"/>
        </w:rPr>
        <w:t xml:space="preserve">Nota </w:t>
      </w:r>
      <w:r w:rsidR="00750CA7" w:rsidRPr="00B23D01">
        <w:rPr>
          <w:rFonts w:ascii="Calibri" w:hAnsi="Calibri" w:cs="Calibri"/>
          <w:sz w:val="22"/>
          <w:szCs w:val="22"/>
        </w:rPr>
        <w:t>8</w:t>
      </w:r>
      <w:r w:rsidR="00882107" w:rsidRPr="00B23D01">
        <w:rPr>
          <w:rFonts w:ascii="Calibri" w:hAnsi="Calibri" w:cs="Calibri"/>
          <w:sz w:val="22"/>
          <w:szCs w:val="22"/>
        </w:rPr>
        <w:t>;</w:t>
      </w:r>
    </w:p>
    <w:p w14:paraId="5F726F63" w14:textId="344C803E" w:rsidR="00163A22" w:rsidRPr="00750CA7" w:rsidRDefault="00D45E93" w:rsidP="00937ED9">
      <w:pPr>
        <w:numPr>
          <w:ilvl w:val="0"/>
          <w:numId w:val="32"/>
        </w:numPr>
        <w:autoSpaceDE w:val="0"/>
        <w:autoSpaceDN w:val="0"/>
        <w:spacing w:after="120"/>
        <w:ind w:left="714" w:hanging="357"/>
        <w:jc w:val="both"/>
        <w:rPr>
          <w:rFonts w:ascii="Calibri" w:hAnsi="Calibri" w:cs="Calibri"/>
          <w:sz w:val="22"/>
          <w:szCs w:val="22"/>
        </w:rPr>
      </w:pPr>
      <w:r w:rsidRPr="00750CA7">
        <w:rPr>
          <w:rFonts w:ascii="Calibri" w:hAnsi="Calibri" w:cs="Calibri"/>
          <w:sz w:val="22"/>
          <w:szCs w:val="22"/>
        </w:rPr>
        <w:t xml:space="preserve">Após análise do valor recuperável pela VALEC referente à Ferrovia Norte Sul já </w:t>
      </w:r>
      <w:proofErr w:type="spellStart"/>
      <w:r w:rsidRPr="00750CA7">
        <w:rPr>
          <w:rFonts w:ascii="Calibri" w:hAnsi="Calibri" w:cs="Calibri"/>
          <w:sz w:val="22"/>
          <w:szCs w:val="22"/>
        </w:rPr>
        <w:t>subconcedida</w:t>
      </w:r>
      <w:proofErr w:type="spellEnd"/>
      <w:r w:rsidRPr="00750CA7">
        <w:rPr>
          <w:rFonts w:ascii="Calibri" w:hAnsi="Calibri" w:cs="Calibri"/>
          <w:sz w:val="22"/>
          <w:szCs w:val="22"/>
        </w:rPr>
        <w:t xml:space="preserve"> pelo período de 30 anos, foi realizad</w:t>
      </w:r>
      <w:r w:rsidR="009F6D22" w:rsidRPr="00750CA7">
        <w:rPr>
          <w:rFonts w:ascii="Calibri" w:hAnsi="Calibri" w:cs="Calibri"/>
          <w:sz w:val="22"/>
          <w:szCs w:val="22"/>
        </w:rPr>
        <w:t>o</w:t>
      </w:r>
      <w:r w:rsidRPr="00750CA7">
        <w:rPr>
          <w:rFonts w:ascii="Calibri" w:hAnsi="Calibri" w:cs="Calibri"/>
          <w:sz w:val="22"/>
          <w:szCs w:val="22"/>
        </w:rPr>
        <w:t xml:space="preserve"> o reconhecimento d</w:t>
      </w:r>
      <w:r w:rsidR="00C47374" w:rsidRPr="00750CA7">
        <w:rPr>
          <w:rFonts w:ascii="Calibri" w:hAnsi="Calibri" w:cs="Calibri"/>
          <w:sz w:val="22"/>
          <w:szCs w:val="22"/>
        </w:rPr>
        <w:t xml:space="preserve">a provisão de perda ao valor recuperável </w:t>
      </w:r>
      <w:r w:rsidRPr="00750CA7">
        <w:rPr>
          <w:rFonts w:ascii="Calibri" w:hAnsi="Calibri" w:cs="Calibri"/>
          <w:sz w:val="22"/>
          <w:szCs w:val="22"/>
        </w:rPr>
        <w:t>no ativo imobilizado da empresa, em consonância com o CPC – 01 (R1) – Redução ao Valor Recuperável de Ativos</w:t>
      </w:r>
      <w:r w:rsidR="00750CA7" w:rsidRPr="00750CA7">
        <w:rPr>
          <w:rFonts w:ascii="Calibri" w:hAnsi="Calibri" w:cs="Calibri"/>
          <w:sz w:val="22"/>
          <w:szCs w:val="22"/>
        </w:rPr>
        <w:t>;</w:t>
      </w:r>
    </w:p>
    <w:p w14:paraId="44281DA1" w14:textId="5B6F8423" w:rsidR="009F6D22" w:rsidRDefault="009F6D22" w:rsidP="00937ED9">
      <w:pPr>
        <w:numPr>
          <w:ilvl w:val="0"/>
          <w:numId w:val="32"/>
        </w:numPr>
        <w:autoSpaceDE w:val="0"/>
        <w:autoSpaceDN w:val="0"/>
        <w:spacing w:after="120"/>
        <w:ind w:left="714" w:hanging="357"/>
        <w:jc w:val="both"/>
        <w:rPr>
          <w:rFonts w:ascii="Calibri" w:hAnsi="Calibri" w:cs="Calibri"/>
          <w:sz w:val="22"/>
          <w:szCs w:val="22"/>
        </w:rPr>
      </w:pPr>
      <w:r w:rsidRPr="00750CA7">
        <w:rPr>
          <w:rFonts w:ascii="Calibri" w:hAnsi="Calibri" w:cs="Calibri"/>
          <w:sz w:val="22"/>
          <w:szCs w:val="22"/>
        </w:rPr>
        <w:t xml:space="preserve">Após o Leilão para Subconcessão do Trecho da Ferrovia de Integração Oeste Leste, denominado FIOL I, foi realizada a análise do valor recuperável de ativos e reconhecida </w:t>
      </w:r>
      <w:r w:rsidR="00C47374" w:rsidRPr="00750CA7">
        <w:rPr>
          <w:rFonts w:ascii="Calibri" w:hAnsi="Calibri" w:cs="Calibri"/>
          <w:sz w:val="22"/>
          <w:szCs w:val="22"/>
        </w:rPr>
        <w:t xml:space="preserve">provisão de perda ao valor recuperável </w:t>
      </w:r>
      <w:r w:rsidRPr="00750CA7">
        <w:rPr>
          <w:rFonts w:ascii="Calibri" w:hAnsi="Calibri" w:cs="Calibri"/>
          <w:sz w:val="22"/>
          <w:szCs w:val="22"/>
        </w:rPr>
        <w:t>no ativo imobilizado da empresa, em consonância com o CPC – 01 (R1) – Redução ao Valor Recuperável de Ativos</w:t>
      </w:r>
      <w:r w:rsidR="00C47374" w:rsidRPr="00750CA7">
        <w:rPr>
          <w:rFonts w:ascii="Calibri" w:hAnsi="Calibri" w:cs="Calibri"/>
          <w:sz w:val="22"/>
          <w:szCs w:val="22"/>
        </w:rPr>
        <w:t>;</w:t>
      </w:r>
    </w:p>
    <w:p w14:paraId="602D068F" w14:textId="02FCCBBE" w:rsidR="007074D2" w:rsidRPr="00425FC3" w:rsidRDefault="007074D2" w:rsidP="00937ED9">
      <w:pPr>
        <w:numPr>
          <w:ilvl w:val="0"/>
          <w:numId w:val="32"/>
        </w:numPr>
        <w:autoSpaceDE w:val="0"/>
        <w:autoSpaceDN w:val="0"/>
        <w:spacing w:after="120"/>
        <w:ind w:left="714" w:hanging="357"/>
        <w:jc w:val="both"/>
        <w:rPr>
          <w:rFonts w:ascii="Calibri" w:hAnsi="Calibri" w:cs="Calibri"/>
          <w:sz w:val="22"/>
          <w:szCs w:val="22"/>
        </w:rPr>
      </w:pPr>
      <w:r w:rsidRPr="00425FC3">
        <w:rPr>
          <w:rFonts w:ascii="Calibri" w:hAnsi="Calibri" w:cs="Calibri"/>
          <w:sz w:val="22"/>
          <w:szCs w:val="22"/>
        </w:rPr>
        <w:t xml:space="preserve">As demonstrações contábeis de 2019 e 2020 foram aprovadas em Assembleia Geral Ordinária em agosto e outubro de 2021, respectivamente. Assim, os </w:t>
      </w:r>
      <w:r w:rsidR="000F4B0D" w:rsidRPr="00425FC3">
        <w:rPr>
          <w:rFonts w:ascii="Calibri" w:hAnsi="Calibri" w:cs="Calibri"/>
          <w:sz w:val="22"/>
          <w:szCs w:val="22"/>
        </w:rPr>
        <w:t xml:space="preserve">efeitos dos testes de recuperabilidade da Ferrovia Norte e Sul e da Ferrovia de Integração Oeste Leste foram reconhecidos ainda nas demonstrações de 2019 e 2020. </w:t>
      </w:r>
      <w:r w:rsidR="00425FC3" w:rsidRPr="00425FC3">
        <w:rPr>
          <w:rFonts w:ascii="Calibri" w:hAnsi="Calibri" w:cs="Calibri"/>
          <w:sz w:val="22"/>
          <w:szCs w:val="22"/>
        </w:rPr>
        <w:t>N</w:t>
      </w:r>
      <w:r w:rsidR="000F4B0D" w:rsidRPr="00425FC3">
        <w:rPr>
          <w:rFonts w:ascii="Calibri" w:hAnsi="Calibri" w:cs="Calibri"/>
          <w:sz w:val="22"/>
          <w:szCs w:val="22"/>
        </w:rPr>
        <w:t xml:space="preserve">o exercício de 2021, </w:t>
      </w:r>
      <w:r w:rsidR="00D279E3" w:rsidRPr="00425FC3">
        <w:rPr>
          <w:rFonts w:ascii="Calibri" w:hAnsi="Calibri" w:cs="Calibri"/>
          <w:sz w:val="22"/>
          <w:szCs w:val="22"/>
        </w:rPr>
        <w:t>foram</w:t>
      </w:r>
      <w:r w:rsidR="000F4B0D" w:rsidRPr="00425FC3">
        <w:rPr>
          <w:rFonts w:ascii="Calibri" w:hAnsi="Calibri" w:cs="Calibri"/>
          <w:sz w:val="22"/>
          <w:szCs w:val="22"/>
        </w:rPr>
        <w:t xml:space="preserve"> efetuados novos testes de recuperabilidade e os respectivos efeitos </w:t>
      </w:r>
      <w:r w:rsidR="00D279E3" w:rsidRPr="00425FC3">
        <w:rPr>
          <w:rFonts w:ascii="Calibri" w:hAnsi="Calibri" w:cs="Calibri"/>
          <w:sz w:val="22"/>
          <w:szCs w:val="22"/>
        </w:rPr>
        <w:t>foram</w:t>
      </w:r>
      <w:r w:rsidR="000F4B0D" w:rsidRPr="00425FC3">
        <w:rPr>
          <w:rFonts w:ascii="Calibri" w:hAnsi="Calibri" w:cs="Calibri"/>
          <w:sz w:val="22"/>
          <w:szCs w:val="22"/>
        </w:rPr>
        <w:t xml:space="preserve"> reconhecidos nas demonstrações contábeis;</w:t>
      </w:r>
    </w:p>
    <w:p w14:paraId="52057C35" w14:textId="77777777" w:rsidR="007508BF" w:rsidRPr="002E2B5B" w:rsidRDefault="007A1072" w:rsidP="00937ED9">
      <w:pPr>
        <w:numPr>
          <w:ilvl w:val="0"/>
          <w:numId w:val="32"/>
        </w:numPr>
        <w:autoSpaceDE w:val="0"/>
        <w:autoSpaceDN w:val="0"/>
        <w:spacing w:after="120"/>
        <w:ind w:left="714" w:hanging="357"/>
        <w:jc w:val="both"/>
        <w:rPr>
          <w:rFonts w:ascii="Calibri" w:hAnsi="Calibri" w:cs="Calibri"/>
          <w:sz w:val="22"/>
          <w:szCs w:val="22"/>
        </w:rPr>
      </w:pPr>
      <w:r w:rsidRPr="002E2B5B">
        <w:rPr>
          <w:rFonts w:ascii="Calibri" w:hAnsi="Calibri" w:cs="Calibri"/>
          <w:sz w:val="22"/>
          <w:szCs w:val="22"/>
        </w:rPr>
        <w:t>O Pronunciamento Contábil CPC  06 (R2) introduziu um modelo único de contabilização de arrendamentos no balanço patrimonial para arrendatários. Um arrendatário reconhece um ativo de direito de uso que representa o seu direito de utilizar o ativo arrendado</w:t>
      </w:r>
      <w:r w:rsidR="00225A1A" w:rsidRPr="002E2B5B">
        <w:rPr>
          <w:rFonts w:ascii="Calibri" w:hAnsi="Calibri" w:cs="Calibri"/>
          <w:sz w:val="22"/>
          <w:szCs w:val="22"/>
        </w:rPr>
        <w:t>, o qual</w:t>
      </w:r>
      <w:r w:rsidR="007508BF" w:rsidRPr="002E2B5B">
        <w:rPr>
          <w:rFonts w:ascii="Calibri" w:hAnsi="Calibri" w:cs="Calibri"/>
          <w:sz w:val="22"/>
          <w:szCs w:val="22"/>
        </w:rPr>
        <w:t xml:space="preserve"> é reconhecido inicialmente pelo custo e</w:t>
      </w:r>
      <w:r w:rsidR="00225A1A" w:rsidRPr="002E2B5B">
        <w:rPr>
          <w:rFonts w:ascii="Calibri" w:hAnsi="Calibri" w:cs="Calibri"/>
          <w:sz w:val="22"/>
          <w:szCs w:val="22"/>
        </w:rPr>
        <w:t>,</w:t>
      </w:r>
      <w:r w:rsidR="007508BF" w:rsidRPr="002E2B5B">
        <w:rPr>
          <w:rFonts w:ascii="Calibri" w:hAnsi="Calibri" w:cs="Calibri"/>
          <w:sz w:val="22"/>
          <w:szCs w:val="22"/>
        </w:rPr>
        <w:t xml:space="preserve"> subsequentemente</w:t>
      </w:r>
      <w:r w:rsidR="00225A1A" w:rsidRPr="002E2B5B">
        <w:rPr>
          <w:rFonts w:ascii="Calibri" w:hAnsi="Calibri" w:cs="Calibri"/>
          <w:sz w:val="22"/>
          <w:szCs w:val="22"/>
        </w:rPr>
        <w:t>,</w:t>
      </w:r>
      <w:r w:rsidR="007508BF" w:rsidRPr="002E2B5B">
        <w:rPr>
          <w:rFonts w:ascii="Calibri" w:hAnsi="Calibri" w:cs="Calibri"/>
          <w:sz w:val="22"/>
          <w:szCs w:val="22"/>
        </w:rPr>
        <w:t xml:space="preserve"> pelo custo menos qualquer depreciação acumulada e ajustado pela taxa dos respectivos </w:t>
      </w:r>
      <w:r w:rsidR="00FF420C" w:rsidRPr="002E2B5B">
        <w:rPr>
          <w:rFonts w:ascii="Calibri" w:hAnsi="Calibri" w:cs="Calibri"/>
          <w:sz w:val="22"/>
          <w:szCs w:val="22"/>
        </w:rPr>
        <w:t>contratos; e</w:t>
      </w:r>
      <w:r w:rsidRPr="002E2B5B">
        <w:rPr>
          <w:rFonts w:ascii="Calibri" w:hAnsi="Calibri" w:cs="Calibri"/>
          <w:sz w:val="22"/>
          <w:szCs w:val="22"/>
        </w:rPr>
        <w:t xml:space="preserve"> um passivo de arrendamento que representa sua obrigação de efetuar pagamentos do arrendamento</w:t>
      </w:r>
      <w:r w:rsidR="007508BF" w:rsidRPr="002E2B5B">
        <w:rPr>
          <w:rFonts w:ascii="Calibri" w:hAnsi="Calibri" w:cs="Calibri"/>
          <w:sz w:val="22"/>
          <w:szCs w:val="22"/>
        </w:rPr>
        <w:t xml:space="preserve">, mensurado inicialmente </w:t>
      </w:r>
      <w:r w:rsidR="00225A1A" w:rsidRPr="002E2B5B">
        <w:rPr>
          <w:rFonts w:ascii="Calibri" w:hAnsi="Calibri" w:cs="Calibri"/>
          <w:sz w:val="22"/>
          <w:szCs w:val="22"/>
        </w:rPr>
        <w:t>pelo valor presente dos pagamentos.</w:t>
      </w:r>
      <w:r w:rsidRPr="002E2B5B">
        <w:rPr>
          <w:rFonts w:ascii="Calibri" w:hAnsi="Calibri" w:cs="Calibri"/>
          <w:sz w:val="22"/>
          <w:szCs w:val="22"/>
        </w:rPr>
        <w:t xml:space="preserve"> </w:t>
      </w:r>
      <w:r w:rsidR="007508BF" w:rsidRPr="002E2B5B">
        <w:rPr>
          <w:rFonts w:ascii="Calibri" w:hAnsi="Calibri" w:cs="Calibri"/>
          <w:sz w:val="22"/>
          <w:szCs w:val="22"/>
        </w:rPr>
        <w:t xml:space="preserve">O referido pronunciamento estabelece os princípios para o reconhecimento, mensuração, apresentação e divulgação de arrendamento e entrou em vigor em 01 de janeiro de 2019. </w:t>
      </w:r>
    </w:p>
    <w:p w14:paraId="377AEB79" w14:textId="53F12F12" w:rsidR="00356063" w:rsidRPr="00F20DF9" w:rsidRDefault="00356063" w:rsidP="00937ED9">
      <w:pPr>
        <w:numPr>
          <w:ilvl w:val="0"/>
          <w:numId w:val="32"/>
        </w:numPr>
        <w:autoSpaceDE w:val="0"/>
        <w:autoSpaceDN w:val="0"/>
        <w:spacing w:after="120"/>
        <w:ind w:left="714" w:hanging="357"/>
        <w:jc w:val="both"/>
        <w:rPr>
          <w:rFonts w:ascii="Calibri" w:hAnsi="Calibri" w:cs="Calibri"/>
          <w:sz w:val="22"/>
          <w:szCs w:val="22"/>
        </w:rPr>
      </w:pPr>
      <w:r w:rsidRPr="002E2B5B">
        <w:rPr>
          <w:rFonts w:ascii="Calibri" w:hAnsi="Calibri" w:cs="Calibri"/>
          <w:sz w:val="22"/>
          <w:szCs w:val="22"/>
        </w:rPr>
        <w:t>O ativo intangível composto por direito de uso e programas de software</w:t>
      </w:r>
      <w:r w:rsidR="00F34D29" w:rsidRPr="002E2B5B">
        <w:rPr>
          <w:rFonts w:ascii="Calibri" w:hAnsi="Calibri" w:cs="Calibri"/>
          <w:sz w:val="22"/>
          <w:szCs w:val="22"/>
        </w:rPr>
        <w:t xml:space="preserve">, conforme </w:t>
      </w:r>
      <w:r w:rsidR="002E3C51" w:rsidRPr="00B23D01">
        <w:rPr>
          <w:rFonts w:ascii="Calibri" w:hAnsi="Calibri" w:cs="Calibri"/>
          <w:sz w:val="22"/>
          <w:szCs w:val="22"/>
        </w:rPr>
        <w:t xml:space="preserve">Nota </w:t>
      </w:r>
      <w:r w:rsidR="00750CA7" w:rsidRPr="00B23D01">
        <w:rPr>
          <w:rFonts w:ascii="Calibri" w:hAnsi="Calibri" w:cs="Calibri"/>
          <w:sz w:val="22"/>
          <w:szCs w:val="22"/>
        </w:rPr>
        <w:t>9</w:t>
      </w:r>
      <w:r w:rsidRPr="00B23D01">
        <w:rPr>
          <w:rFonts w:ascii="Calibri" w:hAnsi="Calibri" w:cs="Calibri"/>
          <w:sz w:val="22"/>
          <w:szCs w:val="22"/>
        </w:rPr>
        <w:t xml:space="preserve">, é demonstrado pelo custo de aquisição deduzido das respectivas amortizações acumuladas, calculadas pelo método linear de </w:t>
      </w:r>
      <w:r w:rsidRPr="00F20DF9">
        <w:rPr>
          <w:rFonts w:ascii="Calibri" w:hAnsi="Calibri" w:cs="Calibri"/>
          <w:sz w:val="22"/>
          <w:szCs w:val="22"/>
        </w:rPr>
        <w:t>acordo com a legislação e devem ser</w:t>
      </w:r>
      <w:r w:rsidR="000D74D4" w:rsidRPr="00F20DF9">
        <w:rPr>
          <w:rFonts w:ascii="Calibri" w:hAnsi="Calibri" w:cs="Calibri"/>
          <w:sz w:val="22"/>
          <w:szCs w:val="22"/>
        </w:rPr>
        <w:t xml:space="preserve"> mantidas neste grupo até a </w:t>
      </w:r>
      <w:r w:rsidRPr="00F20DF9">
        <w:rPr>
          <w:rFonts w:ascii="Calibri" w:hAnsi="Calibri" w:cs="Calibri"/>
          <w:sz w:val="22"/>
          <w:szCs w:val="22"/>
        </w:rPr>
        <w:t>efetiva baixa;</w:t>
      </w:r>
    </w:p>
    <w:p w14:paraId="33CCA8FB" w14:textId="283B67F0" w:rsidR="004B5BEE" w:rsidRPr="003B2ACE" w:rsidRDefault="00356063" w:rsidP="003B2ACE">
      <w:pPr>
        <w:numPr>
          <w:ilvl w:val="0"/>
          <w:numId w:val="32"/>
        </w:numPr>
        <w:autoSpaceDE w:val="0"/>
        <w:autoSpaceDN w:val="0"/>
        <w:spacing w:after="120"/>
        <w:ind w:left="714" w:hanging="357"/>
        <w:jc w:val="both"/>
        <w:rPr>
          <w:rFonts w:ascii="Calibri" w:hAnsi="Calibri" w:cs="Calibri"/>
          <w:sz w:val="22"/>
          <w:szCs w:val="22"/>
        </w:rPr>
      </w:pPr>
      <w:r w:rsidRPr="00F20DF9">
        <w:rPr>
          <w:rFonts w:ascii="Calibri" w:hAnsi="Calibri" w:cs="Calibri"/>
          <w:sz w:val="22"/>
          <w:szCs w:val="22"/>
        </w:rPr>
        <w:t xml:space="preserve">As provisões para contingências </w:t>
      </w:r>
      <w:r w:rsidR="000D74D4" w:rsidRPr="00F20DF9">
        <w:rPr>
          <w:rFonts w:ascii="Calibri" w:hAnsi="Calibri" w:cs="Calibri"/>
          <w:sz w:val="22"/>
          <w:szCs w:val="22"/>
        </w:rPr>
        <w:t>são contabilizadas,</w:t>
      </w:r>
      <w:r w:rsidRPr="00F20DF9">
        <w:rPr>
          <w:rFonts w:ascii="Calibri" w:hAnsi="Calibri" w:cs="Calibri"/>
          <w:sz w:val="22"/>
          <w:szCs w:val="22"/>
        </w:rPr>
        <w:t xml:space="preserve"> com base na </w:t>
      </w:r>
      <w:r w:rsidR="00341FD7" w:rsidRPr="00F20DF9">
        <w:rPr>
          <w:rFonts w:ascii="Calibri" w:hAnsi="Calibri" w:cs="Calibri"/>
          <w:sz w:val="22"/>
          <w:szCs w:val="22"/>
        </w:rPr>
        <w:t xml:space="preserve">posição </w:t>
      </w:r>
      <w:r w:rsidRPr="00F20DF9">
        <w:rPr>
          <w:rFonts w:ascii="Calibri" w:hAnsi="Calibri" w:cs="Calibri"/>
          <w:sz w:val="22"/>
          <w:szCs w:val="22"/>
        </w:rPr>
        <w:t xml:space="preserve">da </w:t>
      </w:r>
      <w:r w:rsidR="00FA0D6A" w:rsidRPr="00F20DF9">
        <w:rPr>
          <w:rFonts w:ascii="Calibri" w:hAnsi="Calibri" w:cs="Calibri"/>
          <w:sz w:val="22"/>
          <w:szCs w:val="22"/>
        </w:rPr>
        <w:t>Procuradoria</w:t>
      </w:r>
      <w:r w:rsidRPr="00F20DF9">
        <w:rPr>
          <w:rFonts w:ascii="Calibri" w:hAnsi="Calibri" w:cs="Calibri"/>
          <w:sz w:val="22"/>
          <w:szCs w:val="22"/>
        </w:rPr>
        <w:t xml:space="preserve"> Jurídica</w:t>
      </w:r>
      <w:r w:rsidR="00341FD7" w:rsidRPr="00F20DF9">
        <w:rPr>
          <w:rFonts w:ascii="Calibri" w:hAnsi="Calibri" w:cs="Calibri"/>
          <w:sz w:val="22"/>
          <w:szCs w:val="22"/>
        </w:rPr>
        <w:t xml:space="preserve">, a qual é formulada </w:t>
      </w:r>
      <w:r w:rsidR="00412855" w:rsidRPr="00F20DF9">
        <w:rPr>
          <w:rFonts w:ascii="Calibri" w:hAnsi="Calibri" w:cs="Calibri"/>
          <w:sz w:val="22"/>
          <w:szCs w:val="22"/>
        </w:rPr>
        <w:t>na análise técnica individual dos advogados</w:t>
      </w:r>
      <w:r w:rsidRPr="00F20DF9">
        <w:rPr>
          <w:rFonts w:ascii="Calibri" w:hAnsi="Calibri" w:cs="Calibri"/>
          <w:sz w:val="22"/>
          <w:szCs w:val="22"/>
        </w:rPr>
        <w:t>, quando for considerado provável o risco de perda de uma ação judicial ou administrativa</w:t>
      </w:r>
      <w:r w:rsidR="00A548B5" w:rsidRPr="00F20DF9">
        <w:rPr>
          <w:rFonts w:ascii="Calibri" w:hAnsi="Calibri" w:cs="Calibri"/>
          <w:sz w:val="22"/>
          <w:szCs w:val="22"/>
        </w:rPr>
        <w:t>,</w:t>
      </w:r>
      <w:r w:rsidRPr="00F20DF9">
        <w:rPr>
          <w:rFonts w:ascii="Calibri" w:hAnsi="Calibri" w:cs="Calibri"/>
          <w:sz w:val="22"/>
          <w:szCs w:val="22"/>
        </w:rPr>
        <w:t xml:space="preserve"> e sempre que os montantes envolvidos forem mensuráveis com suficiente segurança</w:t>
      </w:r>
      <w:r w:rsidR="00860A37" w:rsidRPr="00F20DF9">
        <w:rPr>
          <w:rFonts w:ascii="Calibri" w:hAnsi="Calibri" w:cs="Calibri"/>
          <w:sz w:val="22"/>
          <w:szCs w:val="22"/>
        </w:rPr>
        <w:t>, conforme Nota 1</w:t>
      </w:r>
      <w:r w:rsidR="00750CA7" w:rsidRPr="00F20DF9">
        <w:rPr>
          <w:rFonts w:ascii="Calibri" w:hAnsi="Calibri" w:cs="Calibri"/>
          <w:sz w:val="22"/>
          <w:szCs w:val="22"/>
        </w:rPr>
        <w:t>1</w:t>
      </w:r>
      <w:r w:rsidR="00860A37" w:rsidRPr="00F20DF9">
        <w:rPr>
          <w:rFonts w:ascii="Calibri" w:hAnsi="Calibri" w:cs="Calibri"/>
          <w:sz w:val="22"/>
          <w:szCs w:val="22"/>
        </w:rPr>
        <w:t>b</w:t>
      </w:r>
      <w:r w:rsidRPr="00F20DF9">
        <w:rPr>
          <w:rFonts w:ascii="Calibri" w:hAnsi="Calibri" w:cs="Calibri"/>
          <w:sz w:val="22"/>
          <w:szCs w:val="22"/>
        </w:rPr>
        <w:t xml:space="preserve">. As provisões classificadas como perdas possíveis pela </w:t>
      </w:r>
      <w:r w:rsidR="00FA0D6A" w:rsidRPr="00F20DF9">
        <w:rPr>
          <w:rFonts w:ascii="Calibri" w:hAnsi="Calibri" w:cs="Calibri"/>
          <w:sz w:val="22"/>
          <w:szCs w:val="22"/>
        </w:rPr>
        <w:t>Procuradoria</w:t>
      </w:r>
      <w:r w:rsidRPr="00F20DF9">
        <w:rPr>
          <w:rFonts w:ascii="Calibri" w:hAnsi="Calibri" w:cs="Calibri"/>
          <w:sz w:val="22"/>
          <w:szCs w:val="22"/>
        </w:rPr>
        <w:t xml:space="preserve"> Jurídica </w:t>
      </w:r>
      <w:r w:rsidR="002F5633" w:rsidRPr="00F20DF9">
        <w:rPr>
          <w:rFonts w:ascii="Calibri" w:hAnsi="Calibri" w:cs="Calibri"/>
          <w:sz w:val="22"/>
          <w:szCs w:val="22"/>
        </w:rPr>
        <w:t xml:space="preserve">são </w:t>
      </w:r>
      <w:r w:rsidRPr="00F20DF9">
        <w:rPr>
          <w:rFonts w:ascii="Calibri" w:hAnsi="Calibri" w:cs="Calibri"/>
          <w:sz w:val="22"/>
          <w:szCs w:val="22"/>
        </w:rPr>
        <w:t xml:space="preserve">divulgadas com base na perda histórica, enquanto aquelas classificadas como perda remota não são passíveis de provisão </w:t>
      </w:r>
      <w:r w:rsidR="00DA710C" w:rsidRPr="00F20DF9">
        <w:rPr>
          <w:rFonts w:ascii="Calibri" w:hAnsi="Calibri" w:cs="Calibri"/>
          <w:sz w:val="22"/>
          <w:szCs w:val="22"/>
        </w:rPr>
        <w:t>e</w:t>
      </w:r>
      <w:r w:rsidR="00F510A3" w:rsidRPr="00F20DF9">
        <w:rPr>
          <w:rFonts w:ascii="Calibri" w:hAnsi="Calibri" w:cs="Calibri"/>
          <w:sz w:val="22"/>
          <w:szCs w:val="22"/>
        </w:rPr>
        <w:t xml:space="preserve"> divulgação</w:t>
      </w:r>
      <w:r w:rsidR="003B2ACE">
        <w:rPr>
          <w:rFonts w:ascii="Calibri" w:hAnsi="Calibri" w:cs="Calibri"/>
          <w:sz w:val="22"/>
          <w:szCs w:val="22"/>
        </w:rPr>
        <w:t xml:space="preserve">, </w:t>
      </w:r>
      <w:r w:rsidR="004B5BEE" w:rsidRPr="003B2ACE">
        <w:rPr>
          <w:rFonts w:ascii="Calibri" w:hAnsi="Calibri" w:cs="Calibri"/>
          <w:sz w:val="22"/>
          <w:szCs w:val="22"/>
        </w:rPr>
        <w:t>atende</w:t>
      </w:r>
      <w:r w:rsidR="003B2ACE">
        <w:rPr>
          <w:rFonts w:ascii="Calibri" w:hAnsi="Calibri" w:cs="Calibri"/>
          <w:sz w:val="22"/>
          <w:szCs w:val="22"/>
        </w:rPr>
        <w:t>ndo ao</w:t>
      </w:r>
      <w:r w:rsidR="004B5BEE" w:rsidRPr="003B2ACE">
        <w:rPr>
          <w:rFonts w:ascii="Calibri" w:hAnsi="Calibri" w:cs="Calibri"/>
          <w:sz w:val="22"/>
          <w:szCs w:val="22"/>
        </w:rPr>
        <w:t xml:space="preserve"> disposto no CPC nº 25</w:t>
      </w:r>
      <w:r w:rsidR="000703BF" w:rsidRPr="003B2ACE">
        <w:rPr>
          <w:rFonts w:ascii="Calibri" w:hAnsi="Calibri" w:cs="Calibri"/>
          <w:sz w:val="22"/>
          <w:szCs w:val="22"/>
        </w:rPr>
        <w:t xml:space="preserve"> – Provisões, </w:t>
      </w:r>
      <w:r w:rsidR="00FA0D6A" w:rsidRPr="003B2ACE">
        <w:rPr>
          <w:rFonts w:ascii="Calibri" w:hAnsi="Calibri" w:cs="Calibri"/>
          <w:sz w:val="22"/>
          <w:szCs w:val="22"/>
        </w:rPr>
        <w:t>P</w:t>
      </w:r>
      <w:r w:rsidR="000703BF" w:rsidRPr="003B2ACE">
        <w:rPr>
          <w:rFonts w:ascii="Calibri" w:hAnsi="Calibri" w:cs="Calibri"/>
          <w:sz w:val="22"/>
          <w:szCs w:val="22"/>
        </w:rPr>
        <w:t>assivos Contingentes e Ativos Contingentes</w:t>
      </w:r>
      <w:r w:rsidR="00D4582D" w:rsidRPr="003B2ACE">
        <w:rPr>
          <w:rFonts w:ascii="Calibri" w:hAnsi="Calibri" w:cs="Calibri"/>
          <w:sz w:val="22"/>
          <w:szCs w:val="22"/>
        </w:rPr>
        <w:t>;</w:t>
      </w:r>
      <w:r w:rsidR="004B5BEE" w:rsidRPr="003B2ACE">
        <w:rPr>
          <w:rFonts w:ascii="Calibri" w:hAnsi="Calibri" w:cs="Calibri"/>
          <w:sz w:val="22"/>
          <w:szCs w:val="22"/>
        </w:rPr>
        <w:t xml:space="preserve"> </w:t>
      </w:r>
    </w:p>
    <w:p w14:paraId="4D7B6639" w14:textId="77777777" w:rsidR="006F2787" w:rsidRPr="002E2B5B" w:rsidRDefault="006F2787" w:rsidP="00937ED9">
      <w:pPr>
        <w:numPr>
          <w:ilvl w:val="0"/>
          <w:numId w:val="32"/>
        </w:numPr>
        <w:autoSpaceDE w:val="0"/>
        <w:autoSpaceDN w:val="0"/>
        <w:spacing w:after="120"/>
        <w:ind w:left="714" w:hanging="357"/>
        <w:jc w:val="both"/>
        <w:rPr>
          <w:rFonts w:ascii="Calibri" w:hAnsi="Calibri" w:cs="Calibri"/>
          <w:sz w:val="22"/>
          <w:szCs w:val="22"/>
        </w:rPr>
      </w:pPr>
      <w:r w:rsidRPr="002E2B5B">
        <w:rPr>
          <w:rFonts w:ascii="Calibri" w:hAnsi="Calibri" w:cs="Calibri"/>
          <w:sz w:val="22"/>
          <w:szCs w:val="22"/>
        </w:rPr>
        <w:t>Ativos financeiros são avaliados pelo valor justo decorrentes do resultado</w:t>
      </w:r>
      <w:r w:rsidR="001B4C75" w:rsidRPr="002E2B5B">
        <w:rPr>
          <w:rFonts w:ascii="Calibri" w:hAnsi="Calibri" w:cs="Calibri"/>
          <w:sz w:val="22"/>
          <w:szCs w:val="22"/>
        </w:rPr>
        <w:t xml:space="preserve">. </w:t>
      </w:r>
      <w:r w:rsidR="0046500A" w:rsidRPr="002E2B5B">
        <w:rPr>
          <w:rFonts w:ascii="Calibri" w:hAnsi="Calibri" w:cs="Calibri"/>
          <w:sz w:val="22"/>
          <w:szCs w:val="22"/>
        </w:rPr>
        <w:t>Ao</w:t>
      </w:r>
      <w:r w:rsidR="00215A18" w:rsidRPr="002E2B5B">
        <w:rPr>
          <w:rFonts w:ascii="Calibri" w:hAnsi="Calibri" w:cs="Calibri"/>
          <w:sz w:val="22"/>
          <w:szCs w:val="22"/>
        </w:rPr>
        <w:t>s</w:t>
      </w:r>
      <w:r w:rsidRPr="002E2B5B">
        <w:rPr>
          <w:rFonts w:ascii="Calibri" w:hAnsi="Calibri" w:cs="Calibri"/>
          <w:sz w:val="22"/>
          <w:szCs w:val="22"/>
        </w:rPr>
        <w:t xml:space="preserve"> ativos financeiros presentes </w:t>
      </w:r>
      <w:r w:rsidR="00215A18" w:rsidRPr="002E2B5B">
        <w:rPr>
          <w:rFonts w:ascii="Calibri" w:hAnsi="Calibri" w:cs="Calibri"/>
          <w:sz w:val="22"/>
          <w:szCs w:val="22"/>
        </w:rPr>
        <w:t>nesta Companhia</w:t>
      </w:r>
      <w:r w:rsidRPr="002E2B5B">
        <w:rPr>
          <w:rFonts w:ascii="Calibri" w:hAnsi="Calibri" w:cs="Calibri"/>
          <w:sz w:val="22"/>
          <w:szCs w:val="22"/>
        </w:rPr>
        <w:t xml:space="preserve"> incluem-se os equivalentes de caixa, e os direitos creditórios contratuais a receber</w:t>
      </w:r>
      <w:r w:rsidR="00F07F27" w:rsidRPr="002E2B5B">
        <w:rPr>
          <w:rFonts w:ascii="Calibri" w:hAnsi="Calibri" w:cs="Calibri"/>
          <w:sz w:val="22"/>
          <w:szCs w:val="22"/>
        </w:rPr>
        <w:t>;</w:t>
      </w:r>
      <w:r w:rsidRPr="002E2B5B">
        <w:rPr>
          <w:rFonts w:ascii="Calibri" w:hAnsi="Calibri" w:cs="Calibri"/>
          <w:sz w:val="22"/>
          <w:szCs w:val="22"/>
        </w:rPr>
        <w:t xml:space="preserve"> </w:t>
      </w:r>
    </w:p>
    <w:p w14:paraId="120D712A" w14:textId="2DA0501E" w:rsidR="006F2787" w:rsidRPr="002E2B5B" w:rsidRDefault="006F2787" w:rsidP="00937ED9">
      <w:pPr>
        <w:numPr>
          <w:ilvl w:val="0"/>
          <w:numId w:val="32"/>
        </w:numPr>
        <w:autoSpaceDE w:val="0"/>
        <w:autoSpaceDN w:val="0"/>
        <w:spacing w:after="120"/>
        <w:ind w:left="714" w:hanging="357"/>
        <w:jc w:val="both"/>
        <w:rPr>
          <w:rFonts w:ascii="Calibri" w:hAnsi="Calibri" w:cs="Calibri"/>
          <w:sz w:val="22"/>
          <w:szCs w:val="22"/>
        </w:rPr>
      </w:pPr>
      <w:r w:rsidRPr="002E2B5B">
        <w:rPr>
          <w:rFonts w:ascii="Calibri" w:hAnsi="Calibri" w:cs="Calibri"/>
          <w:sz w:val="22"/>
          <w:szCs w:val="22"/>
        </w:rPr>
        <w:t>A VALEC avalia durante o encerramento das demonstrações financeiras se transcorreu, em determinado intervalo, a desvalorização econômica (recuperação) do ativo financeiro ou do grupo de ativos financeiros. Terminantemente, considera-se não recuperável quando houver indicação de ausência de retomada do resultado de um ou mais eventos que tenham acontecido depois do reconhecimento inicial do ativo (um evento de perda incorrida) e essa perda tenha influência no fluxo de caixa estimado do ativo financeiro, ou do grupo de ativos financeiros, que possa ser razoavelmente presumida</w:t>
      </w:r>
      <w:r w:rsidR="00F07F27" w:rsidRPr="002E2B5B">
        <w:rPr>
          <w:rFonts w:ascii="Calibri" w:hAnsi="Calibri" w:cs="Calibri"/>
          <w:sz w:val="22"/>
          <w:szCs w:val="22"/>
        </w:rPr>
        <w:t>;</w:t>
      </w:r>
      <w:r w:rsidR="00FA0D6A" w:rsidRPr="002E2B5B">
        <w:rPr>
          <w:rFonts w:ascii="Calibri" w:hAnsi="Calibri" w:cs="Calibri"/>
          <w:sz w:val="22"/>
          <w:szCs w:val="22"/>
        </w:rPr>
        <w:t xml:space="preserve"> </w:t>
      </w:r>
      <w:r w:rsidR="00B80638">
        <w:rPr>
          <w:rFonts w:ascii="Calibri" w:hAnsi="Calibri" w:cs="Calibri"/>
          <w:sz w:val="22"/>
          <w:szCs w:val="22"/>
        </w:rPr>
        <w:t>e</w:t>
      </w:r>
    </w:p>
    <w:p w14:paraId="28BB08F7" w14:textId="39C3EC3B" w:rsidR="001B6529" w:rsidRDefault="006F2787" w:rsidP="00937ED9">
      <w:pPr>
        <w:numPr>
          <w:ilvl w:val="0"/>
          <w:numId w:val="32"/>
        </w:numPr>
        <w:autoSpaceDE w:val="0"/>
        <w:autoSpaceDN w:val="0"/>
        <w:spacing w:after="120"/>
        <w:ind w:left="714" w:hanging="357"/>
        <w:jc w:val="both"/>
        <w:rPr>
          <w:rFonts w:ascii="Calibri" w:hAnsi="Calibri" w:cs="Calibri"/>
          <w:sz w:val="22"/>
          <w:szCs w:val="22"/>
        </w:rPr>
      </w:pPr>
      <w:r w:rsidRPr="002E2B5B">
        <w:rPr>
          <w:rFonts w:ascii="Calibri" w:hAnsi="Calibri" w:cs="Calibri"/>
          <w:sz w:val="22"/>
          <w:szCs w:val="22"/>
        </w:rPr>
        <w:lastRenderedPageBreak/>
        <w:t>As obrigações financeiras são avaliadas pelo valor justo, de maneira similar ao ativo financeiro. Por conseguinte, envolve as obrigações desta Companhia com terceiros interessados, das quais destacam-se os fornecedores de mercadorias e serviços, as obrigações trabalhistas e tributárias, entre outras</w:t>
      </w:r>
      <w:r w:rsidR="00B80638">
        <w:rPr>
          <w:rFonts w:ascii="Calibri" w:hAnsi="Calibri" w:cs="Calibri"/>
          <w:sz w:val="22"/>
          <w:szCs w:val="22"/>
        </w:rPr>
        <w:t>.</w:t>
      </w:r>
    </w:p>
    <w:p w14:paraId="65714187" w14:textId="0C7F4747" w:rsidR="00A66979" w:rsidRPr="002E2B5B" w:rsidRDefault="00D22F5E" w:rsidP="00937ED9">
      <w:pPr>
        <w:spacing w:after="120"/>
        <w:jc w:val="both"/>
        <w:rPr>
          <w:rFonts w:ascii="Calibri" w:hAnsi="Calibri" w:cs="Calibri"/>
          <w:b/>
          <w:sz w:val="22"/>
          <w:szCs w:val="22"/>
        </w:rPr>
      </w:pPr>
      <w:r w:rsidRPr="002E2B5B">
        <w:rPr>
          <w:rFonts w:ascii="Calibri" w:hAnsi="Calibri" w:cs="Calibri"/>
          <w:b/>
          <w:sz w:val="22"/>
          <w:szCs w:val="22"/>
        </w:rPr>
        <w:t xml:space="preserve">NOTA </w:t>
      </w:r>
      <w:r w:rsidR="00E32899">
        <w:rPr>
          <w:rFonts w:ascii="Calibri" w:hAnsi="Calibri" w:cs="Calibri"/>
          <w:b/>
          <w:sz w:val="22"/>
          <w:szCs w:val="22"/>
        </w:rPr>
        <w:t>3</w:t>
      </w:r>
      <w:r w:rsidR="007F70B5" w:rsidRPr="002E2B5B">
        <w:rPr>
          <w:rFonts w:ascii="Calibri" w:hAnsi="Calibri" w:cs="Calibri"/>
          <w:b/>
          <w:sz w:val="22"/>
          <w:szCs w:val="22"/>
        </w:rPr>
        <w:t xml:space="preserve"> </w:t>
      </w:r>
      <w:r w:rsidR="006927EB" w:rsidRPr="002E2B5B">
        <w:rPr>
          <w:rFonts w:ascii="Calibri" w:hAnsi="Calibri" w:cs="Calibri"/>
          <w:b/>
          <w:sz w:val="22"/>
          <w:szCs w:val="22"/>
        </w:rPr>
        <w:t>–</w:t>
      </w:r>
      <w:r w:rsidR="007F70B5" w:rsidRPr="002E2B5B">
        <w:rPr>
          <w:rFonts w:ascii="Calibri" w:hAnsi="Calibri" w:cs="Calibri"/>
          <w:b/>
          <w:sz w:val="22"/>
          <w:szCs w:val="22"/>
        </w:rPr>
        <w:t xml:space="preserve"> </w:t>
      </w:r>
      <w:r w:rsidR="006927EB" w:rsidRPr="002E2B5B">
        <w:rPr>
          <w:rFonts w:ascii="Calibri" w:hAnsi="Calibri" w:cs="Calibri"/>
          <w:b/>
          <w:sz w:val="22"/>
          <w:szCs w:val="22"/>
        </w:rPr>
        <w:t xml:space="preserve">CAIXA E EQUIVALENTE DE CAIXA - </w:t>
      </w:r>
      <w:r w:rsidR="000643B0" w:rsidRPr="002E2B5B">
        <w:rPr>
          <w:rFonts w:ascii="Calibri" w:hAnsi="Calibri" w:cs="Calibri"/>
          <w:b/>
          <w:sz w:val="22"/>
          <w:szCs w:val="22"/>
        </w:rPr>
        <w:t xml:space="preserve">CONTA VINCULADA - </w:t>
      </w:r>
      <w:r w:rsidR="002069FD" w:rsidRPr="002E2B5B">
        <w:rPr>
          <w:rFonts w:ascii="Calibri" w:hAnsi="Calibri" w:cs="Calibri"/>
          <w:b/>
          <w:sz w:val="22"/>
          <w:szCs w:val="22"/>
        </w:rPr>
        <w:t>LIMITE DE SAQUE COM VINCULAÇÃO DE PAGAMENTO</w:t>
      </w:r>
      <w:r w:rsidR="00E50CF7" w:rsidRPr="002E2B5B">
        <w:rPr>
          <w:rFonts w:ascii="Calibri" w:hAnsi="Calibri" w:cs="Calibri"/>
          <w:b/>
          <w:sz w:val="22"/>
          <w:szCs w:val="22"/>
        </w:rPr>
        <w:t xml:space="preserve"> </w:t>
      </w:r>
    </w:p>
    <w:p w14:paraId="1989F6D6" w14:textId="0F3E2E03" w:rsidR="00D4582D" w:rsidRPr="002E2B5B" w:rsidRDefault="000643B0" w:rsidP="00937ED9">
      <w:pPr>
        <w:spacing w:after="120"/>
        <w:jc w:val="both"/>
        <w:rPr>
          <w:rFonts w:ascii="Calibri" w:hAnsi="Calibri" w:cs="Calibri"/>
          <w:sz w:val="22"/>
          <w:szCs w:val="22"/>
        </w:rPr>
      </w:pPr>
      <w:r w:rsidRPr="002E2B5B">
        <w:rPr>
          <w:rFonts w:ascii="Calibri" w:hAnsi="Calibri" w:cs="Calibri"/>
          <w:sz w:val="22"/>
          <w:szCs w:val="22"/>
        </w:rPr>
        <w:t>Ne</w:t>
      </w:r>
      <w:r w:rsidR="0041556E" w:rsidRPr="002E2B5B">
        <w:rPr>
          <w:rFonts w:ascii="Calibri" w:hAnsi="Calibri" w:cs="Calibri"/>
          <w:sz w:val="22"/>
          <w:szCs w:val="22"/>
        </w:rPr>
        <w:t>s</w:t>
      </w:r>
      <w:r w:rsidR="004F6D01" w:rsidRPr="002E2B5B">
        <w:rPr>
          <w:rFonts w:ascii="Calibri" w:hAnsi="Calibri" w:cs="Calibri"/>
          <w:sz w:val="22"/>
          <w:szCs w:val="22"/>
        </w:rPr>
        <w:t>t</w:t>
      </w:r>
      <w:r w:rsidR="0041556E" w:rsidRPr="002E2B5B">
        <w:rPr>
          <w:rFonts w:ascii="Calibri" w:hAnsi="Calibri" w:cs="Calibri"/>
          <w:sz w:val="22"/>
          <w:szCs w:val="22"/>
        </w:rPr>
        <w:t>a</w:t>
      </w:r>
      <w:r w:rsidR="006B4425" w:rsidRPr="002E2B5B">
        <w:rPr>
          <w:rFonts w:ascii="Calibri" w:hAnsi="Calibri" w:cs="Calibri"/>
          <w:sz w:val="22"/>
          <w:szCs w:val="22"/>
        </w:rPr>
        <w:t xml:space="preserve"> conta </w:t>
      </w:r>
      <w:r w:rsidRPr="002E2B5B">
        <w:rPr>
          <w:rFonts w:ascii="Calibri" w:hAnsi="Calibri" w:cs="Calibri"/>
          <w:sz w:val="22"/>
          <w:szCs w:val="22"/>
        </w:rPr>
        <w:t xml:space="preserve">é </w:t>
      </w:r>
      <w:r w:rsidR="006B4425" w:rsidRPr="002E2B5B">
        <w:rPr>
          <w:rFonts w:ascii="Calibri" w:hAnsi="Calibri" w:cs="Calibri"/>
          <w:sz w:val="22"/>
          <w:szCs w:val="22"/>
        </w:rPr>
        <w:t>registra</w:t>
      </w:r>
      <w:r w:rsidRPr="002E2B5B">
        <w:rPr>
          <w:rFonts w:ascii="Calibri" w:hAnsi="Calibri" w:cs="Calibri"/>
          <w:sz w:val="22"/>
          <w:szCs w:val="22"/>
        </w:rPr>
        <w:t>do</w:t>
      </w:r>
      <w:r w:rsidR="006B4425" w:rsidRPr="002E2B5B">
        <w:rPr>
          <w:rFonts w:ascii="Calibri" w:hAnsi="Calibri" w:cs="Calibri"/>
          <w:sz w:val="22"/>
          <w:szCs w:val="22"/>
        </w:rPr>
        <w:t xml:space="preserve"> o valor do</w:t>
      </w:r>
      <w:r w:rsidR="001F6377" w:rsidRPr="002E2B5B">
        <w:rPr>
          <w:rFonts w:ascii="Calibri" w:hAnsi="Calibri" w:cs="Calibri"/>
          <w:sz w:val="22"/>
          <w:szCs w:val="22"/>
        </w:rPr>
        <w:t xml:space="preserve"> limite de saque da Conta Única do Tesouro Nacional, estabelecido pelo órgão central de programação financeira, para at</w:t>
      </w:r>
      <w:r w:rsidR="00F63ADC" w:rsidRPr="002E2B5B">
        <w:rPr>
          <w:rFonts w:ascii="Calibri" w:hAnsi="Calibri" w:cs="Calibri"/>
          <w:sz w:val="22"/>
          <w:szCs w:val="22"/>
        </w:rPr>
        <w:t>ender as despesas com vinculações</w:t>
      </w:r>
      <w:r w:rsidR="001F6377" w:rsidRPr="002E2B5B">
        <w:rPr>
          <w:rFonts w:ascii="Calibri" w:hAnsi="Calibri" w:cs="Calibri"/>
          <w:sz w:val="22"/>
          <w:szCs w:val="22"/>
        </w:rPr>
        <w:t xml:space="preserve"> de pagamento</w:t>
      </w:r>
      <w:r w:rsidR="00F63ADC" w:rsidRPr="002E2B5B">
        <w:rPr>
          <w:rFonts w:ascii="Calibri" w:hAnsi="Calibri" w:cs="Calibri"/>
          <w:sz w:val="22"/>
          <w:szCs w:val="22"/>
        </w:rPr>
        <w:t>s</w:t>
      </w:r>
      <w:r w:rsidR="001F6377" w:rsidRPr="002E2B5B">
        <w:rPr>
          <w:rFonts w:ascii="Calibri" w:hAnsi="Calibri" w:cs="Calibri"/>
          <w:sz w:val="22"/>
          <w:szCs w:val="22"/>
        </w:rPr>
        <w:t xml:space="preserve"> divididas nas seguintes categorias:</w:t>
      </w:r>
    </w:p>
    <w:p w14:paraId="23026688" w14:textId="77777777" w:rsidR="00EE345F" w:rsidRPr="002E2B5B" w:rsidRDefault="00146DAB" w:rsidP="00937ED9">
      <w:pPr>
        <w:spacing w:after="120"/>
        <w:rPr>
          <w:rFonts w:ascii="Calibri" w:hAnsi="Calibri" w:cs="Calibri"/>
          <w:sz w:val="22"/>
          <w:szCs w:val="22"/>
        </w:rPr>
      </w:pPr>
      <w:r w:rsidRPr="002E2B5B">
        <w:rPr>
          <w:rFonts w:ascii="Calibri" w:hAnsi="Calibri" w:cs="Calibri"/>
          <w:sz w:val="22"/>
          <w:szCs w:val="22"/>
        </w:rPr>
        <w:t>Categoria de</w:t>
      </w:r>
      <w:r w:rsidR="00141E08" w:rsidRPr="002E2B5B">
        <w:rPr>
          <w:rFonts w:ascii="Calibri" w:hAnsi="Calibri" w:cs="Calibri"/>
          <w:sz w:val="22"/>
          <w:szCs w:val="22"/>
        </w:rPr>
        <w:t xml:space="preserve"> Gasto</w:t>
      </w:r>
      <w:r w:rsidR="00D80B1F" w:rsidRPr="002E2B5B">
        <w:rPr>
          <w:rFonts w:ascii="Calibri" w:hAnsi="Calibri" w:cs="Calibri"/>
          <w:sz w:val="22"/>
          <w:szCs w:val="22"/>
        </w:rPr>
        <w:t xml:space="preserve"> com Pessoal e Encargos Sociais</w:t>
      </w:r>
      <w:r w:rsidR="00141E08" w:rsidRPr="002E2B5B">
        <w:rPr>
          <w:rFonts w:ascii="Calibri" w:hAnsi="Calibri" w:cs="Calibri"/>
          <w:sz w:val="22"/>
          <w:szCs w:val="22"/>
        </w:rPr>
        <w:t xml:space="preserve"> </w:t>
      </w:r>
      <w:r w:rsidR="00EE345F" w:rsidRPr="002E2B5B">
        <w:rPr>
          <w:rFonts w:ascii="Calibri" w:hAnsi="Calibri" w:cs="Calibri"/>
          <w:sz w:val="22"/>
          <w:szCs w:val="22"/>
        </w:rPr>
        <w:t>–</w:t>
      </w:r>
      <w:r w:rsidR="00141E08" w:rsidRPr="002E2B5B">
        <w:rPr>
          <w:rFonts w:ascii="Calibri" w:hAnsi="Calibri" w:cs="Calibri"/>
          <w:sz w:val="22"/>
          <w:szCs w:val="22"/>
        </w:rPr>
        <w:t xml:space="preserve"> </w:t>
      </w:r>
      <w:r w:rsidR="00D80B1F" w:rsidRPr="002E2B5B">
        <w:rPr>
          <w:rFonts w:ascii="Calibri" w:hAnsi="Calibri" w:cs="Calibri"/>
          <w:sz w:val="22"/>
          <w:szCs w:val="22"/>
        </w:rPr>
        <w:t>(</w:t>
      </w:r>
      <w:r w:rsidR="00141E08" w:rsidRPr="002E2B5B">
        <w:rPr>
          <w:rFonts w:ascii="Calibri" w:hAnsi="Calibri" w:cs="Calibri"/>
          <w:sz w:val="22"/>
          <w:szCs w:val="22"/>
        </w:rPr>
        <w:t>A</w:t>
      </w:r>
      <w:r w:rsidR="00D80B1F" w:rsidRPr="002E2B5B">
        <w:rPr>
          <w:rFonts w:ascii="Calibri" w:hAnsi="Calibri" w:cs="Calibri"/>
          <w:sz w:val="22"/>
          <w:szCs w:val="22"/>
        </w:rPr>
        <w:t>)</w:t>
      </w:r>
      <w:r w:rsidR="00EE345F" w:rsidRPr="002E2B5B">
        <w:rPr>
          <w:rFonts w:ascii="Calibri" w:hAnsi="Calibri" w:cs="Calibri"/>
          <w:sz w:val="22"/>
          <w:szCs w:val="22"/>
        </w:rPr>
        <w:t xml:space="preserve"> V</w:t>
      </w:r>
      <w:r w:rsidR="00D80B1F" w:rsidRPr="002E2B5B">
        <w:rPr>
          <w:rFonts w:ascii="Calibri" w:hAnsi="Calibri" w:cs="Calibri"/>
          <w:sz w:val="22"/>
          <w:szCs w:val="22"/>
        </w:rPr>
        <w:t>inculações:</w:t>
      </w:r>
      <w:r w:rsidR="00EE345F" w:rsidRPr="002E2B5B">
        <w:rPr>
          <w:rFonts w:ascii="Calibri" w:hAnsi="Calibri" w:cs="Calibri"/>
          <w:sz w:val="22"/>
          <w:szCs w:val="22"/>
        </w:rPr>
        <w:t xml:space="preserve"> 130,</w:t>
      </w:r>
      <w:r w:rsidR="009609C9" w:rsidRPr="002E2B5B">
        <w:rPr>
          <w:rFonts w:ascii="Calibri" w:hAnsi="Calibri" w:cs="Calibri"/>
          <w:sz w:val="22"/>
          <w:szCs w:val="22"/>
        </w:rPr>
        <w:t xml:space="preserve"> </w:t>
      </w:r>
      <w:r w:rsidR="00EE345F" w:rsidRPr="002E2B5B">
        <w:rPr>
          <w:rFonts w:ascii="Calibri" w:hAnsi="Calibri" w:cs="Calibri"/>
          <w:sz w:val="22"/>
          <w:szCs w:val="22"/>
        </w:rPr>
        <w:t>307,</w:t>
      </w:r>
      <w:r w:rsidR="009609C9" w:rsidRPr="002E2B5B">
        <w:rPr>
          <w:rFonts w:ascii="Calibri" w:hAnsi="Calibri" w:cs="Calibri"/>
          <w:sz w:val="22"/>
          <w:szCs w:val="22"/>
        </w:rPr>
        <w:t xml:space="preserve"> </w:t>
      </w:r>
      <w:r w:rsidR="00EE345F" w:rsidRPr="002E2B5B">
        <w:rPr>
          <w:rFonts w:ascii="Calibri" w:hAnsi="Calibri" w:cs="Calibri"/>
          <w:sz w:val="22"/>
          <w:szCs w:val="22"/>
        </w:rPr>
        <w:t>308,</w:t>
      </w:r>
      <w:r w:rsidR="009609C9" w:rsidRPr="002E2B5B">
        <w:rPr>
          <w:rFonts w:ascii="Calibri" w:hAnsi="Calibri" w:cs="Calibri"/>
          <w:sz w:val="22"/>
          <w:szCs w:val="22"/>
        </w:rPr>
        <w:t xml:space="preserve"> </w:t>
      </w:r>
      <w:r w:rsidR="00EE345F" w:rsidRPr="002E2B5B">
        <w:rPr>
          <w:rFonts w:ascii="Calibri" w:hAnsi="Calibri" w:cs="Calibri"/>
          <w:sz w:val="22"/>
          <w:szCs w:val="22"/>
        </w:rPr>
        <w:t>310</w:t>
      </w:r>
      <w:r w:rsidR="000643B0" w:rsidRPr="002E2B5B">
        <w:rPr>
          <w:rFonts w:ascii="Calibri" w:hAnsi="Calibri" w:cs="Calibri"/>
          <w:sz w:val="22"/>
          <w:szCs w:val="22"/>
        </w:rPr>
        <w:t>.</w:t>
      </w:r>
      <w:r w:rsidR="00EE345F" w:rsidRPr="002E2B5B">
        <w:rPr>
          <w:rFonts w:ascii="Calibri" w:hAnsi="Calibri" w:cs="Calibri"/>
          <w:sz w:val="22"/>
          <w:szCs w:val="22"/>
        </w:rPr>
        <w:t xml:space="preserve"> </w:t>
      </w:r>
    </w:p>
    <w:p w14:paraId="2E243684" w14:textId="77777777" w:rsidR="00141E08" w:rsidRPr="002E2B5B" w:rsidRDefault="00146DAB" w:rsidP="00937ED9">
      <w:pPr>
        <w:spacing w:after="120"/>
        <w:ind w:left="708" w:right="-226" w:hanging="708"/>
        <w:rPr>
          <w:rFonts w:ascii="Calibri" w:hAnsi="Calibri" w:cs="Calibri"/>
          <w:sz w:val="22"/>
          <w:szCs w:val="22"/>
        </w:rPr>
      </w:pPr>
      <w:r w:rsidRPr="002E2B5B">
        <w:rPr>
          <w:rFonts w:ascii="Calibri" w:hAnsi="Calibri" w:cs="Calibri"/>
          <w:sz w:val="22"/>
          <w:szCs w:val="22"/>
        </w:rPr>
        <w:t>Categoria de</w:t>
      </w:r>
      <w:r w:rsidR="00141E08" w:rsidRPr="002E2B5B">
        <w:rPr>
          <w:rFonts w:ascii="Calibri" w:hAnsi="Calibri" w:cs="Calibri"/>
          <w:sz w:val="22"/>
          <w:szCs w:val="22"/>
        </w:rPr>
        <w:t xml:space="preserve"> Gasto</w:t>
      </w:r>
      <w:r w:rsidR="00D80B1F" w:rsidRPr="002E2B5B">
        <w:rPr>
          <w:rFonts w:ascii="Calibri" w:hAnsi="Calibri" w:cs="Calibri"/>
          <w:sz w:val="22"/>
          <w:szCs w:val="22"/>
        </w:rPr>
        <w:t xml:space="preserve"> com Custeio/Investimento</w:t>
      </w:r>
      <w:r w:rsidR="00141E08" w:rsidRPr="002E2B5B">
        <w:rPr>
          <w:rFonts w:ascii="Calibri" w:hAnsi="Calibri" w:cs="Calibri"/>
          <w:sz w:val="22"/>
          <w:szCs w:val="22"/>
        </w:rPr>
        <w:t xml:space="preserve"> </w:t>
      </w:r>
      <w:r w:rsidR="00EE345F" w:rsidRPr="002E2B5B">
        <w:rPr>
          <w:rFonts w:ascii="Calibri" w:hAnsi="Calibri" w:cs="Calibri"/>
          <w:sz w:val="22"/>
          <w:szCs w:val="22"/>
        </w:rPr>
        <w:t>–</w:t>
      </w:r>
      <w:r w:rsidR="009609C9" w:rsidRPr="002E2B5B">
        <w:rPr>
          <w:rFonts w:ascii="Calibri" w:hAnsi="Calibri" w:cs="Calibri"/>
          <w:sz w:val="22"/>
          <w:szCs w:val="22"/>
        </w:rPr>
        <w:t xml:space="preserve"> </w:t>
      </w:r>
      <w:r w:rsidR="000643B0" w:rsidRPr="002E2B5B">
        <w:rPr>
          <w:rFonts w:ascii="Calibri" w:hAnsi="Calibri" w:cs="Calibri"/>
          <w:sz w:val="22"/>
          <w:szCs w:val="22"/>
        </w:rPr>
        <w:t>(</w:t>
      </w:r>
      <w:r w:rsidR="00141E08" w:rsidRPr="002E2B5B">
        <w:rPr>
          <w:rFonts w:ascii="Calibri" w:hAnsi="Calibri" w:cs="Calibri"/>
          <w:sz w:val="22"/>
          <w:szCs w:val="22"/>
        </w:rPr>
        <w:t>C</w:t>
      </w:r>
      <w:r w:rsidR="00D80B1F" w:rsidRPr="002E2B5B">
        <w:rPr>
          <w:rFonts w:ascii="Calibri" w:hAnsi="Calibri" w:cs="Calibri"/>
          <w:sz w:val="22"/>
          <w:szCs w:val="22"/>
        </w:rPr>
        <w:t>)</w:t>
      </w:r>
      <w:r w:rsidR="00EE345F" w:rsidRPr="002E2B5B">
        <w:rPr>
          <w:rFonts w:ascii="Calibri" w:hAnsi="Calibri" w:cs="Calibri"/>
          <w:sz w:val="22"/>
          <w:szCs w:val="22"/>
        </w:rPr>
        <w:t xml:space="preserve"> V</w:t>
      </w:r>
      <w:r w:rsidR="00D80B1F" w:rsidRPr="002E2B5B">
        <w:rPr>
          <w:rFonts w:ascii="Calibri" w:hAnsi="Calibri" w:cs="Calibri"/>
          <w:sz w:val="22"/>
          <w:szCs w:val="22"/>
        </w:rPr>
        <w:t>inculações:</w:t>
      </w:r>
      <w:r w:rsidR="00EE345F" w:rsidRPr="002E2B5B">
        <w:rPr>
          <w:rFonts w:ascii="Calibri" w:hAnsi="Calibri" w:cs="Calibri"/>
          <w:sz w:val="22"/>
          <w:szCs w:val="22"/>
        </w:rPr>
        <w:t xml:space="preserve"> </w:t>
      </w:r>
      <w:r w:rsidR="009B4B66" w:rsidRPr="002E2B5B">
        <w:rPr>
          <w:rFonts w:ascii="Calibri" w:hAnsi="Calibri" w:cs="Calibri"/>
          <w:sz w:val="22"/>
          <w:szCs w:val="22"/>
        </w:rPr>
        <w:t xml:space="preserve">340, </w:t>
      </w:r>
      <w:r w:rsidR="009609C9" w:rsidRPr="002E2B5B">
        <w:rPr>
          <w:rFonts w:ascii="Calibri" w:hAnsi="Calibri" w:cs="Calibri"/>
          <w:sz w:val="22"/>
          <w:szCs w:val="22"/>
        </w:rPr>
        <w:t>400,</w:t>
      </w:r>
      <w:r w:rsidR="004644A3" w:rsidRPr="002E2B5B">
        <w:rPr>
          <w:rFonts w:ascii="Calibri" w:hAnsi="Calibri" w:cs="Calibri"/>
          <w:sz w:val="22"/>
          <w:szCs w:val="22"/>
        </w:rPr>
        <w:t xml:space="preserve"> 404,</w:t>
      </w:r>
      <w:r w:rsidR="009B4B66" w:rsidRPr="002E2B5B">
        <w:rPr>
          <w:rFonts w:ascii="Calibri" w:hAnsi="Calibri" w:cs="Calibri"/>
          <w:sz w:val="22"/>
          <w:szCs w:val="22"/>
        </w:rPr>
        <w:t xml:space="preserve"> </w:t>
      </w:r>
      <w:r w:rsidR="00FA0D6A" w:rsidRPr="002E2B5B">
        <w:rPr>
          <w:rFonts w:ascii="Calibri" w:hAnsi="Calibri" w:cs="Calibri"/>
          <w:sz w:val="22"/>
          <w:szCs w:val="22"/>
        </w:rPr>
        <w:t xml:space="preserve">409, </w:t>
      </w:r>
      <w:r w:rsidR="009B4B66" w:rsidRPr="002E2B5B">
        <w:rPr>
          <w:rFonts w:ascii="Calibri" w:hAnsi="Calibri" w:cs="Calibri"/>
          <w:sz w:val="22"/>
          <w:szCs w:val="22"/>
        </w:rPr>
        <w:t>412,</w:t>
      </w:r>
      <w:r w:rsidR="009609C9" w:rsidRPr="002E2B5B">
        <w:rPr>
          <w:rFonts w:ascii="Calibri" w:hAnsi="Calibri" w:cs="Calibri"/>
          <w:sz w:val="22"/>
          <w:szCs w:val="22"/>
        </w:rPr>
        <w:t xml:space="preserve"> </w:t>
      </w:r>
      <w:r w:rsidR="00EE345F" w:rsidRPr="002E2B5B">
        <w:rPr>
          <w:rFonts w:ascii="Calibri" w:hAnsi="Calibri" w:cs="Calibri"/>
          <w:sz w:val="22"/>
          <w:szCs w:val="22"/>
        </w:rPr>
        <w:t>415,</w:t>
      </w:r>
      <w:r w:rsidR="009609C9" w:rsidRPr="002E2B5B">
        <w:rPr>
          <w:rFonts w:ascii="Calibri" w:hAnsi="Calibri" w:cs="Calibri"/>
          <w:sz w:val="22"/>
          <w:szCs w:val="22"/>
        </w:rPr>
        <w:t xml:space="preserve"> </w:t>
      </w:r>
      <w:r w:rsidR="002726DB" w:rsidRPr="002E2B5B">
        <w:rPr>
          <w:rFonts w:ascii="Calibri" w:hAnsi="Calibri" w:cs="Calibri"/>
          <w:sz w:val="22"/>
          <w:szCs w:val="22"/>
        </w:rPr>
        <w:t>50</w:t>
      </w:r>
      <w:r w:rsidR="00EE345F" w:rsidRPr="002E2B5B">
        <w:rPr>
          <w:rFonts w:ascii="Calibri" w:hAnsi="Calibri" w:cs="Calibri"/>
          <w:sz w:val="22"/>
          <w:szCs w:val="22"/>
        </w:rPr>
        <w:t>0</w:t>
      </w:r>
      <w:r w:rsidR="002726DB" w:rsidRPr="002E2B5B">
        <w:rPr>
          <w:rFonts w:ascii="Calibri" w:hAnsi="Calibri" w:cs="Calibri"/>
          <w:sz w:val="22"/>
          <w:szCs w:val="22"/>
        </w:rPr>
        <w:t>, 51</w:t>
      </w:r>
      <w:r w:rsidR="0064431B" w:rsidRPr="002E2B5B">
        <w:rPr>
          <w:rFonts w:ascii="Calibri" w:hAnsi="Calibri" w:cs="Calibri"/>
          <w:sz w:val="22"/>
          <w:szCs w:val="22"/>
        </w:rPr>
        <w:t xml:space="preserve">0, </w:t>
      </w:r>
      <w:r w:rsidR="00403538" w:rsidRPr="002E2B5B">
        <w:rPr>
          <w:rFonts w:ascii="Calibri" w:hAnsi="Calibri" w:cs="Calibri"/>
          <w:sz w:val="22"/>
          <w:szCs w:val="22"/>
        </w:rPr>
        <w:t xml:space="preserve">514, </w:t>
      </w:r>
      <w:r w:rsidR="0064431B" w:rsidRPr="002E2B5B">
        <w:rPr>
          <w:rFonts w:ascii="Calibri" w:hAnsi="Calibri" w:cs="Calibri"/>
          <w:sz w:val="22"/>
          <w:szCs w:val="22"/>
        </w:rPr>
        <w:t>551</w:t>
      </w:r>
      <w:r w:rsidR="000643B0" w:rsidRPr="002E2B5B">
        <w:rPr>
          <w:rFonts w:ascii="Calibri" w:hAnsi="Calibri" w:cs="Calibri"/>
          <w:sz w:val="22"/>
          <w:szCs w:val="22"/>
        </w:rPr>
        <w:t>.</w:t>
      </w:r>
    </w:p>
    <w:p w14:paraId="134FF875" w14:textId="5F77F271" w:rsidR="00D4582D" w:rsidRPr="002E2B5B" w:rsidRDefault="00146DAB" w:rsidP="00937ED9">
      <w:pPr>
        <w:spacing w:after="120"/>
        <w:rPr>
          <w:rFonts w:ascii="Calibri" w:hAnsi="Calibri" w:cs="Calibri"/>
          <w:sz w:val="22"/>
          <w:szCs w:val="22"/>
        </w:rPr>
      </w:pPr>
      <w:r w:rsidRPr="002E2B5B">
        <w:rPr>
          <w:rFonts w:ascii="Calibri" w:hAnsi="Calibri" w:cs="Calibri"/>
          <w:sz w:val="22"/>
          <w:szCs w:val="22"/>
        </w:rPr>
        <w:t>Categoria de</w:t>
      </w:r>
      <w:r w:rsidR="00141E08" w:rsidRPr="002E2B5B">
        <w:rPr>
          <w:rFonts w:ascii="Calibri" w:hAnsi="Calibri" w:cs="Calibri"/>
          <w:sz w:val="22"/>
          <w:szCs w:val="22"/>
        </w:rPr>
        <w:t xml:space="preserve"> Gasto</w:t>
      </w:r>
      <w:r w:rsidR="00D80B1F" w:rsidRPr="002E2B5B">
        <w:rPr>
          <w:rFonts w:ascii="Calibri" w:hAnsi="Calibri" w:cs="Calibri"/>
          <w:sz w:val="22"/>
          <w:szCs w:val="22"/>
        </w:rPr>
        <w:t xml:space="preserve"> com Investimentos (Obras)</w:t>
      </w:r>
      <w:r w:rsidR="00141E08" w:rsidRPr="002E2B5B">
        <w:rPr>
          <w:rFonts w:ascii="Calibri" w:hAnsi="Calibri" w:cs="Calibri"/>
          <w:sz w:val="22"/>
          <w:szCs w:val="22"/>
        </w:rPr>
        <w:t xml:space="preserve"> </w:t>
      </w:r>
      <w:r w:rsidR="00EE345F" w:rsidRPr="002E2B5B">
        <w:rPr>
          <w:rFonts w:ascii="Calibri" w:hAnsi="Calibri" w:cs="Calibri"/>
          <w:sz w:val="22"/>
          <w:szCs w:val="22"/>
        </w:rPr>
        <w:t>–</w:t>
      </w:r>
      <w:r w:rsidR="00141E08" w:rsidRPr="002E2B5B">
        <w:rPr>
          <w:rFonts w:ascii="Calibri" w:hAnsi="Calibri" w:cs="Calibri"/>
          <w:sz w:val="22"/>
          <w:szCs w:val="22"/>
        </w:rPr>
        <w:t xml:space="preserve"> </w:t>
      </w:r>
      <w:r w:rsidR="000643B0" w:rsidRPr="002E2B5B">
        <w:rPr>
          <w:rFonts w:ascii="Calibri" w:hAnsi="Calibri" w:cs="Calibri"/>
          <w:sz w:val="22"/>
          <w:szCs w:val="22"/>
        </w:rPr>
        <w:t>(</w:t>
      </w:r>
      <w:r w:rsidR="00141E08" w:rsidRPr="002E2B5B">
        <w:rPr>
          <w:rFonts w:ascii="Calibri" w:hAnsi="Calibri" w:cs="Calibri"/>
          <w:sz w:val="22"/>
          <w:szCs w:val="22"/>
        </w:rPr>
        <w:t>D</w:t>
      </w:r>
      <w:r w:rsidR="00D80B1F" w:rsidRPr="002E2B5B">
        <w:rPr>
          <w:rFonts w:ascii="Calibri" w:hAnsi="Calibri" w:cs="Calibri"/>
          <w:sz w:val="22"/>
          <w:szCs w:val="22"/>
        </w:rPr>
        <w:t>) Vinculações:</w:t>
      </w:r>
      <w:r w:rsidR="00EE345F" w:rsidRPr="002E2B5B">
        <w:rPr>
          <w:rFonts w:ascii="Calibri" w:hAnsi="Calibri" w:cs="Calibri"/>
          <w:sz w:val="22"/>
          <w:szCs w:val="22"/>
        </w:rPr>
        <w:t xml:space="preserve"> – 400,</w:t>
      </w:r>
      <w:r w:rsidR="00F85376" w:rsidRPr="002E2B5B">
        <w:rPr>
          <w:rFonts w:ascii="Calibri" w:hAnsi="Calibri" w:cs="Calibri"/>
          <w:sz w:val="22"/>
          <w:szCs w:val="22"/>
        </w:rPr>
        <w:t xml:space="preserve"> </w:t>
      </w:r>
      <w:r w:rsidR="00EE345F" w:rsidRPr="002E2B5B">
        <w:rPr>
          <w:rFonts w:ascii="Calibri" w:hAnsi="Calibri" w:cs="Calibri"/>
          <w:sz w:val="22"/>
          <w:szCs w:val="22"/>
        </w:rPr>
        <w:t>415</w:t>
      </w:r>
      <w:r w:rsidR="0064431B" w:rsidRPr="002E2B5B">
        <w:rPr>
          <w:rFonts w:ascii="Calibri" w:hAnsi="Calibri" w:cs="Calibri"/>
          <w:sz w:val="22"/>
          <w:szCs w:val="22"/>
        </w:rPr>
        <w:t>, 500</w:t>
      </w:r>
      <w:r w:rsidR="000643B0" w:rsidRPr="002E2B5B">
        <w:rPr>
          <w:rFonts w:ascii="Calibri" w:hAnsi="Calibri" w:cs="Calibri"/>
          <w:sz w:val="22"/>
          <w:szCs w:val="22"/>
        </w:rPr>
        <w:t>.</w:t>
      </w:r>
    </w:p>
    <w:p w14:paraId="1E64F84E" w14:textId="6214D2D8" w:rsidR="00F376DC" w:rsidRDefault="00A63F68" w:rsidP="00937ED9">
      <w:pPr>
        <w:spacing w:after="120"/>
        <w:jc w:val="both"/>
        <w:rPr>
          <w:rFonts w:ascii="Calibri" w:hAnsi="Calibri" w:cs="Calibri"/>
          <w:sz w:val="22"/>
          <w:szCs w:val="22"/>
        </w:rPr>
      </w:pPr>
      <w:r w:rsidRPr="002E2B5B">
        <w:rPr>
          <w:rFonts w:ascii="Calibri" w:hAnsi="Calibri" w:cs="Calibri"/>
          <w:sz w:val="22"/>
          <w:szCs w:val="22"/>
        </w:rPr>
        <w:t xml:space="preserve">A conta </w:t>
      </w:r>
      <w:r w:rsidR="00D45F66" w:rsidRPr="002E2B5B">
        <w:rPr>
          <w:rFonts w:ascii="Calibri" w:hAnsi="Calibri" w:cs="Calibri"/>
          <w:sz w:val="22"/>
          <w:szCs w:val="22"/>
        </w:rPr>
        <w:t xml:space="preserve">Limite de Saque </w:t>
      </w:r>
      <w:r w:rsidR="00904E3E" w:rsidRPr="002E2B5B">
        <w:rPr>
          <w:rFonts w:ascii="Calibri" w:hAnsi="Calibri" w:cs="Calibri"/>
          <w:sz w:val="22"/>
          <w:szCs w:val="22"/>
        </w:rPr>
        <w:t xml:space="preserve">com Vinculação de Pagamento </w:t>
      </w:r>
      <w:r w:rsidR="00C50895" w:rsidRPr="002E2B5B">
        <w:rPr>
          <w:rFonts w:ascii="Calibri" w:hAnsi="Calibri" w:cs="Calibri"/>
          <w:sz w:val="22"/>
          <w:szCs w:val="22"/>
        </w:rPr>
        <w:t xml:space="preserve">registra o valor do limite de saque da Conta Única da União, estabelecido pelo órgão Central de Programação Financeira </w:t>
      </w:r>
      <w:r w:rsidR="00F67C01" w:rsidRPr="002E2B5B">
        <w:rPr>
          <w:rFonts w:ascii="Calibri" w:hAnsi="Calibri" w:cs="Calibri"/>
          <w:sz w:val="22"/>
          <w:szCs w:val="22"/>
        </w:rPr>
        <w:t xml:space="preserve">para atender às despesas com vinculação de pagamentos. Portanto, representa a </w:t>
      </w:r>
      <w:r w:rsidR="00904E3E" w:rsidRPr="002E2B5B">
        <w:rPr>
          <w:rFonts w:ascii="Calibri" w:hAnsi="Calibri" w:cs="Calibri"/>
          <w:sz w:val="22"/>
          <w:szCs w:val="22"/>
        </w:rPr>
        <w:t>conta</w:t>
      </w:r>
      <w:r w:rsidR="00F67C01" w:rsidRPr="002E2B5B">
        <w:rPr>
          <w:rFonts w:ascii="Calibri" w:hAnsi="Calibri" w:cs="Calibri"/>
          <w:sz w:val="22"/>
          <w:szCs w:val="22"/>
        </w:rPr>
        <w:t xml:space="preserve"> </w:t>
      </w:r>
      <w:r w:rsidR="00904E3E" w:rsidRPr="002E2B5B">
        <w:rPr>
          <w:rFonts w:ascii="Calibri" w:hAnsi="Calibri" w:cs="Calibri"/>
          <w:sz w:val="22"/>
          <w:szCs w:val="22"/>
        </w:rPr>
        <w:t xml:space="preserve">utilizada para movimentação financeira, na qual a Setorial Financeira do Ministério da Infraestrutura disponibiliza os recursos financeiros para pagamentos efetuados diariamente pela VALEC. Esta conta </w:t>
      </w:r>
      <w:r w:rsidR="00266AF3" w:rsidRPr="002E2B5B">
        <w:rPr>
          <w:rFonts w:ascii="Calibri" w:hAnsi="Calibri" w:cs="Calibri"/>
          <w:sz w:val="22"/>
          <w:szCs w:val="22"/>
        </w:rPr>
        <w:t xml:space="preserve">apresenta o seguinte saldo em </w:t>
      </w:r>
      <w:r w:rsidR="00CE6832">
        <w:rPr>
          <w:rFonts w:ascii="Calibri" w:hAnsi="Calibri" w:cs="Calibri"/>
          <w:sz w:val="22"/>
          <w:szCs w:val="22"/>
        </w:rPr>
        <w:t>3</w:t>
      </w:r>
      <w:r w:rsidR="00E60A1B">
        <w:rPr>
          <w:rFonts w:ascii="Calibri" w:hAnsi="Calibri" w:cs="Calibri"/>
          <w:sz w:val="22"/>
          <w:szCs w:val="22"/>
        </w:rPr>
        <w:t>0</w:t>
      </w:r>
      <w:r w:rsidR="00CE6832">
        <w:rPr>
          <w:rFonts w:ascii="Calibri" w:hAnsi="Calibri" w:cs="Calibri"/>
          <w:sz w:val="22"/>
          <w:szCs w:val="22"/>
        </w:rPr>
        <w:t xml:space="preserve"> de </w:t>
      </w:r>
      <w:r w:rsidR="00E60A1B">
        <w:rPr>
          <w:rFonts w:ascii="Calibri" w:hAnsi="Calibri" w:cs="Calibri"/>
          <w:sz w:val="22"/>
          <w:szCs w:val="22"/>
        </w:rPr>
        <w:t>junho</w:t>
      </w:r>
      <w:r w:rsidR="00E14AA9">
        <w:rPr>
          <w:rFonts w:ascii="Calibri" w:hAnsi="Calibri" w:cs="Calibri"/>
          <w:sz w:val="22"/>
          <w:szCs w:val="22"/>
        </w:rPr>
        <w:t xml:space="preserve"> de 202</w:t>
      </w:r>
      <w:r w:rsidR="0046490D">
        <w:rPr>
          <w:rFonts w:ascii="Calibri" w:hAnsi="Calibri" w:cs="Calibri"/>
          <w:sz w:val="22"/>
          <w:szCs w:val="22"/>
        </w:rPr>
        <w:t>2</w:t>
      </w:r>
      <w:r w:rsidRPr="002E2B5B">
        <w:rPr>
          <w:rFonts w:ascii="Calibri" w:hAnsi="Calibri" w:cs="Calibri"/>
          <w:sz w:val="22"/>
          <w:szCs w:val="22"/>
        </w:rPr>
        <w:t>:</w:t>
      </w:r>
    </w:p>
    <w:tbl>
      <w:tblPr>
        <w:tblW w:w="5000" w:type="pct"/>
        <w:tblCellMar>
          <w:left w:w="70" w:type="dxa"/>
          <w:right w:w="70" w:type="dxa"/>
        </w:tblCellMar>
        <w:tblLook w:val="04A0" w:firstRow="1" w:lastRow="0" w:firstColumn="1" w:lastColumn="0" w:noHBand="0" w:noVBand="1"/>
      </w:tblPr>
      <w:tblGrid>
        <w:gridCol w:w="1445"/>
        <w:gridCol w:w="5422"/>
        <w:gridCol w:w="249"/>
        <w:gridCol w:w="249"/>
        <w:gridCol w:w="249"/>
        <w:gridCol w:w="249"/>
        <w:gridCol w:w="1302"/>
        <w:gridCol w:w="1302"/>
      </w:tblGrid>
      <w:tr w:rsidR="00F376DC" w:rsidRPr="00F376DC" w14:paraId="495DCC45" w14:textId="77777777" w:rsidTr="00987B82">
        <w:trPr>
          <w:trHeight w:hRule="exact" w:val="227"/>
        </w:trPr>
        <w:tc>
          <w:tcPr>
            <w:tcW w:w="690" w:type="pct"/>
            <w:tcBorders>
              <w:top w:val="nil"/>
              <w:left w:val="nil"/>
              <w:bottom w:val="single" w:sz="8" w:space="0" w:color="auto"/>
              <w:right w:val="nil"/>
            </w:tcBorders>
            <w:shd w:val="clear" w:color="000000" w:fill="FFFFFF"/>
            <w:noWrap/>
            <w:vAlign w:val="center"/>
            <w:hideMark/>
          </w:tcPr>
          <w:p w14:paraId="201FBCAD" w14:textId="77777777" w:rsidR="00F376DC" w:rsidRPr="00F376DC" w:rsidRDefault="00F376DC" w:rsidP="00937ED9">
            <w:pPr>
              <w:spacing w:after="120"/>
              <w:jc w:val="center"/>
              <w:rPr>
                <w:rFonts w:asciiTheme="minorHAnsi" w:hAnsiTheme="minorHAnsi" w:cstheme="minorHAnsi"/>
                <w:b/>
                <w:bCs/>
                <w:color w:val="000000"/>
                <w:sz w:val="16"/>
                <w:szCs w:val="16"/>
              </w:rPr>
            </w:pPr>
            <w:r w:rsidRPr="00F376DC">
              <w:rPr>
                <w:rFonts w:asciiTheme="minorHAnsi" w:hAnsiTheme="minorHAnsi" w:cstheme="minorHAnsi"/>
                <w:b/>
                <w:bCs/>
                <w:color w:val="000000"/>
                <w:sz w:val="16"/>
                <w:szCs w:val="16"/>
              </w:rPr>
              <w:t>VINCULAÇÃO</w:t>
            </w:r>
          </w:p>
        </w:tc>
        <w:tc>
          <w:tcPr>
            <w:tcW w:w="2590" w:type="pct"/>
            <w:tcBorders>
              <w:top w:val="nil"/>
              <w:left w:val="nil"/>
              <w:bottom w:val="single" w:sz="8" w:space="0" w:color="auto"/>
              <w:right w:val="nil"/>
            </w:tcBorders>
            <w:shd w:val="clear" w:color="000000" w:fill="FFFFFF"/>
            <w:noWrap/>
            <w:vAlign w:val="center"/>
            <w:hideMark/>
          </w:tcPr>
          <w:p w14:paraId="7C9602E0" w14:textId="77777777" w:rsidR="00F376DC" w:rsidRPr="00F376DC" w:rsidRDefault="00F376DC" w:rsidP="00937ED9">
            <w:pPr>
              <w:spacing w:after="120"/>
              <w:jc w:val="both"/>
              <w:rPr>
                <w:rFonts w:asciiTheme="minorHAnsi" w:hAnsiTheme="minorHAnsi" w:cstheme="minorHAnsi"/>
                <w:b/>
                <w:bCs/>
                <w:color w:val="000000"/>
                <w:sz w:val="16"/>
                <w:szCs w:val="16"/>
              </w:rPr>
            </w:pPr>
            <w:r w:rsidRPr="00F376DC">
              <w:rPr>
                <w:rFonts w:asciiTheme="minorHAnsi" w:hAnsiTheme="minorHAnsi" w:cstheme="minorHAnsi"/>
                <w:b/>
                <w:bCs/>
                <w:sz w:val="16"/>
                <w:szCs w:val="16"/>
              </w:rPr>
              <w:t xml:space="preserve"> DESCRIÇÃO DA VINCULAÇÃO</w:t>
            </w:r>
          </w:p>
        </w:tc>
        <w:tc>
          <w:tcPr>
            <w:tcW w:w="119" w:type="pct"/>
            <w:tcBorders>
              <w:top w:val="nil"/>
              <w:left w:val="nil"/>
              <w:bottom w:val="single" w:sz="8" w:space="0" w:color="auto"/>
              <w:right w:val="nil"/>
            </w:tcBorders>
            <w:shd w:val="clear" w:color="000000" w:fill="FFFFFF"/>
            <w:vAlign w:val="center"/>
            <w:hideMark/>
          </w:tcPr>
          <w:p w14:paraId="21F936E6" w14:textId="77777777" w:rsidR="00F376DC" w:rsidRPr="00F376DC" w:rsidRDefault="00F376DC" w:rsidP="00937ED9">
            <w:pPr>
              <w:spacing w:after="120"/>
              <w:jc w:val="right"/>
              <w:rPr>
                <w:rFonts w:asciiTheme="minorHAnsi" w:hAnsiTheme="minorHAnsi" w:cstheme="minorHAnsi"/>
                <w:b/>
                <w:bCs/>
                <w:color w:val="000000"/>
                <w:sz w:val="16"/>
                <w:szCs w:val="16"/>
              </w:rPr>
            </w:pPr>
            <w:r w:rsidRPr="00F376DC">
              <w:rPr>
                <w:rFonts w:asciiTheme="minorHAnsi" w:hAnsiTheme="minorHAnsi" w:cstheme="minorHAnsi"/>
                <w:b/>
                <w:bCs/>
                <w:color w:val="000000"/>
                <w:sz w:val="16"/>
                <w:szCs w:val="16"/>
              </w:rPr>
              <w:t> </w:t>
            </w:r>
          </w:p>
        </w:tc>
        <w:tc>
          <w:tcPr>
            <w:tcW w:w="119" w:type="pct"/>
            <w:tcBorders>
              <w:top w:val="nil"/>
              <w:left w:val="nil"/>
              <w:bottom w:val="single" w:sz="8" w:space="0" w:color="auto"/>
              <w:right w:val="nil"/>
            </w:tcBorders>
            <w:shd w:val="clear" w:color="000000" w:fill="FFFFFF"/>
            <w:vAlign w:val="center"/>
            <w:hideMark/>
          </w:tcPr>
          <w:p w14:paraId="70BBE234" w14:textId="77777777" w:rsidR="00F376DC" w:rsidRPr="00F376DC" w:rsidRDefault="00F376DC" w:rsidP="00937ED9">
            <w:pPr>
              <w:spacing w:after="120"/>
              <w:jc w:val="right"/>
              <w:rPr>
                <w:rFonts w:asciiTheme="minorHAnsi" w:hAnsiTheme="minorHAnsi" w:cstheme="minorHAnsi"/>
                <w:b/>
                <w:bCs/>
                <w:color w:val="000000"/>
                <w:sz w:val="16"/>
                <w:szCs w:val="16"/>
              </w:rPr>
            </w:pPr>
            <w:r w:rsidRPr="00F376DC">
              <w:rPr>
                <w:rFonts w:asciiTheme="minorHAnsi" w:hAnsiTheme="minorHAnsi" w:cstheme="minorHAnsi"/>
                <w:b/>
                <w:bCs/>
                <w:color w:val="000000"/>
                <w:sz w:val="16"/>
                <w:szCs w:val="16"/>
              </w:rPr>
              <w:t> </w:t>
            </w:r>
          </w:p>
        </w:tc>
        <w:tc>
          <w:tcPr>
            <w:tcW w:w="119" w:type="pct"/>
            <w:tcBorders>
              <w:top w:val="nil"/>
              <w:left w:val="nil"/>
              <w:bottom w:val="single" w:sz="8" w:space="0" w:color="auto"/>
              <w:right w:val="nil"/>
            </w:tcBorders>
            <w:shd w:val="clear" w:color="000000" w:fill="FFFFFF"/>
            <w:noWrap/>
            <w:vAlign w:val="center"/>
            <w:hideMark/>
          </w:tcPr>
          <w:p w14:paraId="72E1DE1F" w14:textId="77777777" w:rsidR="00F376DC" w:rsidRPr="00F376DC" w:rsidRDefault="00F376DC" w:rsidP="00937ED9">
            <w:pPr>
              <w:spacing w:after="120"/>
              <w:jc w:val="right"/>
              <w:rPr>
                <w:rFonts w:asciiTheme="minorHAnsi" w:hAnsiTheme="minorHAnsi" w:cstheme="minorHAnsi"/>
                <w:b/>
                <w:bCs/>
                <w:color w:val="000000"/>
                <w:sz w:val="16"/>
                <w:szCs w:val="16"/>
              </w:rPr>
            </w:pPr>
            <w:r w:rsidRPr="00F376DC">
              <w:rPr>
                <w:rFonts w:asciiTheme="minorHAnsi" w:hAnsiTheme="minorHAnsi" w:cstheme="minorHAnsi"/>
                <w:b/>
                <w:bCs/>
                <w:color w:val="000000"/>
                <w:sz w:val="16"/>
                <w:szCs w:val="16"/>
              </w:rPr>
              <w:t> </w:t>
            </w:r>
          </w:p>
        </w:tc>
        <w:tc>
          <w:tcPr>
            <w:tcW w:w="119" w:type="pct"/>
            <w:tcBorders>
              <w:top w:val="nil"/>
              <w:left w:val="nil"/>
              <w:bottom w:val="single" w:sz="8" w:space="0" w:color="auto"/>
              <w:right w:val="nil"/>
            </w:tcBorders>
            <w:shd w:val="clear" w:color="000000" w:fill="FFFFFF"/>
            <w:vAlign w:val="center"/>
            <w:hideMark/>
          </w:tcPr>
          <w:p w14:paraId="5E134791" w14:textId="77777777" w:rsidR="00F376DC" w:rsidRPr="00F376DC" w:rsidRDefault="00F376DC" w:rsidP="00937ED9">
            <w:pPr>
              <w:spacing w:after="120"/>
              <w:jc w:val="right"/>
              <w:rPr>
                <w:rFonts w:asciiTheme="minorHAnsi" w:hAnsiTheme="minorHAnsi" w:cstheme="minorHAnsi"/>
                <w:b/>
                <w:bCs/>
                <w:color w:val="000000"/>
                <w:sz w:val="16"/>
                <w:szCs w:val="16"/>
              </w:rPr>
            </w:pPr>
            <w:r w:rsidRPr="00F376DC">
              <w:rPr>
                <w:rFonts w:asciiTheme="minorHAnsi" w:hAnsiTheme="minorHAnsi" w:cstheme="minorHAnsi"/>
                <w:b/>
                <w:bCs/>
                <w:color w:val="000000"/>
                <w:sz w:val="16"/>
                <w:szCs w:val="16"/>
              </w:rPr>
              <w:t> </w:t>
            </w:r>
          </w:p>
        </w:tc>
        <w:tc>
          <w:tcPr>
            <w:tcW w:w="622" w:type="pct"/>
            <w:tcBorders>
              <w:top w:val="nil"/>
              <w:left w:val="nil"/>
              <w:bottom w:val="single" w:sz="8" w:space="0" w:color="auto"/>
              <w:right w:val="nil"/>
            </w:tcBorders>
            <w:shd w:val="clear" w:color="000000" w:fill="FFFFFF"/>
            <w:vAlign w:val="center"/>
            <w:hideMark/>
          </w:tcPr>
          <w:p w14:paraId="24AD6CB4" w14:textId="47BEDABD" w:rsidR="00F376DC" w:rsidRPr="00F376DC" w:rsidRDefault="00F376DC" w:rsidP="00937ED9">
            <w:pPr>
              <w:spacing w:after="120"/>
              <w:jc w:val="right"/>
              <w:rPr>
                <w:rFonts w:asciiTheme="minorHAnsi" w:hAnsiTheme="minorHAnsi" w:cstheme="minorHAnsi"/>
                <w:b/>
                <w:bCs/>
                <w:color w:val="000000"/>
                <w:sz w:val="16"/>
                <w:szCs w:val="16"/>
              </w:rPr>
            </w:pPr>
            <w:r w:rsidRPr="00F376DC">
              <w:rPr>
                <w:rFonts w:asciiTheme="minorHAnsi" w:hAnsiTheme="minorHAnsi" w:cstheme="minorHAnsi"/>
                <w:b/>
                <w:bCs/>
                <w:sz w:val="16"/>
                <w:szCs w:val="16"/>
              </w:rPr>
              <w:t>3</w:t>
            </w:r>
            <w:r w:rsidR="00E60A1B">
              <w:rPr>
                <w:rFonts w:asciiTheme="minorHAnsi" w:hAnsiTheme="minorHAnsi" w:cstheme="minorHAnsi"/>
                <w:b/>
                <w:bCs/>
                <w:sz w:val="16"/>
                <w:szCs w:val="16"/>
              </w:rPr>
              <w:t>0</w:t>
            </w:r>
            <w:r w:rsidRPr="00F376DC">
              <w:rPr>
                <w:rFonts w:asciiTheme="minorHAnsi" w:hAnsiTheme="minorHAnsi" w:cstheme="minorHAnsi"/>
                <w:b/>
                <w:bCs/>
                <w:sz w:val="16"/>
                <w:szCs w:val="16"/>
              </w:rPr>
              <w:t>/</w:t>
            </w:r>
            <w:r w:rsidR="00F46E79">
              <w:rPr>
                <w:rFonts w:asciiTheme="minorHAnsi" w:hAnsiTheme="minorHAnsi" w:cstheme="minorHAnsi"/>
                <w:b/>
                <w:bCs/>
                <w:sz w:val="16"/>
                <w:szCs w:val="16"/>
              </w:rPr>
              <w:t>0</w:t>
            </w:r>
            <w:r w:rsidR="00E60A1B">
              <w:rPr>
                <w:rFonts w:asciiTheme="minorHAnsi" w:hAnsiTheme="minorHAnsi" w:cstheme="minorHAnsi"/>
                <w:b/>
                <w:bCs/>
                <w:sz w:val="16"/>
                <w:szCs w:val="16"/>
              </w:rPr>
              <w:t>6</w:t>
            </w:r>
            <w:r w:rsidRPr="00F376DC">
              <w:rPr>
                <w:rFonts w:asciiTheme="minorHAnsi" w:hAnsiTheme="minorHAnsi" w:cstheme="minorHAnsi"/>
                <w:b/>
                <w:bCs/>
                <w:sz w:val="16"/>
                <w:szCs w:val="16"/>
              </w:rPr>
              <w:t>/202</w:t>
            </w:r>
            <w:r w:rsidR="00F46E79">
              <w:rPr>
                <w:rFonts w:asciiTheme="minorHAnsi" w:hAnsiTheme="minorHAnsi" w:cstheme="minorHAnsi"/>
                <w:b/>
                <w:bCs/>
                <w:sz w:val="16"/>
                <w:szCs w:val="16"/>
              </w:rPr>
              <w:t>2</w:t>
            </w:r>
          </w:p>
        </w:tc>
        <w:tc>
          <w:tcPr>
            <w:tcW w:w="622" w:type="pct"/>
            <w:tcBorders>
              <w:top w:val="nil"/>
              <w:left w:val="nil"/>
              <w:bottom w:val="single" w:sz="8" w:space="0" w:color="auto"/>
              <w:right w:val="nil"/>
            </w:tcBorders>
            <w:shd w:val="clear" w:color="000000" w:fill="FFFFFF"/>
            <w:vAlign w:val="center"/>
            <w:hideMark/>
          </w:tcPr>
          <w:p w14:paraId="2C3005DD" w14:textId="484ECEBB" w:rsidR="00F376DC" w:rsidRPr="00F376DC" w:rsidRDefault="00F376DC" w:rsidP="00937ED9">
            <w:pPr>
              <w:spacing w:after="120"/>
              <w:jc w:val="right"/>
              <w:rPr>
                <w:rFonts w:asciiTheme="minorHAnsi" w:hAnsiTheme="minorHAnsi" w:cstheme="minorHAnsi"/>
                <w:b/>
                <w:bCs/>
                <w:color w:val="000000"/>
                <w:sz w:val="16"/>
                <w:szCs w:val="16"/>
              </w:rPr>
            </w:pPr>
            <w:r w:rsidRPr="00F376DC">
              <w:rPr>
                <w:rFonts w:asciiTheme="minorHAnsi" w:hAnsiTheme="minorHAnsi" w:cstheme="minorHAnsi"/>
                <w:b/>
                <w:bCs/>
                <w:sz w:val="16"/>
                <w:szCs w:val="16"/>
              </w:rPr>
              <w:t>31/12/202</w:t>
            </w:r>
            <w:r w:rsidR="00F46E79">
              <w:rPr>
                <w:rFonts w:asciiTheme="minorHAnsi" w:hAnsiTheme="minorHAnsi" w:cstheme="minorHAnsi"/>
                <w:b/>
                <w:bCs/>
                <w:sz w:val="16"/>
                <w:szCs w:val="16"/>
              </w:rPr>
              <w:t>1</w:t>
            </w:r>
          </w:p>
        </w:tc>
      </w:tr>
      <w:tr w:rsidR="00F46E79" w:rsidRPr="00F376DC" w14:paraId="3E346F06" w14:textId="77777777" w:rsidTr="00987B82">
        <w:trPr>
          <w:trHeight w:hRule="exact" w:val="227"/>
        </w:trPr>
        <w:tc>
          <w:tcPr>
            <w:tcW w:w="690" w:type="pct"/>
            <w:tcBorders>
              <w:top w:val="nil"/>
              <w:left w:val="nil"/>
              <w:bottom w:val="nil"/>
              <w:right w:val="nil"/>
            </w:tcBorders>
            <w:shd w:val="clear" w:color="000000" w:fill="FFFFFF"/>
            <w:noWrap/>
            <w:vAlign w:val="center"/>
          </w:tcPr>
          <w:p w14:paraId="231CF7DD" w14:textId="7A72E9B0" w:rsidR="00F46E79" w:rsidRPr="00F376DC" w:rsidRDefault="00F46E79" w:rsidP="00F46E79">
            <w:pPr>
              <w:spacing w:after="120"/>
              <w:jc w:val="center"/>
              <w:rPr>
                <w:rFonts w:asciiTheme="minorHAnsi" w:hAnsiTheme="minorHAnsi" w:cstheme="minorHAnsi"/>
                <w:sz w:val="16"/>
                <w:szCs w:val="16"/>
              </w:rPr>
            </w:pPr>
            <w:r>
              <w:rPr>
                <w:rFonts w:asciiTheme="minorHAnsi" w:hAnsiTheme="minorHAnsi" w:cstheme="minorHAnsi"/>
                <w:sz w:val="16"/>
                <w:szCs w:val="16"/>
              </w:rPr>
              <w:t>130</w:t>
            </w:r>
          </w:p>
        </w:tc>
        <w:tc>
          <w:tcPr>
            <w:tcW w:w="2590" w:type="pct"/>
            <w:tcBorders>
              <w:top w:val="nil"/>
              <w:left w:val="nil"/>
              <w:bottom w:val="nil"/>
              <w:right w:val="nil"/>
            </w:tcBorders>
            <w:shd w:val="clear" w:color="000000" w:fill="FFFFFF"/>
            <w:noWrap/>
            <w:vAlign w:val="center"/>
          </w:tcPr>
          <w:p w14:paraId="295D99CD" w14:textId="649433E0" w:rsidR="00F46E79" w:rsidRPr="00F376DC" w:rsidRDefault="00F46E79" w:rsidP="00F46E79">
            <w:pPr>
              <w:spacing w:after="120"/>
              <w:jc w:val="both"/>
              <w:rPr>
                <w:rFonts w:asciiTheme="minorHAnsi" w:hAnsiTheme="minorHAnsi" w:cstheme="minorHAnsi"/>
                <w:sz w:val="16"/>
                <w:szCs w:val="16"/>
              </w:rPr>
            </w:pPr>
            <w:r w:rsidRPr="002E2B5B">
              <w:rPr>
                <w:rFonts w:ascii="Calibri" w:hAnsi="Calibri" w:cs="Calibri"/>
                <w:sz w:val="16"/>
                <w:szCs w:val="16"/>
              </w:rPr>
              <w:t>Pessoal-sentenças judiciais</w:t>
            </w:r>
          </w:p>
        </w:tc>
        <w:tc>
          <w:tcPr>
            <w:tcW w:w="119" w:type="pct"/>
            <w:tcBorders>
              <w:top w:val="nil"/>
              <w:left w:val="nil"/>
              <w:bottom w:val="nil"/>
              <w:right w:val="nil"/>
            </w:tcBorders>
            <w:shd w:val="clear" w:color="auto" w:fill="auto"/>
            <w:vAlign w:val="center"/>
          </w:tcPr>
          <w:p w14:paraId="06E21003" w14:textId="77777777" w:rsidR="00F46E79" w:rsidRPr="00F376DC" w:rsidRDefault="00F46E79" w:rsidP="00F46E79">
            <w:pPr>
              <w:spacing w:after="120"/>
              <w:jc w:val="both"/>
              <w:rPr>
                <w:rFonts w:asciiTheme="minorHAnsi" w:hAnsiTheme="minorHAnsi" w:cstheme="minorHAnsi"/>
                <w:color w:val="000000"/>
                <w:sz w:val="16"/>
                <w:szCs w:val="16"/>
              </w:rPr>
            </w:pPr>
          </w:p>
        </w:tc>
        <w:tc>
          <w:tcPr>
            <w:tcW w:w="119" w:type="pct"/>
            <w:tcBorders>
              <w:top w:val="nil"/>
              <w:left w:val="nil"/>
              <w:bottom w:val="nil"/>
              <w:right w:val="nil"/>
            </w:tcBorders>
            <w:shd w:val="clear" w:color="auto" w:fill="auto"/>
            <w:vAlign w:val="center"/>
          </w:tcPr>
          <w:p w14:paraId="298D01F5" w14:textId="77777777" w:rsidR="00F46E79" w:rsidRPr="00F376DC" w:rsidRDefault="00F46E79" w:rsidP="00F46E79">
            <w:pPr>
              <w:spacing w:after="120"/>
              <w:jc w:val="right"/>
              <w:rPr>
                <w:rFonts w:asciiTheme="minorHAnsi" w:hAnsiTheme="minorHAnsi" w:cstheme="minorHAnsi"/>
                <w:sz w:val="16"/>
                <w:szCs w:val="16"/>
              </w:rPr>
            </w:pPr>
          </w:p>
        </w:tc>
        <w:tc>
          <w:tcPr>
            <w:tcW w:w="119" w:type="pct"/>
            <w:tcBorders>
              <w:top w:val="nil"/>
              <w:left w:val="nil"/>
              <w:bottom w:val="nil"/>
              <w:right w:val="nil"/>
            </w:tcBorders>
            <w:shd w:val="clear" w:color="auto" w:fill="auto"/>
            <w:noWrap/>
            <w:vAlign w:val="center"/>
          </w:tcPr>
          <w:p w14:paraId="2190D6B1" w14:textId="77777777" w:rsidR="00F46E79" w:rsidRPr="00F376DC" w:rsidRDefault="00F46E79" w:rsidP="00F46E79">
            <w:pPr>
              <w:spacing w:after="120"/>
              <w:jc w:val="right"/>
              <w:rPr>
                <w:rFonts w:asciiTheme="minorHAnsi" w:hAnsiTheme="minorHAnsi" w:cstheme="minorHAnsi"/>
                <w:sz w:val="16"/>
                <w:szCs w:val="16"/>
              </w:rPr>
            </w:pPr>
          </w:p>
        </w:tc>
        <w:tc>
          <w:tcPr>
            <w:tcW w:w="119" w:type="pct"/>
            <w:tcBorders>
              <w:top w:val="nil"/>
              <w:left w:val="nil"/>
              <w:bottom w:val="nil"/>
              <w:right w:val="nil"/>
            </w:tcBorders>
            <w:shd w:val="clear" w:color="auto" w:fill="auto"/>
            <w:vAlign w:val="center"/>
          </w:tcPr>
          <w:p w14:paraId="4C89111A" w14:textId="77777777" w:rsidR="00F46E79" w:rsidRPr="00F376DC" w:rsidRDefault="00F46E79" w:rsidP="00F46E79">
            <w:pPr>
              <w:spacing w:after="120"/>
              <w:jc w:val="right"/>
              <w:rPr>
                <w:rFonts w:asciiTheme="minorHAnsi" w:hAnsiTheme="minorHAnsi" w:cstheme="minorHAnsi"/>
                <w:sz w:val="16"/>
                <w:szCs w:val="16"/>
              </w:rPr>
            </w:pPr>
          </w:p>
        </w:tc>
        <w:tc>
          <w:tcPr>
            <w:tcW w:w="622" w:type="pct"/>
            <w:tcBorders>
              <w:top w:val="nil"/>
              <w:left w:val="nil"/>
              <w:bottom w:val="nil"/>
              <w:right w:val="nil"/>
            </w:tcBorders>
            <w:shd w:val="clear" w:color="auto" w:fill="auto"/>
            <w:vAlign w:val="center"/>
          </w:tcPr>
          <w:p w14:paraId="4161F341" w14:textId="415C00A0" w:rsidR="00F46E79" w:rsidRDefault="00937F34" w:rsidP="00F46E79">
            <w:pPr>
              <w:spacing w:after="120"/>
              <w:jc w:val="right"/>
              <w:rPr>
                <w:rFonts w:asciiTheme="minorHAnsi" w:hAnsiTheme="minorHAnsi" w:cstheme="minorHAnsi"/>
                <w:color w:val="000000"/>
                <w:sz w:val="16"/>
                <w:szCs w:val="16"/>
              </w:rPr>
            </w:pPr>
            <w:r>
              <w:rPr>
                <w:rFonts w:asciiTheme="minorHAnsi" w:hAnsiTheme="minorHAnsi" w:cstheme="minorHAnsi"/>
                <w:color w:val="000000"/>
                <w:sz w:val="16"/>
                <w:szCs w:val="16"/>
              </w:rPr>
              <w:t>21.783</w:t>
            </w:r>
          </w:p>
        </w:tc>
        <w:tc>
          <w:tcPr>
            <w:tcW w:w="622" w:type="pct"/>
            <w:tcBorders>
              <w:top w:val="nil"/>
              <w:left w:val="nil"/>
              <w:bottom w:val="nil"/>
              <w:right w:val="nil"/>
            </w:tcBorders>
            <w:shd w:val="clear" w:color="auto" w:fill="auto"/>
            <w:vAlign w:val="center"/>
          </w:tcPr>
          <w:p w14:paraId="65BDD229" w14:textId="493FF922" w:rsidR="00F46E79" w:rsidRDefault="00F46E79" w:rsidP="00F46E79">
            <w:pPr>
              <w:spacing w:after="120"/>
              <w:jc w:val="right"/>
              <w:rPr>
                <w:rFonts w:asciiTheme="minorHAnsi" w:hAnsiTheme="minorHAnsi" w:cstheme="minorHAnsi"/>
                <w:color w:val="000000"/>
                <w:sz w:val="16"/>
                <w:szCs w:val="16"/>
              </w:rPr>
            </w:pPr>
            <w:r>
              <w:rPr>
                <w:rFonts w:asciiTheme="minorHAnsi" w:hAnsiTheme="minorHAnsi" w:cstheme="minorHAnsi"/>
                <w:color w:val="000000"/>
                <w:sz w:val="16"/>
                <w:szCs w:val="16"/>
              </w:rPr>
              <w:t>0</w:t>
            </w:r>
          </w:p>
        </w:tc>
      </w:tr>
      <w:tr w:rsidR="00F46E79" w:rsidRPr="00F376DC" w14:paraId="4EEF529E" w14:textId="77777777" w:rsidTr="00987B82">
        <w:trPr>
          <w:trHeight w:hRule="exact" w:val="227"/>
        </w:trPr>
        <w:tc>
          <w:tcPr>
            <w:tcW w:w="690" w:type="pct"/>
            <w:tcBorders>
              <w:top w:val="nil"/>
              <w:left w:val="nil"/>
              <w:bottom w:val="nil"/>
              <w:right w:val="nil"/>
            </w:tcBorders>
            <w:shd w:val="clear" w:color="000000" w:fill="FFFFFF"/>
            <w:noWrap/>
            <w:vAlign w:val="center"/>
          </w:tcPr>
          <w:p w14:paraId="35A6B669" w14:textId="2541D6E1" w:rsidR="00F46E79" w:rsidRPr="00F376DC" w:rsidRDefault="00F46E79" w:rsidP="00F46E79">
            <w:pPr>
              <w:spacing w:after="120"/>
              <w:jc w:val="center"/>
              <w:rPr>
                <w:rFonts w:asciiTheme="minorHAnsi" w:hAnsiTheme="minorHAnsi" w:cstheme="minorHAnsi"/>
                <w:sz w:val="16"/>
                <w:szCs w:val="16"/>
              </w:rPr>
            </w:pPr>
            <w:r>
              <w:rPr>
                <w:rFonts w:asciiTheme="minorHAnsi" w:hAnsiTheme="minorHAnsi" w:cstheme="minorHAnsi"/>
                <w:sz w:val="16"/>
                <w:szCs w:val="16"/>
              </w:rPr>
              <w:t>307</w:t>
            </w:r>
          </w:p>
        </w:tc>
        <w:tc>
          <w:tcPr>
            <w:tcW w:w="2590" w:type="pct"/>
            <w:tcBorders>
              <w:top w:val="nil"/>
              <w:left w:val="nil"/>
              <w:bottom w:val="nil"/>
              <w:right w:val="nil"/>
            </w:tcBorders>
            <w:shd w:val="clear" w:color="000000" w:fill="FFFFFF"/>
            <w:noWrap/>
            <w:vAlign w:val="center"/>
          </w:tcPr>
          <w:p w14:paraId="57B0B661" w14:textId="068A805C" w:rsidR="00F46E79" w:rsidRPr="00F376DC" w:rsidRDefault="00F46E79" w:rsidP="00F46E79">
            <w:pPr>
              <w:spacing w:after="120"/>
              <w:jc w:val="both"/>
              <w:rPr>
                <w:rFonts w:asciiTheme="minorHAnsi" w:hAnsiTheme="minorHAnsi" w:cstheme="minorHAnsi"/>
                <w:sz w:val="16"/>
                <w:szCs w:val="16"/>
              </w:rPr>
            </w:pPr>
            <w:r w:rsidRPr="002E2B5B">
              <w:rPr>
                <w:rFonts w:ascii="Calibri" w:hAnsi="Calibri" w:cs="Calibri"/>
                <w:sz w:val="16"/>
                <w:szCs w:val="16"/>
              </w:rPr>
              <w:t>Outros pag. pessoais - órgãos integrantes SIAPE</w:t>
            </w:r>
          </w:p>
        </w:tc>
        <w:tc>
          <w:tcPr>
            <w:tcW w:w="119" w:type="pct"/>
            <w:tcBorders>
              <w:top w:val="nil"/>
              <w:left w:val="nil"/>
              <w:bottom w:val="nil"/>
              <w:right w:val="nil"/>
            </w:tcBorders>
            <w:shd w:val="clear" w:color="auto" w:fill="auto"/>
            <w:vAlign w:val="center"/>
          </w:tcPr>
          <w:p w14:paraId="31519815" w14:textId="77777777" w:rsidR="00F46E79" w:rsidRPr="00F376DC" w:rsidRDefault="00F46E79" w:rsidP="00F46E79">
            <w:pPr>
              <w:spacing w:after="120"/>
              <w:jc w:val="both"/>
              <w:rPr>
                <w:rFonts w:asciiTheme="minorHAnsi" w:hAnsiTheme="minorHAnsi" w:cstheme="minorHAnsi"/>
                <w:color w:val="000000"/>
                <w:sz w:val="16"/>
                <w:szCs w:val="16"/>
              </w:rPr>
            </w:pPr>
          </w:p>
        </w:tc>
        <w:tc>
          <w:tcPr>
            <w:tcW w:w="119" w:type="pct"/>
            <w:tcBorders>
              <w:top w:val="nil"/>
              <w:left w:val="nil"/>
              <w:bottom w:val="nil"/>
              <w:right w:val="nil"/>
            </w:tcBorders>
            <w:shd w:val="clear" w:color="auto" w:fill="auto"/>
            <w:vAlign w:val="center"/>
          </w:tcPr>
          <w:p w14:paraId="2244263D" w14:textId="77777777" w:rsidR="00F46E79" w:rsidRPr="00F376DC" w:rsidRDefault="00F46E79" w:rsidP="00F46E79">
            <w:pPr>
              <w:spacing w:after="120"/>
              <w:jc w:val="right"/>
              <w:rPr>
                <w:rFonts w:asciiTheme="minorHAnsi" w:hAnsiTheme="minorHAnsi" w:cstheme="minorHAnsi"/>
                <w:sz w:val="16"/>
                <w:szCs w:val="16"/>
              </w:rPr>
            </w:pPr>
          </w:p>
        </w:tc>
        <w:tc>
          <w:tcPr>
            <w:tcW w:w="119" w:type="pct"/>
            <w:tcBorders>
              <w:top w:val="nil"/>
              <w:left w:val="nil"/>
              <w:bottom w:val="nil"/>
              <w:right w:val="nil"/>
            </w:tcBorders>
            <w:shd w:val="clear" w:color="auto" w:fill="auto"/>
            <w:noWrap/>
            <w:vAlign w:val="center"/>
          </w:tcPr>
          <w:p w14:paraId="2B7BA603" w14:textId="77777777" w:rsidR="00F46E79" w:rsidRPr="00F376DC" w:rsidRDefault="00F46E79" w:rsidP="00F46E79">
            <w:pPr>
              <w:spacing w:after="120"/>
              <w:jc w:val="right"/>
              <w:rPr>
                <w:rFonts w:asciiTheme="minorHAnsi" w:hAnsiTheme="minorHAnsi" w:cstheme="minorHAnsi"/>
                <w:sz w:val="16"/>
                <w:szCs w:val="16"/>
              </w:rPr>
            </w:pPr>
          </w:p>
        </w:tc>
        <w:tc>
          <w:tcPr>
            <w:tcW w:w="119" w:type="pct"/>
            <w:tcBorders>
              <w:top w:val="nil"/>
              <w:left w:val="nil"/>
              <w:bottom w:val="nil"/>
              <w:right w:val="nil"/>
            </w:tcBorders>
            <w:shd w:val="clear" w:color="auto" w:fill="auto"/>
            <w:vAlign w:val="center"/>
          </w:tcPr>
          <w:p w14:paraId="419C8F3E" w14:textId="77777777" w:rsidR="00F46E79" w:rsidRPr="00F376DC" w:rsidRDefault="00F46E79" w:rsidP="00F46E79">
            <w:pPr>
              <w:spacing w:after="120"/>
              <w:jc w:val="right"/>
              <w:rPr>
                <w:rFonts w:asciiTheme="minorHAnsi" w:hAnsiTheme="minorHAnsi" w:cstheme="minorHAnsi"/>
                <w:sz w:val="16"/>
                <w:szCs w:val="16"/>
              </w:rPr>
            </w:pPr>
          </w:p>
        </w:tc>
        <w:tc>
          <w:tcPr>
            <w:tcW w:w="622" w:type="pct"/>
            <w:tcBorders>
              <w:top w:val="nil"/>
              <w:left w:val="nil"/>
              <w:bottom w:val="nil"/>
              <w:right w:val="nil"/>
            </w:tcBorders>
            <w:shd w:val="clear" w:color="auto" w:fill="auto"/>
            <w:vAlign w:val="center"/>
          </w:tcPr>
          <w:p w14:paraId="2E30024F" w14:textId="5A7170A0" w:rsidR="00F46E79" w:rsidRDefault="00937F34" w:rsidP="00F46E79">
            <w:pPr>
              <w:spacing w:after="120"/>
              <w:jc w:val="right"/>
              <w:rPr>
                <w:rFonts w:asciiTheme="minorHAnsi" w:hAnsiTheme="minorHAnsi" w:cstheme="minorHAnsi"/>
                <w:color w:val="000000"/>
                <w:sz w:val="16"/>
                <w:szCs w:val="16"/>
              </w:rPr>
            </w:pPr>
            <w:r>
              <w:rPr>
                <w:rFonts w:asciiTheme="minorHAnsi" w:hAnsiTheme="minorHAnsi" w:cstheme="minorHAnsi"/>
                <w:color w:val="000000"/>
                <w:sz w:val="16"/>
                <w:szCs w:val="16"/>
              </w:rPr>
              <w:t>889.271</w:t>
            </w:r>
          </w:p>
        </w:tc>
        <w:tc>
          <w:tcPr>
            <w:tcW w:w="622" w:type="pct"/>
            <w:tcBorders>
              <w:top w:val="nil"/>
              <w:left w:val="nil"/>
              <w:bottom w:val="nil"/>
              <w:right w:val="nil"/>
            </w:tcBorders>
            <w:shd w:val="clear" w:color="auto" w:fill="auto"/>
            <w:vAlign w:val="center"/>
          </w:tcPr>
          <w:p w14:paraId="02D560CD" w14:textId="36457714" w:rsidR="00F46E79" w:rsidRDefault="00F46E79" w:rsidP="00F46E79">
            <w:pPr>
              <w:spacing w:after="120"/>
              <w:jc w:val="right"/>
              <w:rPr>
                <w:rFonts w:asciiTheme="minorHAnsi" w:hAnsiTheme="minorHAnsi" w:cstheme="minorHAnsi"/>
                <w:color w:val="000000"/>
                <w:sz w:val="16"/>
                <w:szCs w:val="16"/>
              </w:rPr>
            </w:pPr>
            <w:r>
              <w:rPr>
                <w:rFonts w:asciiTheme="minorHAnsi" w:hAnsiTheme="minorHAnsi" w:cstheme="minorHAnsi"/>
                <w:color w:val="000000"/>
                <w:sz w:val="16"/>
                <w:szCs w:val="16"/>
              </w:rPr>
              <w:t>0</w:t>
            </w:r>
          </w:p>
        </w:tc>
      </w:tr>
      <w:tr w:rsidR="00F46E79" w:rsidRPr="00F376DC" w14:paraId="4D9A41E9" w14:textId="77777777" w:rsidTr="00987B82">
        <w:trPr>
          <w:trHeight w:hRule="exact" w:val="227"/>
        </w:trPr>
        <w:tc>
          <w:tcPr>
            <w:tcW w:w="690" w:type="pct"/>
            <w:tcBorders>
              <w:top w:val="nil"/>
              <w:left w:val="nil"/>
              <w:bottom w:val="nil"/>
              <w:right w:val="nil"/>
            </w:tcBorders>
            <w:shd w:val="clear" w:color="000000" w:fill="FFFFFF"/>
            <w:noWrap/>
            <w:vAlign w:val="center"/>
            <w:hideMark/>
          </w:tcPr>
          <w:p w14:paraId="2BA7CDAD" w14:textId="77777777" w:rsidR="00F46E79" w:rsidRPr="00F376DC" w:rsidRDefault="00F46E79" w:rsidP="00F46E79">
            <w:pPr>
              <w:spacing w:after="120"/>
              <w:jc w:val="center"/>
              <w:rPr>
                <w:rFonts w:asciiTheme="minorHAnsi" w:hAnsiTheme="minorHAnsi" w:cstheme="minorHAnsi"/>
                <w:color w:val="000000"/>
                <w:sz w:val="16"/>
                <w:szCs w:val="16"/>
              </w:rPr>
            </w:pPr>
            <w:r w:rsidRPr="00F376DC">
              <w:rPr>
                <w:rFonts w:asciiTheme="minorHAnsi" w:hAnsiTheme="minorHAnsi" w:cstheme="minorHAnsi"/>
                <w:sz w:val="16"/>
                <w:szCs w:val="16"/>
              </w:rPr>
              <w:t>308</w:t>
            </w:r>
          </w:p>
        </w:tc>
        <w:tc>
          <w:tcPr>
            <w:tcW w:w="2590" w:type="pct"/>
            <w:tcBorders>
              <w:top w:val="nil"/>
              <w:left w:val="nil"/>
              <w:bottom w:val="nil"/>
              <w:right w:val="nil"/>
            </w:tcBorders>
            <w:shd w:val="clear" w:color="000000" w:fill="FFFFFF"/>
            <w:noWrap/>
            <w:vAlign w:val="center"/>
            <w:hideMark/>
          </w:tcPr>
          <w:p w14:paraId="5F8A1F77" w14:textId="77777777" w:rsidR="00F46E79" w:rsidRPr="00F376DC" w:rsidRDefault="00F46E79" w:rsidP="00F46E79">
            <w:pPr>
              <w:spacing w:after="120"/>
              <w:jc w:val="both"/>
              <w:rPr>
                <w:rFonts w:asciiTheme="minorHAnsi" w:hAnsiTheme="minorHAnsi" w:cstheme="minorHAnsi"/>
                <w:color w:val="000000"/>
                <w:sz w:val="16"/>
                <w:szCs w:val="16"/>
              </w:rPr>
            </w:pPr>
            <w:r w:rsidRPr="00F376DC">
              <w:rPr>
                <w:rFonts w:asciiTheme="minorHAnsi" w:hAnsiTheme="minorHAnsi" w:cstheme="minorHAnsi"/>
                <w:sz w:val="16"/>
                <w:szCs w:val="16"/>
              </w:rPr>
              <w:t xml:space="preserve">Contribuição previdência fechada     </w:t>
            </w:r>
          </w:p>
        </w:tc>
        <w:tc>
          <w:tcPr>
            <w:tcW w:w="119" w:type="pct"/>
            <w:tcBorders>
              <w:top w:val="nil"/>
              <w:left w:val="nil"/>
              <w:bottom w:val="nil"/>
              <w:right w:val="nil"/>
            </w:tcBorders>
            <w:shd w:val="clear" w:color="auto" w:fill="auto"/>
            <w:vAlign w:val="center"/>
            <w:hideMark/>
          </w:tcPr>
          <w:p w14:paraId="50E60C38" w14:textId="77777777" w:rsidR="00F46E79" w:rsidRPr="00F376DC" w:rsidRDefault="00F46E79" w:rsidP="00F46E79">
            <w:pPr>
              <w:spacing w:after="120"/>
              <w:jc w:val="both"/>
              <w:rPr>
                <w:rFonts w:asciiTheme="minorHAnsi" w:hAnsiTheme="minorHAnsi" w:cstheme="minorHAnsi"/>
                <w:color w:val="000000"/>
                <w:sz w:val="16"/>
                <w:szCs w:val="16"/>
              </w:rPr>
            </w:pPr>
          </w:p>
        </w:tc>
        <w:tc>
          <w:tcPr>
            <w:tcW w:w="119" w:type="pct"/>
            <w:tcBorders>
              <w:top w:val="nil"/>
              <w:left w:val="nil"/>
              <w:bottom w:val="nil"/>
              <w:right w:val="nil"/>
            </w:tcBorders>
            <w:shd w:val="clear" w:color="auto" w:fill="auto"/>
            <w:vAlign w:val="center"/>
            <w:hideMark/>
          </w:tcPr>
          <w:p w14:paraId="246FA114" w14:textId="77777777" w:rsidR="00F46E79" w:rsidRPr="00F376DC" w:rsidRDefault="00F46E79" w:rsidP="00F46E79">
            <w:pPr>
              <w:spacing w:after="120"/>
              <w:jc w:val="right"/>
              <w:rPr>
                <w:rFonts w:asciiTheme="minorHAnsi" w:hAnsiTheme="minorHAnsi" w:cstheme="minorHAnsi"/>
                <w:sz w:val="16"/>
                <w:szCs w:val="16"/>
              </w:rPr>
            </w:pPr>
          </w:p>
        </w:tc>
        <w:tc>
          <w:tcPr>
            <w:tcW w:w="119" w:type="pct"/>
            <w:tcBorders>
              <w:top w:val="nil"/>
              <w:left w:val="nil"/>
              <w:bottom w:val="nil"/>
              <w:right w:val="nil"/>
            </w:tcBorders>
            <w:shd w:val="clear" w:color="auto" w:fill="auto"/>
            <w:noWrap/>
            <w:vAlign w:val="center"/>
            <w:hideMark/>
          </w:tcPr>
          <w:p w14:paraId="698342D9" w14:textId="77777777" w:rsidR="00F46E79" w:rsidRPr="00F376DC" w:rsidRDefault="00F46E79" w:rsidP="00F46E79">
            <w:pPr>
              <w:spacing w:after="120"/>
              <w:jc w:val="right"/>
              <w:rPr>
                <w:rFonts w:asciiTheme="minorHAnsi" w:hAnsiTheme="minorHAnsi" w:cstheme="minorHAnsi"/>
                <w:sz w:val="16"/>
                <w:szCs w:val="16"/>
              </w:rPr>
            </w:pPr>
          </w:p>
        </w:tc>
        <w:tc>
          <w:tcPr>
            <w:tcW w:w="119" w:type="pct"/>
            <w:tcBorders>
              <w:top w:val="nil"/>
              <w:left w:val="nil"/>
              <w:bottom w:val="nil"/>
              <w:right w:val="nil"/>
            </w:tcBorders>
            <w:shd w:val="clear" w:color="auto" w:fill="auto"/>
            <w:vAlign w:val="center"/>
            <w:hideMark/>
          </w:tcPr>
          <w:p w14:paraId="6BA85CB7" w14:textId="77777777" w:rsidR="00F46E79" w:rsidRPr="00F376DC" w:rsidRDefault="00F46E79" w:rsidP="00F46E79">
            <w:pPr>
              <w:spacing w:after="120"/>
              <w:jc w:val="right"/>
              <w:rPr>
                <w:rFonts w:asciiTheme="minorHAnsi" w:hAnsiTheme="minorHAnsi" w:cstheme="minorHAnsi"/>
                <w:sz w:val="16"/>
                <w:szCs w:val="16"/>
              </w:rPr>
            </w:pPr>
          </w:p>
        </w:tc>
        <w:tc>
          <w:tcPr>
            <w:tcW w:w="622" w:type="pct"/>
            <w:tcBorders>
              <w:top w:val="nil"/>
              <w:left w:val="nil"/>
              <w:bottom w:val="nil"/>
              <w:right w:val="nil"/>
            </w:tcBorders>
            <w:shd w:val="clear" w:color="auto" w:fill="auto"/>
            <w:vAlign w:val="center"/>
            <w:hideMark/>
          </w:tcPr>
          <w:p w14:paraId="4410DB0E" w14:textId="77777777" w:rsidR="00F46E79" w:rsidRDefault="00F46E79" w:rsidP="00F46E79">
            <w:pPr>
              <w:spacing w:after="120"/>
              <w:jc w:val="right"/>
              <w:rPr>
                <w:rFonts w:asciiTheme="minorHAnsi" w:hAnsiTheme="minorHAnsi" w:cstheme="minorHAnsi"/>
                <w:color w:val="000000"/>
                <w:sz w:val="16"/>
                <w:szCs w:val="16"/>
              </w:rPr>
            </w:pPr>
            <w:r>
              <w:rPr>
                <w:rFonts w:asciiTheme="minorHAnsi" w:hAnsiTheme="minorHAnsi" w:cstheme="minorHAnsi"/>
                <w:color w:val="000000"/>
                <w:sz w:val="16"/>
                <w:szCs w:val="16"/>
              </w:rPr>
              <w:t>7</w:t>
            </w:r>
            <w:r w:rsidR="00937F34">
              <w:rPr>
                <w:rFonts w:asciiTheme="minorHAnsi" w:hAnsiTheme="minorHAnsi" w:cstheme="minorHAnsi"/>
                <w:color w:val="000000"/>
                <w:sz w:val="16"/>
                <w:szCs w:val="16"/>
              </w:rPr>
              <w:t>0.527</w:t>
            </w:r>
          </w:p>
          <w:p w14:paraId="34F9C92C" w14:textId="2D37785A" w:rsidR="00937F34" w:rsidRPr="00F376DC" w:rsidRDefault="00937F34" w:rsidP="00F46E79">
            <w:pPr>
              <w:spacing w:after="120"/>
              <w:jc w:val="right"/>
              <w:rPr>
                <w:rFonts w:asciiTheme="minorHAnsi" w:hAnsiTheme="minorHAnsi" w:cstheme="minorHAnsi"/>
                <w:color w:val="000000"/>
                <w:sz w:val="16"/>
                <w:szCs w:val="16"/>
              </w:rPr>
            </w:pPr>
          </w:p>
        </w:tc>
        <w:tc>
          <w:tcPr>
            <w:tcW w:w="622" w:type="pct"/>
            <w:tcBorders>
              <w:top w:val="nil"/>
              <w:left w:val="nil"/>
              <w:bottom w:val="nil"/>
              <w:right w:val="nil"/>
            </w:tcBorders>
            <w:shd w:val="clear" w:color="auto" w:fill="auto"/>
            <w:vAlign w:val="center"/>
            <w:hideMark/>
          </w:tcPr>
          <w:p w14:paraId="6DA77E04" w14:textId="24D19C66" w:rsidR="00F46E79" w:rsidRPr="00F376DC" w:rsidRDefault="00F46E79" w:rsidP="00F46E79">
            <w:pPr>
              <w:spacing w:after="120"/>
              <w:jc w:val="right"/>
              <w:rPr>
                <w:rFonts w:asciiTheme="minorHAnsi" w:hAnsiTheme="minorHAnsi" w:cstheme="minorHAnsi"/>
                <w:color w:val="000000"/>
                <w:sz w:val="16"/>
                <w:szCs w:val="16"/>
              </w:rPr>
            </w:pPr>
            <w:r>
              <w:rPr>
                <w:rFonts w:asciiTheme="minorHAnsi" w:hAnsiTheme="minorHAnsi" w:cstheme="minorHAnsi"/>
                <w:color w:val="000000"/>
                <w:sz w:val="16"/>
                <w:szCs w:val="16"/>
              </w:rPr>
              <w:t>65.083</w:t>
            </w:r>
          </w:p>
        </w:tc>
      </w:tr>
      <w:tr w:rsidR="00F46E79" w:rsidRPr="00F376DC" w14:paraId="12635C70" w14:textId="77777777" w:rsidTr="00987B82">
        <w:trPr>
          <w:trHeight w:hRule="exact" w:val="227"/>
        </w:trPr>
        <w:tc>
          <w:tcPr>
            <w:tcW w:w="690" w:type="pct"/>
            <w:tcBorders>
              <w:top w:val="nil"/>
              <w:left w:val="nil"/>
              <w:bottom w:val="nil"/>
              <w:right w:val="nil"/>
            </w:tcBorders>
            <w:shd w:val="clear" w:color="000000" w:fill="FFFFFF"/>
            <w:noWrap/>
            <w:vAlign w:val="center"/>
            <w:hideMark/>
          </w:tcPr>
          <w:p w14:paraId="31DF5532" w14:textId="77777777" w:rsidR="00F46E79" w:rsidRPr="00F376DC" w:rsidRDefault="00F46E79" w:rsidP="00F46E79">
            <w:pPr>
              <w:spacing w:after="120"/>
              <w:jc w:val="center"/>
              <w:rPr>
                <w:rFonts w:asciiTheme="minorHAnsi" w:hAnsiTheme="minorHAnsi" w:cstheme="minorHAnsi"/>
                <w:color w:val="000000"/>
                <w:sz w:val="16"/>
                <w:szCs w:val="16"/>
              </w:rPr>
            </w:pPr>
            <w:r w:rsidRPr="00F376DC">
              <w:rPr>
                <w:rFonts w:asciiTheme="minorHAnsi" w:hAnsiTheme="minorHAnsi" w:cstheme="minorHAnsi"/>
                <w:sz w:val="16"/>
                <w:szCs w:val="16"/>
              </w:rPr>
              <w:t>310</w:t>
            </w:r>
          </w:p>
        </w:tc>
        <w:tc>
          <w:tcPr>
            <w:tcW w:w="2590" w:type="pct"/>
            <w:tcBorders>
              <w:top w:val="nil"/>
              <w:left w:val="nil"/>
              <w:bottom w:val="nil"/>
              <w:right w:val="nil"/>
            </w:tcBorders>
            <w:shd w:val="clear" w:color="000000" w:fill="FFFFFF"/>
            <w:noWrap/>
            <w:vAlign w:val="center"/>
            <w:hideMark/>
          </w:tcPr>
          <w:p w14:paraId="5FD438ED" w14:textId="77777777" w:rsidR="00F46E79" w:rsidRPr="00F376DC" w:rsidRDefault="00F46E79" w:rsidP="00F46E79">
            <w:pPr>
              <w:spacing w:after="120"/>
              <w:rPr>
                <w:rFonts w:asciiTheme="minorHAnsi" w:hAnsiTheme="minorHAnsi" w:cstheme="minorHAnsi"/>
                <w:color w:val="000000"/>
                <w:sz w:val="16"/>
                <w:szCs w:val="16"/>
              </w:rPr>
            </w:pPr>
            <w:r w:rsidRPr="00F376DC">
              <w:rPr>
                <w:rFonts w:asciiTheme="minorHAnsi" w:hAnsiTheme="minorHAnsi" w:cstheme="minorHAnsi"/>
                <w:sz w:val="16"/>
                <w:szCs w:val="16"/>
              </w:rPr>
              <w:t xml:space="preserve">Pagamento pessoal                    </w:t>
            </w:r>
          </w:p>
        </w:tc>
        <w:tc>
          <w:tcPr>
            <w:tcW w:w="119" w:type="pct"/>
            <w:tcBorders>
              <w:top w:val="nil"/>
              <w:left w:val="nil"/>
              <w:bottom w:val="nil"/>
              <w:right w:val="nil"/>
            </w:tcBorders>
            <w:shd w:val="clear" w:color="auto" w:fill="auto"/>
            <w:vAlign w:val="center"/>
            <w:hideMark/>
          </w:tcPr>
          <w:p w14:paraId="6B98CD2A" w14:textId="77777777" w:rsidR="00F46E79" w:rsidRPr="00F376DC" w:rsidRDefault="00F46E79" w:rsidP="00F46E79">
            <w:pPr>
              <w:spacing w:after="120"/>
              <w:rPr>
                <w:rFonts w:asciiTheme="minorHAnsi" w:hAnsiTheme="minorHAnsi" w:cstheme="minorHAnsi"/>
                <w:color w:val="000000"/>
                <w:sz w:val="16"/>
                <w:szCs w:val="16"/>
              </w:rPr>
            </w:pPr>
          </w:p>
        </w:tc>
        <w:tc>
          <w:tcPr>
            <w:tcW w:w="119" w:type="pct"/>
            <w:tcBorders>
              <w:top w:val="nil"/>
              <w:left w:val="nil"/>
              <w:bottom w:val="nil"/>
              <w:right w:val="nil"/>
            </w:tcBorders>
            <w:shd w:val="clear" w:color="auto" w:fill="auto"/>
            <w:vAlign w:val="center"/>
            <w:hideMark/>
          </w:tcPr>
          <w:p w14:paraId="6003A1C4" w14:textId="77777777" w:rsidR="00F46E79" w:rsidRPr="00F376DC" w:rsidRDefault="00F46E79" w:rsidP="00F46E79">
            <w:pPr>
              <w:spacing w:after="120"/>
              <w:rPr>
                <w:rFonts w:asciiTheme="minorHAnsi" w:hAnsiTheme="minorHAnsi" w:cstheme="minorHAnsi"/>
                <w:sz w:val="16"/>
                <w:szCs w:val="16"/>
              </w:rPr>
            </w:pPr>
          </w:p>
        </w:tc>
        <w:tc>
          <w:tcPr>
            <w:tcW w:w="119" w:type="pct"/>
            <w:tcBorders>
              <w:top w:val="nil"/>
              <w:left w:val="nil"/>
              <w:bottom w:val="nil"/>
              <w:right w:val="nil"/>
            </w:tcBorders>
            <w:shd w:val="clear" w:color="auto" w:fill="auto"/>
            <w:noWrap/>
            <w:vAlign w:val="center"/>
            <w:hideMark/>
          </w:tcPr>
          <w:p w14:paraId="0661D06C" w14:textId="77777777" w:rsidR="00F46E79" w:rsidRPr="00F376DC" w:rsidRDefault="00F46E79" w:rsidP="00F46E79">
            <w:pPr>
              <w:spacing w:after="120"/>
              <w:rPr>
                <w:rFonts w:asciiTheme="minorHAnsi" w:hAnsiTheme="minorHAnsi" w:cstheme="minorHAnsi"/>
                <w:sz w:val="16"/>
                <w:szCs w:val="16"/>
              </w:rPr>
            </w:pPr>
          </w:p>
        </w:tc>
        <w:tc>
          <w:tcPr>
            <w:tcW w:w="119" w:type="pct"/>
            <w:tcBorders>
              <w:top w:val="nil"/>
              <w:left w:val="nil"/>
              <w:bottom w:val="nil"/>
              <w:right w:val="nil"/>
            </w:tcBorders>
            <w:shd w:val="clear" w:color="auto" w:fill="auto"/>
            <w:vAlign w:val="center"/>
            <w:hideMark/>
          </w:tcPr>
          <w:p w14:paraId="71856824" w14:textId="77777777" w:rsidR="00F46E79" w:rsidRPr="00F376DC" w:rsidRDefault="00F46E79" w:rsidP="00F46E79">
            <w:pPr>
              <w:spacing w:after="120"/>
              <w:rPr>
                <w:rFonts w:asciiTheme="minorHAnsi" w:hAnsiTheme="minorHAnsi" w:cstheme="minorHAnsi"/>
                <w:sz w:val="16"/>
                <w:szCs w:val="16"/>
              </w:rPr>
            </w:pPr>
          </w:p>
        </w:tc>
        <w:tc>
          <w:tcPr>
            <w:tcW w:w="622" w:type="pct"/>
            <w:tcBorders>
              <w:top w:val="nil"/>
              <w:left w:val="nil"/>
              <w:bottom w:val="nil"/>
              <w:right w:val="nil"/>
            </w:tcBorders>
            <w:shd w:val="clear" w:color="auto" w:fill="auto"/>
            <w:vAlign w:val="center"/>
            <w:hideMark/>
          </w:tcPr>
          <w:p w14:paraId="25F93407" w14:textId="41A4F6FF" w:rsidR="00F46E79" w:rsidRPr="00F376DC" w:rsidRDefault="00937F34" w:rsidP="00F46E79">
            <w:pPr>
              <w:spacing w:after="120"/>
              <w:jc w:val="right"/>
              <w:rPr>
                <w:rFonts w:asciiTheme="minorHAnsi" w:hAnsiTheme="minorHAnsi" w:cstheme="minorHAnsi"/>
                <w:color w:val="000000"/>
                <w:sz w:val="16"/>
                <w:szCs w:val="16"/>
              </w:rPr>
            </w:pPr>
            <w:r>
              <w:rPr>
                <w:rFonts w:asciiTheme="minorHAnsi" w:hAnsiTheme="minorHAnsi" w:cstheme="minorHAnsi"/>
                <w:color w:val="000000"/>
                <w:sz w:val="16"/>
                <w:szCs w:val="16"/>
              </w:rPr>
              <w:t>7.552.473</w:t>
            </w:r>
          </w:p>
        </w:tc>
        <w:tc>
          <w:tcPr>
            <w:tcW w:w="622" w:type="pct"/>
            <w:tcBorders>
              <w:top w:val="nil"/>
              <w:left w:val="nil"/>
              <w:bottom w:val="nil"/>
              <w:right w:val="nil"/>
            </w:tcBorders>
            <w:shd w:val="clear" w:color="auto" w:fill="auto"/>
            <w:vAlign w:val="center"/>
            <w:hideMark/>
          </w:tcPr>
          <w:p w14:paraId="644DA943" w14:textId="2A05A8F9" w:rsidR="00F46E79" w:rsidRPr="00F376DC" w:rsidRDefault="00F46E79" w:rsidP="00F46E79">
            <w:pPr>
              <w:spacing w:after="120"/>
              <w:jc w:val="right"/>
              <w:rPr>
                <w:rFonts w:asciiTheme="minorHAnsi" w:hAnsiTheme="minorHAnsi" w:cstheme="minorHAnsi"/>
                <w:color w:val="000000"/>
                <w:sz w:val="16"/>
                <w:szCs w:val="16"/>
              </w:rPr>
            </w:pPr>
            <w:r>
              <w:rPr>
                <w:rFonts w:asciiTheme="minorHAnsi" w:hAnsiTheme="minorHAnsi" w:cstheme="minorHAnsi"/>
                <w:color w:val="000000"/>
                <w:sz w:val="16"/>
                <w:szCs w:val="16"/>
              </w:rPr>
              <w:t>6.141.722</w:t>
            </w:r>
          </w:p>
        </w:tc>
      </w:tr>
      <w:tr w:rsidR="00F46E79" w:rsidRPr="00F376DC" w14:paraId="5A7684E3" w14:textId="77777777" w:rsidTr="00987B82">
        <w:trPr>
          <w:trHeight w:hRule="exact" w:val="227"/>
        </w:trPr>
        <w:tc>
          <w:tcPr>
            <w:tcW w:w="690" w:type="pct"/>
            <w:tcBorders>
              <w:top w:val="nil"/>
              <w:left w:val="nil"/>
              <w:bottom w:val="nil"/>
              <w:right w:val="nil"/>
            </w:tcBorders>
            <w:shd w:val="clear" w:color="000000" w:fill="FFFFFF"/>
            <w:noWrap/>
            <w:vAlign w:val="center"/>
          </w:tcPr>
          <w:p w14:paraId="65D8E2CC" w14:textId="1BE84AD5" w:rsidR="00F46E79" w:rsidRPr="00F376DC" w:rsidRDefault="00F46E79" w:rsidP="00F46E79">
            <w:pPr>
              <w:spacing w:after="120"/>
              <w:jc w:val="center"/>
              <w:rPr>
                <w:rFonts w:asciiTheme="minorHAnsi" w:hAnsiTheme="minorHAnsi" w:cstheme="minorHAnsi"/>
                <w:sz w:val="16"/>
                <w:szCs w:val="16"/>
              </w:rPr>
            </w:pPr>
            <w:r>
              <w:rPr>
                <w:rFonts w:asciiTheme="minorHAnsi" w:hAnsiTheme="minorHAnsi" w:cstheme="minorHAnsi"/>
                <w:sz w:val="16"/>
                <w:szCs w:val="16"/>
              </w:rPr>
              <w:t>340</w:t>
            </w:r>
          </w:p>
        </w:tc>
        <w:tc>
          <w:tcPr>
            <w:tcW w:w="2590" w:type="pct"/>
            <w:tcBorders>
              <w:top w:val="nil"/>
              <w:left w:val="nil"/>
              <w:bottom w:val="nil"/>
              <w:right w:val="nil"/>
            </w:tcBorders>
            <w:shd w:val="clear" w:color="000000" w:fill="FFFFFF"/>
            <w:noWrap/>
            <w:vAlign w:val="center"/>
          </w:tcPr>
          <w:p w14:paraId="4C819FB9" w14:textId="6E4DD775" w:rsidR="00F46E79" w:rsidRPr="00F376DC" w:rsidRDefault="00F46E79" w:rsidP="00F46E79">
            <w:pPr>
              <w:spacing w:after="120"/>
              <w:jc w:val="both"/>
              <w:rPr>
                <w:rFonts w:asciiTheme="minorHAnsi" w:hAnsiTheme="minorHAnsi" w:cstheme="minorHAnsi"/>
                <w:sz w:val="16"/>
                <w:szCs w:val="16"/>
              </w:rPr>
            </w:pPr>
            <w:r w:rsidRPr="002E2B5B">
              <w:rPr>
                <w:rFonts w:ascii="Calibri" w:hAnsi="Calibri" w:cs="Calibri"/>
                <w:sz w:val="16"/>
                <w:szCs w:val="16"/>
              </w:rPr>
              <w:t>Custeio sentenças judiciais</w:t>
            </w:r>
          </w:p>
        </w:tc>
        <w:tc>
          <w:tcPr>
            <w:tcW w:w="119" w:type="pct"/>
            <w:tcBorders>
              <w:top w:val="nil"/>
              <w:left w:val="nil"/>
              <w:bottom w:val="nil"/>
              <w:right w:val="nil"/>
            </w:tcBorders>
            <w:shd w:val="clear" w:color="auto" w:fill="auto"/>
            <w:vAlign w:val="center"/>
          </w:tcPr>
          <w:p w14:paraId="23D96077" w14:textId="77777777" w:rsidR="00F46E79" w:rsidRPr="00F376DC" w:rsidRDefault="00F46E79" w:rsidP="00F46E79">
            <w:pPr>
              <w:spacing w:after="120"/>
              <w:jc w:val="both"/>
              <w:rPr>
                <w:rFonts w:asciiTheme="minorHAnsi" w:hAnsiTheme="minorHAnsi" w:cstheme="minorHAnsi"/>
                <w:color w:val="000000"/>
                <w:sz w:val="16"/>
                <w:szCs w:val="16"/>
              </w:rPr>
            </w:pPr>
          </w:p>
        </w:tc>
        <w:tc>
          <w:tcPr>
            <w:tcW w:w="119" w:type="pct"/>
            <w:tcBorders>
              <w:top w:val="nil"/>
              <w:left w:val="nil"/>
              <w:bottom w:val="nil"/>
              <w:right w:val="nil"/>
            </w:tcBorders>
            <w:shd w:val="clear" w:color="auto" w:fill="auto"/>
            <w:vAlign w:val="center"/>
          </w:tcPr>
          <w:p w14:paraId="65566A0E" w14:textId="77777777" w:rsidR="00F46E79" w:rsidRPr="00F376DC" w:rsidRDefault="00F46E79" w:rsidP="00F46E79">
            <w:pPr>
              <w:spacing w:after="120"/>
              <w:jc w:val="right"/>
              <w:rPr>
                <w:rFonts w:asciiTheme="minorHAnsi" w:hAnsiTheme="minorHAnsi" w:cstheme="minorHAnsi"/>
                <w:sz w:val="16"/>
                <w:szCs w:val="16"/>
              </w:rPr>
            </w:pPr>
          </w:p>
        </w:tc>
        <w:tc>
          <w:tcPr>
            <w:tcW w:w="119" w:type="pct"/>
            <w:tcBorders>
              <w:top w:val="nil"/>
              <w:left w:val="nil"/>
              <w:bottom w:val="nil"/>
              <w:right w:val="nil"/>
            </w:tcBorders>
            <w:shd w:val="clear" w:color="auto" w:fill="auto"/>
            <w:noWrap/>
            <w:vAlign w:val="center"/>
          </w:tcPr>
          <w:p w14:paraId="3F2F7719" w14:textId="77777777" w:rsidR="00F46E79" w:rsidRPr="00F376DC" w:rsidRDefault="00F46E79" w:rsidP="00F46E79">
            <w:pPr>
              <w:spacing w:after="120"/>
              <w:jc w:val="right"/>
              <w:rPr>
                <w:rFonts w:asciiTheme="minorHAnsi" w:hAnsiTheme="minorHAnsi" w:cstheme="minorHAnsi"/>
                <w:sz w:val="16"/>
                <w:szCs w:val="16"/>
              </w:rPr>
            </w:pPr>
          </w:p>
        </w:tc>
        <w:tc>
          <w:tcPr>
            <w:tcW w:w="119" w:type="pct"/>
            <w:tcBorders>
              <w:top w:val="nil"/>
              <w:left w:val="nil"/>
              <w:bottom w:val="nil"/>
              <w:right w:val="nil"/>
            </w:tcBorders>
            <w:shd w:val="clear" w:color="auto" w:fill="auto"/>
            <w:vAlign w:val="center"/>
          </w:tcPr>
          <w:p w14:paraId="1AF8D606" w14:textId="77777777" w:rsidR="00F46E79" w:rsidRPr="00F376DC" w:rsidRDefault="00F46E79" w:rsidP="00F46E79">
            <w:pPr>
              <w:spacing w:after="120"/>
              <w:jc w:val="right"/>
              <w:rPr>
                <w:rFonts w:asciiTheme="minorHAnsi" w:hAnsiTheme="minorHAnsi" w:cstheme="minorHAnsi"/>
                <w:sz w:val="16"/>
                <w:szCs w:val="16"/>
              </w:rPr>
            </w:pPr>
          </w:p>
        </w:tc>
        <w:tc>
          <w:tcPr>
            <w:tcW w:w="622" w:type="pct"/>
            <w:tcBorders>
              <w:top w:val="nil"/>
              <w:left w:val="nil"/>
              <w:bottom w:val="nil"/>
              <w:right w:val="nil"/>
            </w:tcBorders>
            <w:shd w:val="clear" w:color="auto" w:fill="auto"/>
            <w:vAlign w:val="center"/>
          </w:tcPr>
          <w:p w14:paraId="573752C9" w14:textId="23D707A3" w:rsidR="00F46E79" w:rsidRDefault="00937F34" w:rsidP="00F46E79">
            <w:pPr>
              <w:spacing w:after="120"/>
              <w:jc w:val="right"/>
              <w:rPr>
                <w:rFonts w:asciiTheme="minorHAnsi" w:hAnsiTheme="minorHAnsi" w:cstheme="minorHAnsi"/>
                <w:color w:val="000000"/>
                <w:sz w:val="16"/>
                <w:szCs w:val="16"/>
              </w:rPr>
            </w:pPr>
            <w:r>
              <w:rPr>
                <w:rFonts w:asciiTheme="minorHAnsi" w:hAnsiTheme="minorHAnsi" w:cstheme="minorHAnsi"/>
                <w:color w:val="000000"/>
                <w:sz w:val="16"/>
                <w:szCs w:val="16"/>
              </w:rPr>
              <w:t>4.077</w:t>
            </w:r>
          </w:p>
        </w:tc>
        <w:tc>
          <w:tcPr>
            <w:tcW w:w="622" w:type="pct"/>
            <w:tcBorders>
              <w:top w:val="nil"/>
              <w:left w:val="nil"/>
              <w:bottom w:val="nil"/>
              <w:right w:val="nil"/>
            </w:tcBorders>
            <w:shd w:val="clear" w:color="auto" w:fill="auto"/>
            <w:vAlign w:val="center"/>
          </w:tcPr>
          <w:p w14:paraId="006FC21D" w14:textId="551FEE6B" w:rsidR="00F46E79" w:rsidRDefault="00F46E79" w:rsidP="00F46E79">
            <w:pPr>
              <w:spacing w:after="120"/>
              <w:jc w:val="right"/>
              <w:rPr>
                <w:rFonts w:asciiTheme="minorHAnsi" w:hAnsiTheme="minorHAnsi" w:cstheme="minorHAnsi"/>
                <w:color w:val="000000"/>
                <w:sz w:val="16"/>
                <w:szCs w:val="16"/>
              </w:rPr>
            </w:pPr>
            <w:r>
              <w:rPr>
                <w:rFonts w:asciiTheme="minorHAnsi" w:hAnsiTheme="minorHAnsi" w:cstheme="minorHAnsi"/>
                <w:color w:val="000000"/>
                <w:sz w:val="16"/>
                <w:szCs w:val="16"/>
              </w:rPr>
              <w:t>0</w:t>
            </w:r>
          </w:p>
        </w:tc>
      </w:tr>
      <w:tr w:rsidR="00F46E79" w:rsidRPr="00F376DC" w14:paraId="4E42868F" w14:textId="77777777" w:rsidTr="00987B82">
        <w:trPr>
          <w:trHeight w:hRule="exact" w:val="227"/>
        </w:trPr>
        <w:tc>
          <w:tcPr>
            <w:tcW w:w="690" w:type="pct"/>
            <w:tcBorders>
              <w:top w:val="nil"/>
              <w:left w:val="nil"/>
              <w:bottom w:val="nil"/>
              <w:right w:val="nil"/>
            </w:tcBorders>
            <w:shd w:val="clear" w:color="000000" w:fill="FFFFFF"/>
            <w:noWrap/>
            <w:vAlign w:val="center"/>
            <w:hideMark/>
          </w:tcPr>
          <w:p w14:paraId="55AF5348" w14:textId="77777777" w:rsidR="00F46E79" w:rsidRPr="00F376DC" w:rsidRDefault="00F46E79" w:rsidP="00F46E79">
            <w:pPr>
              <w:spacing w:after="120"/>
              <w:jc w:val="center"/>
              <w:rPr>
                <w:rFonts w:asciiTheme="minorHAnsi" w:hAnsiTheme="minorHAnsi" w:cstheme="minorHAnsi"/>
                <w:color w:val="000000"/>
                <w:sz w:val="16"/>
                <w:szCs w:val="16"/>
              </w:rPr>
            </w:pPr>
            <w:r w:rsidRPr="00F376DC">
              <w:rPr>
                <w:rFonts w:asciiTheme="minorHAnsi" w:hAnsiTheme="minorHAnsi" w:cstheme="minorHAnsi"/>
                <w:sz w:val="16"/>
                <w:szCs w:val="16"/>
              </w:rPr>
              <w:t>400</w:t>
            </w:r>
          </w:p>
        </w:tc>
        <w:tc>
          <w:tcPr>
            <w:tcW w:w="2590" w:type="pct"/>
            <w:tcBorders>
              <w:top w:val="nil"/>
              <w:left w:val="nil"/>
              <w:bottom w:val="nil"/>
              <w:right w:val="nil"/>
            </w:tcBorders>
            <w:shd w:val="clear" w:color="000000" w:fill="FFFFFF"/>
            <w:noWrap/>
            <w:vAlign w:val="center"/>
            <w:hideMark/>
          </w:tcPr>
          <w:p w14:paraId="421AD38A" w14:textId="77777777" w:rsidR="00F46E79" w:rsidRPr="00F376DC" w:rsidRDefault="00F46E79" w:rsidP="00F46E79">
            <w:pPr>
              <w:spacing w:after="120"/>
              <w:jc w:val="both"/>
              <w:rPr>
                <w:rFonts w:asciiTheme="minorHAnsi" w:hAnsiTheme="minorHAnsi" w:cstheme="minorHAnsi"/>
                <w:color w:val="000000"/>
                <w:sz w:val="16"/>
                <w:szCs w:val="16"/>
              </w:rPr>
            </w:pPr>
            <w:r w:rsidRPr="00F376DC">
              <w:rPr>
                <w:rFonts w:asciiTheme="minorHAnsi" w:hAnsiTheme="minorHAnsi" w:cstheme="minorHAnsi"/>
                <w:sz w:val="16"/>
                <w:szCs w:val="16"/>
              </w:rPr>
              <w:t xml:space="preserve">Custeio/invest. c/exigência de empenho  </w:t>
            </w:r>
          </w:p>
        </w:tc>
        <w:tc>
          <w:tcPr>
            <w:tcW w:w="119" w:type="pct"/>
            <w:tcBorders>
              <w:top w:val="nil"/>
              <w:left w:val="nil"/>
              <w:bottom w:val="nil"/>
              <w:right w:val="nil"/>
            </w:tcBorders>
            <w:shd w:val="clear" w:color="auto" w:fill="auto"/>
            <w:vAlign w:val="center"/>
            <w:hideMark/>
          </w:tcPr>
          <w:p w14:paraId="1A321B91" w14:textId="77777777" w:rsidR="00F46E79" w:rsidRPr="00F376DC" w:rsidRDefault="00F46E79" w:rsidP="00F46E79">
            <w:pPr>
              <w:spacing w:after="120"/>
              <w:jc w:val="both"/>
              <w:rPr>
                <w:rFonts w:asciiTheme="minorHAnsi" w:hAnsiTheme="minorHAnsi" w:cstheme="minorHAnsi"/>
                <w:color w:val="000000"/>
                <w:sz w:val="16"/>
                <w:szCs w:val="16"/>
              </w:rPr>
            </w:pPr>
          </w:p>
        </w:tc>
        <w:tc>
          <w:tcPr>
            <w:tcW w:w="119" w:type="pct"/>
            <w:tcBorders>
              <w:top w:val="nil"/>
              <w:left w:val="nil"/>
              <w:bottom w:val="nil"/>
              <w:right w:val="nil"/>
            </w:tcBorders>
            <w:shd w:val="clear" w:color="auto" w:fill="auto"/>
            <w:vAlign w:val="center"/>
            <w:hideMark/>
          </w:tcPr>
          <w:p w14:paraId="0F5859A1" w14:textId="77777777" w:rsidR="00F46E79" w:rsidRPr="00F376DC" w:rsidRDefault="00F46E79" w:rsidP="00F46E79">
            <w:pPr>
              <w:spacing w:after="120"/>
              <w:jc w:val="right"/>
              <w:rPr>
                <w:rFonts w:asciiTheme="minorHAnsi" w:hAnsiTheme="minorHAnsi" w:cstheme="minorHAnsi"/>
                <w:sz w:val="16"/>
                <w:szCs w:val="16"/>
              </w:rPr>
            </w:pPr>
          </w:p>
        </w:tc>
        <w:tc>
          <w:tcPr>
            <w:tcW w:w="119" w:type="pct"/>
            <w:tcBorders>
              <w:top w:val="nil"/>
              <w:left w:val="nil"/>
              <w:bottom w:val="nil"/>
              <w:right w:val="nil"/>
            </w:tcBorders>
            <w:shd w:val="clear" w:color="auto" w:fill="auto"/>
            <w:noWrap/>
            <w:vAlign w:val="center"/>
            <w:hideMark/>
          </w:tcPr>
          <w:p w14:paraId="4B7321B2" w14:textId="77777777" w:rsidR="00F46E79" w:rsidRPr="00F376DC" w:rsidRDefault="00F46E79" w:rsidP="00F46E79">
            <w:pPr>
              <w:spacing w:after="120"/>
              <w:jc w:val="right"/>
              <w:rPr>
                <w:rFonts w:asciiTheme="minorHAnsi" w:hAnsiTheme="minorHAnsi" w:cstheme="minorHAnsi"/>
                <w:sz w:val="16"/>
                <w:szCs w:val="16"/>
              </w:rPr>
            </w:pPr>
          </w:p>
        </w:tc>
        <w:tc>
          <w:tcPr>
            <w:tcW w:w="119" w:type="pct"/>
            <w:tcBorders>
              <w:top w:val="nil"/>
              <w:left w:val="nil"/>
              <w:bottom w:val="nil"/>
              <w:right w:val="nil"/>
            </w:tcBorders>
            <w:shd w:val="clear" w:color="auto" w:fill="auto"/>
            <w:vAlign w:val="center"/>
            <w:hideMark/>
          </w:tcPr>
          <w:p w14:paraId="1AE089F3" w14:textId="77777777" w:rsidR="00F46E79" w:rsidRPr="00F376DC" w:rsidRDefault="00F46E79" w:rsidP="00F46E79">
            <w:pPr>
              <w:spacing w:after="120"/>
              <w:jc w:val="right"/>
              <w:rPr>
                <w:rFonts w:asciiTheme="minorHAnsi" w:hAnsiTheme="minorHAnsi" w:cstheme="minorHAnsi"/>
                <w:sz w:val="16"/>
                <w:szCs w:val="16"/>
              </w:rPr>
            </w:pPr>
          </w:p>
        </w:tc>
        <w:tc>
          <w:tcPr>
            <w:tcW w:w="622" w:type="pct"/>
            <w:tcBorders>
              <w:top w:val="nil"/>
              <w:left w:val="nil"/>
              <w:bottom w:val="nil"/>
              <w:right w:val="nil"/>
            </w:tcBorders>
            <w:shd w:val="clear" w:color="auto" w:fill="auto"/>
            <w:vAlign w:val="center"/>
            <w:hideMark/>
          </w:tcPr>
          <w:p w14:paraId="3318F26A" w14:textId="43677F9A" w:rsidR="00F46E79" w:rsidRPr="00F376DC" w:rsidRDefault="00F46E79" w:rsidP="00F46E79">
            <w:pPr>
              <w:spacing w:after="120"/>
              <w:jc w:val="right"/>
              <w:rPr>
                <w:rFonts w:asciiTheme="minorHAnsi" w:hAnsiTheme="minorHAnsi" w:cstheme="minorHAnsi"/>
                <w:color w:val="000000"/>
                <w:sz w:val="16"/>
                <w:szCs w:val="16"/>
              </w:rPr>
            </w:pPr>
            <w:r>
              <w:rPr>
                <w:rFonts w:asciiTheme="minorHAnsi" w:hAnsiTheme="minorHAnsi" w:cstheme="minorHAnsi"/>
                <w:color w:val="000000"/>
                <w:sz w:val="16"/>
                <w:szCs w:val="16"/>
              </w:rPr>
              <w:t>5</w:t>
            </w:r>
            <w:r w:rsidR="00937F34">
              <w:rPr>
                <w:rFonts w:asciiTheme="minorHAnsi" w:hAnsiTheme="minorHAnsi" w:cstheme="minorHAnsi"/>
                <w:color w:val="000000"/>
                <w:sz w:val="16"/>
                <w:szCs w:val="16"/>
              </w:rPr>
              <w:t>3.631.069</w:t>
            </w:r>
          </w:p>
        </w:tc>
        <w:tc>
          <w:tcPr>
            <w:tcW w:w="622" w:type="pct"/>
            <w:tcBorders>
              <w:top w:val="nil"/>
              <w:left w:val="nil"/>
              <w:bottom w:val="nil"/>
              <w:right w:val="nil"/>
            </w:tcBorders>
            <w:shd w:val="clear" w:color="auto" w:fill="auto"/>
            <w:vAlign w:val="center"/>
            <w:hideMark/>
          </w:tcPr>
          <w:p w14:paraId="5F189CC1" w14:textId="71BBA2A4" w:rsidR="00F46E79" w:rsidRPr="00F376DC" w:rsidRDefault="00F46E79" w:rsidP="00F46E79">
            <w:pPr>
              <w:spacing w:after="120"/>
              <w:jc w:val="right"/>
              <w:rPr>
                <w:rFonts w:asciiTheme="minorHAnsi" w:hAnsiTheme="minorHAnsi" w:cstheme="minorHAnsi"/>
                <w:color w:val="000000"/>
                <w:sz w:val="16"/>
                <w:szCs w:val="16"/>
              </w:rPr>
            </w:pPr>
            <w:r>
              <w:rPr>
                <w:rFonts w:asciiTheme="minorHAnsi" w:hAnsiTheme="minorHAnsi" w:cstheme="minorHAnsi"/>
                <w:color w:val="000000"/>
                <w:sz w:val="16"/>
                <w:szCs w:val="16"/>
              </w:rPr>
              <w:t>50.179.402</w:t>
            </w:r>
          </w:p>
        </w:tc>
      </w:tr>
      <w:tr w:rsidR="00F46E79" w:rsidRPr="00F376DC" w14:paraId="6F9A85F8" w14:textId="77777777" w:rsidTr="00987B82">
        <w:trPr>
          <w:trHeight w:hRule="exact" w:val="227"/>
        </w:trPr>
        <w:tc>
          <w:tcPr>
            <w:tcW w:w="690" w:type="pct"/>
            <w:tcBorders>
              <w:top w:val="nil"/>
              <w:left w:val="nil"/>
              <w:bottom w:val="nil"/>
              <w:right w:val="nil"/>
            </w:tcBorders>
            <w:shd w:val="clear" w:color="000000" w:fill="FFFFFF"/>
            <w:noWrap/>
            <w:vAlign w:val="center"/>
            <w:hideMark/>
          </w:tcPr>
          <w:p w14:paraId="3FBAF7EB" w14:textId="77777777" w:rsidR="00F46E79" w:rsidRPr="00F376DC" w:rsidRDefault="00F46E79" w:rsidP="00F46E79">
            <w:pPr>
              <w:spacing w:after="120"/>
              <w:jc w:val="center"/>
              <w:rPr>
                <w:rFonts w:asciiTheme="minorHAnsi" w:hAnsiTheme="minorHAnsi" w:cstheme="minorHAnsi"/>
                <w:color w:val="000000"/>
                <w:sz w:val="16"/>
                <w:szCs w:val="16"/>
              </w:rPr>
            </w:pPr>
            <w:r w:rsidRPr="00F376DC">
              <w:rPr>
                <w:rFonts w:asciiTheme="minorHAnsi" w:hAnsiTheme="minorHAnsi" w:cstheme="minorHAnsi"/>
                <w:sz w:val="16"/>
                <w:szCs w:val="16"/>
              </w:rPr>
              <w:t>409</w:t>
            </w:r>
          </w:p>
        </w:tc>
        <w:tc>
          <w:tcPr>
            <w:tcW w:w="2590" w:type="pct"/>
            <w:tcBorders>
              <w:top w:val="nil"/>
              <w:left w:val="nil"/>
              <w:bottom w:val="nil"/>
              <w:right w:val="nil"/>
            </w:tcBorders>
            <w:shd w:val="clear" w:color="000000" w:fill="FFFFFF"/>
            <w:noWrap/>
            <w:vAlign w:val="center"/>
            <w:hideMark/>
          </w:tcPr>
          <w:p w14:paraId="02C5CE89" w14:textId="77777777" w:rsidR="00F46E79" w:rsidRPr="00F376DC" w:rsidRDefault="00F46E79" w:rsidP="00F46E79">
            <w:pPr>
              <w:spacing w:after="120"/>
              <w:jc w:val="both"/>
              <w:rPr>
                <w:rFonts w:asciiTheme="minorHAnsi" w:hAnsiTheme="minorHAnsi" w:cstheme="minorHAnsi"/>
                <w:color w:val="000000"/>
                <w:sz w:val="16"/>
                <w:szCs w:val="16"/>
              </w:rPr>
            </w:pPr>
            <w:r w:rsidRPr="00F376DC">
              <w:rPr>
                <w:rFonts w:asciiTheme="minorHAnsi" w:hAnsiTheme="minorHAnsi" w:cstheme="minorHAnsi"/>
                <w:sz w:val="16"/>
                <w:szCs w:val="16"/>
              </w:rPr>
              <w:t>Emendas Resultado EOF -9</w:t>
            </w:r>
          </w:p>
        </w:tc>
        <w:tc>
          <w:tcPr>
            <w:tcW w:w="119" w:type="pct"/>
            <w:tcBorders>
              <w:top w:val="nil"/>
              <w:left w:val="nil"/>
              <w:bottom w:val="nil"/>
              <w:right w:val="nil"/>
            </w:tcBorders>
            <w:shd w:val="clear" w:color="auto" w:fill="auto"/>
            <w:vAlign w:val="center"/>
            <w:hideMark/>
          </w:tcPr>
          <w:p w14:paraId="79912147" w14:textId="77777777" w:rsidR="00F46E79" w:rsidRPr="00F376DC" w:rsidRDefault="00F46E79" w:rsidP="00F46E79">
            <w:pPr>
              <w:spacing w:after="120"/>
              <w:jc w:val="both"/>
              <w:rPr>
                <w:rFonts w:asciiTheme="minorHAnsi" w:hAnsiTheme="minorHAnsi" w:cstheme="minorHAnsi"/>
                <w:color w:val="000000"/>
                <w:sz w:val="16"/>
                <w:szCs w:val="16"/>
              </w:rPr>
            </w:pPr>
          </w:p>
        </w:tc>
        <w:tc>
          <w:tcPr>
            <w:tcW w:w="119" w:type="pct"/>
            <w:tcBorders>
              <w:top w:val="nil"/>
              <w:left w:val="nil"/>
              <w:bottom w:val="nil"/>
              <w:right w:val="nil"/>
            </w:tcBorders>
            <w:shd w:val="clear" w:color="auto" w:fill="auto"/>
            <w:vAlign w:val="center"/>
            <w:hideMark/>
          </w:tcPr>
          <w:p w14:paraId="4FB693E2" w14:textId="77777777" w:rsidR="00F46E79" w:rsidRPr="00F376DC" w:rsidRDefault="00F46E79" w:rsidP="00F46E79">
            <w:pPr>
              <w:spacing w:after="120"/>
              <w:jc w:val="right"/>
              <w:rPr>
                <w:rFonts w:asciiTheme="minorHAnsi" w:hAnsiTheme="minorHAnsi" w:cstheme="minorHAnsi"/>
                <w:sz w:val="16"/>
                <w:szCs w:val="16"/>
              </w:rPr>
            </w:pPr>
          </w:p>
        </w:tc>
        <w:tc>
          <w:tcPr>
            <w:tcW w:w="119" w:type="pct"/>
            <w:tcBorders>
              <w:top w:val="nil"/>
              <w:left w:val="nil"/>
              <w:bottom w:val="nil"/>
              <w:right w:val="nil"/>
            </w:tcBorders>
            <w:shd w:val="clear" w:color="auto" w:fill="auto"/>
            <w:noWrap/>
            <w:vAlign w:val="center"/>
            <w:hideMark/>
          </w:tcPr>
          <w:p w14:paraId="2A543605" w14:textId="77777777" w:rsidR="00F46E79" w:rsidRPr="00F376DC" w:rsidRDefault="00F46E79" w:rsidP="00F46E79">
            <w:pPr>
              <w:spacing w:after="120"/>
              <w:jc w:val="right"/>
              <w:rPr>
                <w:rFonts w:asciiTheme="minorHAnsi" w:hAnsiTheme="minorHAnsi" w:cstheme="minorHAnsi"/>
                <w:sz w:val="16"/>
                <w:szCs w:val="16"/>
              </w:rPr>
            </w:pPr>
          </w:p>
        </w:tc>
        <w:tc>
          <w:tcPr>
            <w:tcW w:w="119" w:type="pct"/>
            <w:tcBorders>
              <w:top w:val="nil"/>
              <w:left w:val="nil"/>
              <w:bottom w:val="nil"/>
              <w:right w:val="nil"/>
            </w:tcBorders>
            <w:shd w:val="clear" w:color="auto" w:fill="auto"/>
            <w:vAlign w:val="center"/>
            <w:hideMark/>
          </w:tcPr>
          <w:p w14:paraId="7BA92D63" w14:textId="77777777" w:rsidR="00F46E79" w:rsidRPr="00F376DC" w:rsidRDefault="00F46E79" w:rsidP="00F46E79">
            <w:pPr>
              <w:spacing w:after="120"/>
              <w:jc w:val="right"/>
              <w:rPr>
                <w:rFonts w:asciiTheme="minorHAnsi" w:hAnsiTheme="minorHAnsi" w:cstheme="minorHAnsi"/>
                <w:sz w:val="16"/>
                <w:szCs w:val="16"/>
              </w:rPr>
            </w:pPr>
          </w:p>
        </w:tc>
        <w:tc>
          <w:tcPr>
            <w:tcW w:w="622" w:type="pct"/>
            <w:tcBorders>
              <w:top w:val="nil"/>
              <w:left w:val="nil"/>
              <w:bottom w:val="nil"/>
              <w:right w:val="nil"/>
            </w:tcBorders>
            <w:shd w:val="clear" w:color="auto" w:fill="auto"/>
            <w:vAlign w:val="center"/>
            <w:hideMark/>
          </w:tcPr>
          <w:p w14:paraId="243F2B6C" w14:textId="183ECFCD" w:rsidR="00F46E79" w:rsidRPr="00F376DC" w:rsidRDefault="00937F34" w:rsidP="00F46E79">
            <w:pPr>
              <w:spacing w:after="120"/>
              <w:jc w:val="right"/>
              <w:rPr>
                <w:rFonts w:asciiTheme="minorHAnsi" w:hAnsiTheme="minorHAnsi" w:cstheme="minorHAnsi"/>
                <w:color w:val="000000"/>
                <w:sz w:val="16"/>
                <w:szCs w:val="16"/>
              </w:rPr>
            </w:pPr>
            <w:r>
              <w:rPr>
                <w:rFonts w:asciiTheme="minorHAnsi" w:hAnsiTheme="minorHAnsi" w:cstheme="minorHAnsi"/>
                <w:color w:val="000000"/>
                <w:sz w:val="16"/>
                <w:szCs w:val="16"/>
              </w:rPr>
              <w:t>100.000</w:t>
            </w:r>
          </w:p>
        </w:tc>
        <w:tc>
          <w:tcPr>
            <w:tcW w:w="622" w:type="pct"/>
            <w:tcBorders>
              <w:top w:val="nil"/>
              <w:left w:val="nil"/>
              <w:bottom w:val="nil"/>
              <w:right w:val="nil"/>
            </w:tcBorders>
            <w:shd w:val="clear" w:color="auto" w:fill="auto"/>
            <w:vAlign w:val="center"/>
            <w:hideMark/>
          </w:tcPr>
          <w:p w14:paraId="26719CD6" w14:textId="3B4D71E3" w:rsidR="00F46E79" w:rsidRPr="00F376DC" w:rsidRDefault="00F46E79" w:rsidP="00F46E79">
            <w:pPr>
              <w:spacing w:after="120"/>
              <w:jc w:val="right"/>
              <w:rPr>
                <w:rFonts w:asciiTheme="minorHAnsi" w:hAnsiTheme="minorHAnsi" w:cstheme="minorHAnsi"/>
                <w:color w:val="000000"/>
                <w:sz w:val="16"/>
                <w:szCs w:val="16"/>
              </w:rPr>
            </w:pPr>
            <w:r>
              <w:rPr>
                <w:rFonts w:asciiTheme="minorHAnsi" w:hAnsiTheme="minorHAnsi" w:cstheme="minorHAnsi"/>
                <w:color w:val="000000"/>
                <w:sz w:val="16"/>
                <w:szCs w:val="16"/>
              </w:rPr>
              <w:t>0</w:t>
            </w:r>
          </w:p>
        </w:tc>
      </w:tr>
      <w:tr w:rsidR="00F46E79" w:rsidRPr="00F376DC" w14:paraId="132D53B1" w14:textId="77777777" w:rsidTr="00987B82">
        <w:trPr>
          <w:trHeight w:hRule="exact" w:val="227"/>
        </w:trPr>
        <w:tc>
          <w:tcPr>
            <w:tcW w:w="690" w:type="pct"/>
            <w:tcBorders>
              <w:top w:val="nil"/>
              <w:left w:val="nil"/>
              <w:bottom w:val="nil"/>
              <w:right w:val="nil"/>
            </w:tcBorders>
            <w:shd w:val="clear" w:color="000000" w:fill="FFFFFF"/>
            <w:noWrap/>
            <w:vAlign w:val="center"/>
            <w:hideMark/>
          </w:tcPr>
          <w:p w14:paraId="599E3BE0" w14:textId="77777777" w:rsidR="00F46E79" w:rsidRPr="00F376DC" w:rsidRDefault="00F46E79" w:rsidP="00F46E79">
            <w:pPr>
              <w:spacing w:after="120"/>
              <w:jc w:val="center"/>
              <w:rPr>
                <w:rFonts w:asciiTheme="minorHAnsi" w:hAnsiTheme="minorHAnsi" w:cstheme="minorHAnsi"/>
                <w:color w:val="000000"/>
                <w:sz w:val="16"/>
                <w:szCs w:val="16"/>
              </w:rPr>
            </w:pPr>
            <w:r w:rsidRPr="00F376DC">
              <w:rPr>
                <w:rFonts w:asciiTheme="minorHAnsi" w:hAnsiTheme="minorHAnsi" w:cstheme="minorHAnsi"/>
                <w:sz w:val="16"/>
                <w:szCs w:val="16"/>
              </w:rPr>
              <w:t>500</w:t>
            </w:r>
          </w:p>
        </w:tc>
        <w:tc>
          <w:tcPr>
            <w:tcW w:w="2590" w:type="pct"/>
            <w:tcBorders>
              <w:top w:val="nil"/>
              <w:left w:val="nil"/>
              <w:bottom w:val="nil"/>
              <w:right w:val="nil"/>
            </w:tcBorders>
            <w:shd w:val="clear" w:color="000000" w:fill="FFFFFF"/>
            <w:noWrap/>
            <w:vAlign w:val="center"/>
            <w:hideMark/>
          </w:tcPr>
          <w:p w14:paraId="266BE23C" w14:textId="77777777" w:rsidR="00F46E79" w:rsidRPr="00F376DC" w:rsidRDefault="00F46E79" w:rsidP="00F46E79">
            <w:pPr>
              <w:spacing w:after="120"/>
              <w:jc w:val="both"/>
              <w:rPr>
                <w:rFonts w:asciiTheme="minorHAnsi" w:hAnsiTheme="minorHAnsi" w:cstheme="minorHAnsi"/>
                <w:color w:val="000000"/>
                <w:sz w:val="16"/>
                <w:szCs w:val="16"/>
              </w:rPr>
            </w:pPr>
            <w:r w:rsidRPr="00F376DC">
              <w:rPr>
                <w:rFonts w:asciiTheme="minorHAnsi" w:hAnsiTheme="minorHAnsi" w:cstheme="minorHAnsi"/>
                <w:sz w:val="16"/>
                <w:szCs w:val="16"/>
              </w:rPr>
              <w:t>Custeio e investimento</w:t>
            </w:r>
          </w:p>
        </w:tc>
        <w:tc>
          <w:tcPr>
            <w:tcW w:w="119" w:type="pct"/>
            <w:tcBorders>
              <w:top w:val="nil"/>
              <w:left w:val="nil"/>
              <w:bottom w:val="nil"/>
              <w:right w:val="nil"/>
            </w:tcBorders>
            <w:shd w:val="clear" w:color="auto" w:fill="auto"/>
            <w:vAlign w:val="center"/>
            <w:hideMark/>
          </w:tcPr>
          <w:p w14:paraId="13D2D3D1" w14:textId="77777777" w:rsidR="00F46E79" w:rsidRPr="00F376DC" w:rsidRDefault="00F46E79" w:rsidP="00F46E79">
            <w:pPr>
              <w:spacing w:after="120"/>
              <w:jc w:val="both"/>
              <w:rPr>
                <w:rFonts w:asciiTheme="minorHAnsi" w:hAnsiTheme="minorHAnsi" w:cstheme="minorHAnsi"/>
                <w:color w:val="000000"/>
                <w:sz w:val="16"/>
                <w:szCs w:val="16"/>
              </w:rPr>
            </w:pPr>
          </w:p>
        </w:tc>
        <w:tc>
          <w:tcPr>
            <w:tcW w:w="119" w:type="pct"/>
            <w:tcBorders>
              <w:top w:val="nil"/>
              <w:left w:val="nil"/>
              <w:bottom w:val="nil"/>
              <w:right w:val="nil"/>
            </w:tcBorders>
            <w:shd w:val="clear" w:color="auto" w:fill="auto"/>
            <w:vAlign w:val="center"/>
            <w:hideMark/>
          </w:tcPr>
          <w:p w14:paraId="1A14BF5C" w14:textId="77777777" w:rsidR="00F46E79" w:rsidRPr="00F376DC" w:rsidRDefault="00F46E79" w:rsidP="00F46E79">
            <w:pPr>
              <w:spacing w:after="120"/>
              <w:jc w:val="right"/>
              <w:rPr>
                <w:rFonts w:asciiTheme="minorHAnsi" w:hAnsiTheme="minorHAnsi" w:cstheme="minorHAnsi"/>
                <w:sz w:val="16"/>
                <w:szCs w:val="16"/>
              </w:rPr>
            </w:pPr>
          </w:p>
        </w:tc>
        <w:tc>
          <w:tcPr>
            <w:tcW w:w="119" w:type="pct"/>
            <w:tcBorders>
              <w:top w:val="nil"/>
              <w:left w:val="nil"/>
              <w:bottom w:val="nil"/>
              <w:right w:val="nil"/>
            </w:tcBorders>
            <w:shd w:val="clear" w:color="auto" w:fill="auto"/>
            <w:noWrap/>
            <w:vAlign w:val="center"/>
            <w:hideMark/>
          </w:tcPr>
          <w:p w14:paraId="28FDFC5F" w14:textId="77777777" w:rsidR="00F46E79" w:rsidRPr="00F376DC" w:rsidRDefault="00F46E79" w:rsidP="00F46E79">
            <w:pPr>
              <w:spacing w:after="120"/>
              <w:jc w:val="right"/>
              <w:rPr>
                <w:rFonts w:asciiTheme="minorHAnsi" w:hAnsiTheme="minorHAnsi" w:cstheme="minorHAnsi"/>
                <w:sz w:val="16"/>
                <w:szCs w:val="16"/>
              </w:rPr>
            </w:pPr>
          </w:p>
        </w:tc>
        <w:tc>
          <w:tcPr>
            <w:tcW w:w="119" w:type="pct"/>
            <w:tcBorders>
              <w:top w:val="nil"/>
              <w:left w:val="nil"/>
              <w:bottom w:val="nil"/>
              <w:right w:val="nil"/>
            </w:tcBorders>
            <w:shd w:val="clear" w:color="auto" w:fill="auto"/>
            <w:vAlign w:val="center"/>
            <w:hideMark/>
          </w:tcPr>
          <w:p w14:paraId="32C79B15" w14:textId="77777777" w:rsidR="00F46E79" w:rsidRPr="00F376DC" w:rsidRDefault="00F46E79" w:rsidP="00F46E79">
            <w:pPr>
              <w:spacing w:after="120"/>
              <w:jc w:val="right"/>
              <w:rPr>
                <w:rFonts w:asciiTheme="minorHAnsi" w:hAnsiTheme="minorHAnsi" w:cstheme="minorHAnsi"/>
                <w:sz w:val="16"/>
                <w:szCs w:val="16"/>
              </w:rPr>
            </w:pPr>
          </w:p>
        </w:tc>
        <w:tc>
          <w:tcPr>
            <w:tcW w:w="622" w:type="pct"/>
            <w:tcBorders>
              <w:top w:val="nil"/>
              <w:left w:val="nil"/>
              <w:bottom w:val="nil"/>
              <w:right w:val="nil"/>
            </w:tcBorders>
            <w:shd w:val="clear" w:color="auto" w:fill="auto"/>
            <w:vAlign w:val="center"/>
            <w:hideMark/>
          </w:tcPr>
          <w:p w14:paraId="2E9554EA" w14:textId="77777777" w:rsidR="00F46E79" w:rsidRPr="00F376DC" w:rsidRDefault="00F46E79" w:rsidP="00F46E79">
            <w:pPr>
              <w:spacing w:after="120"/>
              <w:jc w:val="right"/>
              <w:rPr>
                <w:rFonts w:asciiTheme="minorHAnsi" w:hAnsiTheme="minorHAnsi" w:cstheme="minorHAnsi"/>
                <w:color w:val="000000"/>
                <w:sz w:val="16"/>
                <w:szCs w:val="16"/>
              </w:rPr>
            </w:pPr>
            <w:r w:rsidRPr="00F376DC">
              <w:rPr>
                <w:rFonts w:asciiTheme="minorHAnsi" w:hAnsiTheme="minorHAnsi" w:cstheme="minorHAnsi"/>
                <w:color w:val="000000"/>
                <w:sz w:val="16"/>
                <w:szCs w:val="16"/>
              </w:rPr>
              <w:t>0</w:t>
            </w:r>
          </w:p>
        </w:tc>
        <w:tc>
          <w:tcPr>
            <w:tcW w:w="622" w:type="pct"/>
            <w:tcBorders>
              <w:top w:val="nil"/>
              <w:left w:val="nil"/>
              <w:bottom w:val="nil"/>
              <w:right w:val="nil"/>
            </w:tcBorders>
            <w:shd w:val="clear" w:color="auto" w:fill="auto"/>
            <w:vAlign w:val="center"/>
            <w:hideMark/>
          </w:tcPr>
          <w:p w14:paraId="31E75825" w14:textId="7C75F3AF" w:rsidR="00F46E79" w:rsidRPr="00F376DC" w:rsidRDefault="00F46E79" w:rsidP="00F46E79">
            <w:pPr>
              <w:spacing w:after="120"/>
              <w:jc w:val="right"/>
              <w:rPr>
                <w:rFonts w:asciiTheme="minorHAnsi" w:hAnsiTheme="minorHAnsi" w:cstheme="minorHAnsi"/>
                <w:color w:val="000000"/>
                <w:sz w:val="16"/>
                <w:szCs w:val="16"/>
              </w:rPr>
            </w:pPr>
            <w:r w:rsidRPr="00F376DC">
              <w:rPr>
                <w:rFonts w:asciiTheme="minorHAnsi" w:hAnsiTheme="minorHAnsi" w:cstheme="minorHAnsi"/>
                <w:color w:val="000000"/>
                <w:sz w:val="16"/>
                <w:szCs w:val="16"/>
              </w:rPr>
              <w:t>0</w:t>
            </w:r>
          </w:p>
        </w:tc>
      </w:tr>
      <w:tr w:rsidR="00F46E79" w:rsidRPr="00F376DC" w14:paraId="0CD963FC" w14:textId="77777777" w:rsidTr="00987B82">
        <w:trPr>
          <w:trHeight w:hRule="exact" w:val="227"/>
        </w:trPr>
        <w:tc>
          <w:tcPr>
            <w:tcW w:w="690" w:type="pct"/>
            <w:tcBorders>
              <w:top w:val="nil"/>
              <w:left w:val="nil"/>
              <w:bottom w:val="nil"/>
              <w:right w:val="nil"/>
            </w:tcBorders>
            <w:shd w:val="clear" w:color="000000" w:fill="FFFFFF"/>
            <w:noWrap/>
            <w:vAlign w:val="center"/>
            <w:hideMark/>
          </w:tcPr>
          <w:p w14:paraId="4CF07562" w14:textId="77777777" w:rsidR="00F46E79" w:rsidRPr="00F376DC" w:rsidRDefault="00F46E79" w:rsidP="00F46E79">
            <w:pPr>
              <w:spacing w:after="120"/>
              <w:jc w:val="center"/>
              <w:rPr>
                <w:rFonts w:asciiTheme="minorHAnsi" w:hAnsiTheme="minorHAnsi" w:cstheme="minorHAnsi"/>
                <w:color w:val="000000"/>
                <w:sz w:val="16"/>
                <w:szCs w:val="16"/>
              </w:rPr>
            </w:pPr>
            <w:r w:rsidRPr="00F376DC">
              <w:rPr>
                <w:rFonts w:asciiTheme="minorHAnsi" w:hAnsiTheme="minorHAnsi" w:cstheme="minorHAnsi"/>
                <w:sz w:val="16"/>
                <w:szCs w:val="16"/>
              </w:rPr>
              <w:t>510</w:t>
            </w:r>
          </w:p>
        </w:tc>
        <w:tc>
          <w:tcPr>
            <w:tcW w:w="2590" w:type="pct"/>
            <w:tcBorders>
              <w:top w:val="nil"/>
              <w:left w:val="nil"/>
              <w:bottom w:val="nil"/>
              <w:right w:val="nil"/>
            </w:tcBorders>
            <w:shd w:val="clear" w:color="000000" w:fill="FFFFFF"/>
            <w:noWrap/>
            <w:vAlign w:val="center"/>
            <w:hideMark/>
          </w:tcPr>
          <w:p w14:paraId="3FD40067" w14:textId="77777777" w:rsidR="00F46E79" w:rsidRPr="00F376DC" w:rsidRDefault="00F46E79" w:rsidP="00F46E79">
            <w:pPr>
              <w:spacing w:after="120"/>
              <w:jc w:val="both"/>
              <w:rPr>
                <w:rFonts w:asciiTheme="minorHAnsi" w:hAnsiTheme="minorHAnsi" w:cstheme="minorHAnsi"/>
                <w:color w:val="000000"/>
                <w:sz w:val="16"/>
                <w:szCs w:val="16"/>
              </w:rPr>
            </w:pPr>
            <w:r w:rsidRPr="00F376DC">
              <w:rPr>
                <w:rFonts w:asciiTheme="minorHAnsi" w:hAnsiTheme="minorHAnsi" w:cstheme="minorHAnsi"/>
                <w:sz w:val="16"/>
                <w:szCs w:val="16"/>
              </w:rPr>
              <w:t xml:space="preserve">Custeio pgto. pessoal/auxílios        </w:t>
            </w:r>
          </w:p>
        </w:tc>
        <w:tc>
          <w:tcPr>
            <w:tcW w:w="119" w:type="pct"/>
            <w:tcBorders>
              <w:top w:val="nil"/>
              <w:left w:val="nil"/>
              <w:bottom w:val="nil"/>
              <w:right w:val="nil"/>
            </w:tcBorders>
            <w:shd w:val="clear" w:color="auto" w:fill="auto"/>
            <w:vAlign w:val="center"/>
            <w:hideMark/>
          </w:tcPr>
          <w:p w14:paraId="4320340D" w14:textId="77777777" w:rsidR="00F46E79" w:rsidRPr="00F376DC" w:rsidRDefault="00F46E79" w:rsidP="00F46E79">
            <w:pPr>
              <w:spacing w:after="120"/>
              <w:jc w:val="both"/>
              <w:rPr>
                <w:rFonts w:asciiTheme="minorHAnsi" w:hAnsiTheme="minorHAnsi" w:cstheme="minorHAnsi"/>
                <w:color w:val="000000"/>
                <w:sz w:val="16"/>
                <w:szCs w:val="16"/>
              </w:rPr>
            </w:pPr>
          </w:p>
        </w:tc>
        <w:tc>
          <w:tcPr>
            <w:tcW w:w="119" w:type="pct"/>
            <w:tcBorders>
              <w:top w:val="nil"/>
              <w:left w:val="nil"/>
              <w:bottom w:val="nil"/>
              <w:right w:val="nil"/>
            </w:tcBorders>
            <w:shd w:val="clear" w:color="auto" w:fill="auto"/>
            <w:vAlign w:val="center"/>
            <w:hideMark/>
          </w:tcPr>
          <w:p w14:paraId="4579BF3F" w14:textId="77777777" w:rsidR="00F46E79" w:rsidRPr="00F376DC" w:rsidRDefault="00F46E79" w:rsidP="00F46E79">
            <w:pPr>
              <w:spacing w:after="120"/>
              <w:jc w:val="right"/>
              <w:rPr>
                <w:rFonts w:asciiTheme="minorHAnsi" w:hAnsiTheme="minorHAnsi" w:cstheme="minorHAnsi"/>
                <w:sz w:val="16"/>
                <w:szCs w:val="16"/>
              </w:rPr>
            </w:pPr>
          </w:p>
        </w:tc>
        <w:tc>
          <w:tcPr>
            <w:tcW w:w="119" w:type="pct"/>
            <w:tcBorders>
              <w:top w:val="nil"/>
              <w:left w:val="nil"/>
              <w:bottom w:val="nil"/>
              <w:right w:val="nil"/>
            </w:tcBorders>
            <w:shd w:val="clear" w:color="auto" w:fill="auto"/>
            <w:noWrap/>
            <w:vAlign w:val="center"/>
            <w:hideMark/>
          </w:tcPr>
          <w:p w14:paraId="6AAABCA2" w14:textId="77777777" w:rsidR="00F46E79" w:rsidRPr="00F376DC" w:rsidRDefault="00F46E79" w:rsidP="00F46E79">
            <w:pPr>
              <w:spacing w:after="120"/>
              <w:jc w:val="right"/>
              <w:rPr>
                <w:rFonts w:asciiTheme="minorHAnsi" w:hAnsiTheme="minorHAnsi" w:cstheme="minorHAnsi"/>
                <w:sz w:val="16"/>
                <w:szCs w:val="16"/>
              </w:rPr>
            </w:pPr>
          </w:p>
        </w:tc>
        <w:tc>
          <w:tcPr>
            <w:tcW w:w="119" w:type="pct"/>
            <w:tcBorders>
              <w:top w:val="nil"/>
              <w:left w:val="nil"/>
              <w:bottom w:val="nil"/>
              <w:right w:val="nil"/>
            </w:tcBorders>
            <w:shd w:val="clear" w:color="auto" w:fill="auto"/>
            <w:vAlign w:val="center"/>
            <w:hideMark/>
          </w:tcPr>
          <w:p w14:paraId="33139082" w14:textId="77777777" w:rsidR="00F46E79" w:rsidRPr="00F376DC" w:rsidRDefault="00F46E79" w:rsidP="00F46E79">
            <w:pPr>
              <w:spacing w:after="120"/>
              <w:jc w:val="right"/>
              <w:rPr>
                <w:rFonts w:asciiTheme="minorHAnsi" w:hAnsiTheme="minorHAnsi" w:cstheme="minorHAnsi"/>
                <w:sz w:val="16"/>
                <w:szCs w:val="16"/>
              </w:rPr>
            </w:pPr>
          </w:p>
        </w:tc>
        <w:tc>
          <w:tcPr>
            <w:tcW w:w="622" w:type="pct"/>
            <w:tcBorders>
              <w:top w:val="nil"/>
              <w:left w:val="nil"/>
              <w:bottom w:val="nil"/>
              <w:right w:val="nil"/>
            </w:tcBorders>
            <w:shd w:val="clear" w:color="auto" w:fill="auto"/>
            <w:vAlign w:val="center"/>
            <w:hideMark/>
          </w:tcPr>
          <w:p w14:paraId="109B9628" w14:textId="35222052" w:rsidR="00F46E79" w:rsidRPr="00F376DC" w:rsidRDefault="001F38E9" w:rsidP="00F46E79">
            <w:pPr>
              <w:spacing w:after="120"/>
              <w:jc w:val="right"/>
              <w:rPr>
                <w:rFonts w:asciiTheme="minorHAnsi" w:hAnsiTheme="minorHAnsi" w:cstheme="minorHAnsi"/>
                <w:color w:val="000000"/>
                <w:sz w:val="16"/>
                <w:szCs w:val="16"/>
              </w:rPr>
            </w:pPr>
            <w:r>
              <w:rPr>
                <w:rFonts w:asciiTheme="minorHAnsi" w:hAnsiTheme="minorHAnsi" w:cstheme="minorHAnsi"/>
                <w:color w:val="000000"/>
                <w:sz w:val="16"/>
                <w:szCs w:val="16"/>
              </w:rPr>
              <w:t>1.</w:t>
            </w:r>
            <w:r w:rsidR="00937F34">
              <w:rPr>
                <w:rFonts w:asciiTheme="minorHAnsi" w:hAnsiTheme="minorHAnsi" w:cstheme="minorHAnsi"/>
                <w:color w:val="000000"/>
                <w:sz w:val="16"/>
                <w:szCs w:val="16"/>
              </w:rPr>
              <w:t>648.302</w:t>
            </w:r>
          </w:p>
        </w:tc>
        <w:tc>
          <w:tcPr>
            <w:tcW w:w="622" w:type="pct"/>
            <w:tcBorders>
              <w:top w:val="nil"/>
              <w:left w:val="nil"/>
              <w:bottom w:val="nil"/>
              <w:right w:val="nil"/>
            </w:tcBorders>
            <w:shd w:val="clear" w:color="auto" w:fill="auto"/>
            <w:vAlign w:val="center"/>
            <w:hideMark/>
          </w:tcPr>
          <w:p w14:paraId="3BDC4896" w14:textId="64730902" w:rsidR="00F46E79" w:rsidRPr="00F376DC" w:rsidRDefault="00F46E79" w:rsidP="00F46E79">
            <w:pPr>
              <w:spacing w:after="120"/>
              <w:jc w:val="right"/>
              <w:rPr>
                <w:rFonts w:asciiTheme="minorHAnsi" w:hAnsiTheme="minorHAnsi" w:cstheme="minorHAnsi"/>
                <w:color w:val="000000"/>
                <w:sz w:val="16"/>
                <w:szCs w:val="16"/>
              </w:rPr>
            </w:pPr>
            <w:r>
              <w:rPr>
                <w:rFonts w:asciiTheme="minorHAnsi" w:hAnsiTheme="minorHAnsi" w:cstheme="minorHAnsi"/>
                <w:color w:val="000000"/>
                <w:sz w:val="16"/>
                <w:szCs w:val="16"/>
              </w:rPr>
              <w:t>307.565</w:t>
            </w:r>
          </w:p>
        </w:tc>
      </w:tr>
      <w:tr w:rsidR="00F46E79" w:rsidRPr="00F376DC" w14:paraId="147EEBAD" w14:textId="77777777" w:rsidTr="00987B82">
        <w:trPr>
          <w:trHeight w:hRule="exact" w:val="227"/>
        </w:trPr>
        <w:tc>
          <w:tcPr>
            <w:tcW w:w="690" w:type="pct"/>
            <w:tcBorders>
              <w:top w:val="nil"/>
              <w:left w:val="nil"/>
              <w:bottom w:val="nil"/>
              <w:right w:val="nil"/>
            </w:tcBorders>
            <w:shd w:val="clear" w:color="000000" w:fill="FFFFFF"/>
            <w:noWrap/>
            <w:vAlign w:val="center"/>
            <w:hideMark/>
          </w:tcPr>
          <w:p w14:paraId="0ADD6496" w14:textId="77777777" w:rsidR="00F46E79" w:rsidRPr="00F376DC" w:rsidRDefault="00F46E79" w:rsidP="00F46E79">
            <w:pPr>
              <w:spacing w:after="120"/>
              <w:jc w:val="center"/>
              <w:rPr>
                <w:rFonts w:asciiTheme="minorHAnsi" w:hAnsiTheme="minorHAnsi" w:cstheme="minorHAnsi"/>
                <w:color w:val="000000"/>
                <w:sz w:val="16"/>
                <w:szCs w:val="16"/>
              </w:rPr>
            </w:pPr>
            <w:r w:rsidRPr="00F376DC">
              <w:rPr>
                <w:rFonts w:asciiTheme="minorHAnsi" w:hAnsiTheme="minorHAnsi" w:cstheme="minorHAnsi"/>
                <w:sz w:val="16"/>
                <w:szCs w:val="16"/>
              </w:rPr>
              <w:t>514</w:t>
            </w:r>
          </w:p>
        </w:tc>
        <w:tc>
          <w:tcPr>
            <w:tcW w:w="2590" w:type="pct"/>
            <w:tcBorders>
              <w:top w:val="nil"/>
              <w:left w:val="nil"/>
              <w:bottom w:val="nil"/>
              <w:right w:val="nil"/>
            </w:tcBorders>
            <w:shd w:val="clear" w:color="000000" w:fill="FFFFFF"/>
            <w:noWrap/>
            <w:vAlign w:val="center"/>
            <w:hideMark/>
          </w:tcPr>
          <w:p w14:paraId="6A687E25" w14:textId="77777777" w:rsidR="00F46E79" w:rsidRPr="00F376DC" w:rsidRDefault="00F46E79" w:rsidP="00F46E79">
            <w:pPr>
              <w:spacing w:after="120"/>
              <w:jc w:val="both"/>
              <w:rPr>
                <w:rFonts w:asciiTheme="minorHAnsi" w:hAnsiTheme="minorHAnsi" w:cstheme="minorHAnsi"/>
                <w:color w:val="000000"/>
                <w:sz w:val="16"/>
                <w:szCs w:val="16"/>
              </w:rPr>
            </w:pPr>
            <w:r w:rsidRPr="00F376DC">
              <w:rPr>
                <w:rFonts w:asciiTheme="minorHAnsi" w:hAnsiTheme="minorHAnsi" w:cstheme="minorHAnsi"/>
                <w:sz w:val="16"/>
                <w:szCs w:val="16"/>
              </w:rPr>
              <w:t>Custeio Pagamento Pessoal/Auxílios- Resultado. Primário</w:t>
            </w:r>
          </w:p>
        </w:tc>
        <w:tc>
          <w:tcPr>
            <w:tcW w:w="119" w:type="pct"/>
            <w:tcBorders>
              <w:top w:val="nil"/>
              <w:left w:val="nil"/>
              <w:bottom w:val="nil"/>
              <w:right w:val="nil"/>
            </w:tcBorders>
            <w:shd w:val="clear" w:color="auto" w:fill="auto"/>
            <w:vAlign w:val="center"/>
            <w:hideMark/>
          </w:tcPr>
          <w:p w14:paraId="45BC3F5C" w14:textId="77777777" w:rsidR="00F46E79" w:rsidRPr="00F376DC" w:rsidRDefault="00F46E79" w:rsidP="00F46E79">
            <w:pPr>
              <w:spacing w:after="120"/>
              <w:jc w:val="both"/>
              <w:rPr>
                <w:rFonts w:asciiTheme="minorHAnsi" w:hAnsiTheme="minorHAnsi" w:cstheme="minorHAnsi"/>
                <w:color w:val="000000"/>
                <w:sz w:val="16"/>
                <w:szCs w:val="16"/>
              </w:rPr>
            </w:pPr>
          </w:p>
        </w:tc>
        <w:tc>
          <w:tcPr>
            <w:tcW w:w="119" w:type="pct"/>
            <w:tcBorders>
              <w:top w:val="nil"/>
              <w:left w:val="nil"/>
              <w:bottom w:val="nil"/>
              <w:right w:val="nil"/>
            </w:tcBorders>
            <w:shd w:val="clear" w:color="auto" w:fill="auto"/>
            <w:vAlign w:val="center"/>
            <w:hideMark/>
          </w:tcPr>
          <w:p w14:paraId="61D7982B" w14:textId="77777777" w:rsidR="00F46E79" w:rsidRPr="00F376DC" w:rsidRDefault="00F46E79" w:rsidP="00F46E79">
            <w:pPr>
              <w:spacing w:after="120"/>
              <w:jc w:val="right"/>
              <w:rPr>
                <w:rFonts w:asciiTheme="minorHAnsi" w:hAnsiTheme="minorHAnsi" w:cstheme="minorHAnsi"/>
                <w:sz w:val="16"/>
                <w:szCs w:val="16"/>
              </w:rPr>
            </w:pPr>
          </w:p>
        </w:tc>
        <w:tc>
          <w:tcPr>
            <w:tcW w:w="119" w:type="pct"/>
            <w:tcBorders>
              <w:top w:val="nil"/>
              <w:left w:val="nil"/>
              <w:bottom w:val="nil"/>
              <w:right w:val="nil"/>
            </w:tcBorders>
            <w:shd w:val="clear" w:color="auto" w:fill="auto"/>
            <w:noWrap/>
            <w:vAlign w:val="center"/>
            <w:hideMark/>
          </w:tcPr>
          <w:p w14:paraId="26F58B1B" w14:textId="77777777" w:rsidR="00F46E79" w:rsidRPr="00F376DC" w:rsidRDefault="00F46E79" w:rsidP="00F46E79">
            <w:pPr>
              <w:spacing w:after="120"/>
              <w:jc w:val="right"/>
              <w:rPr>
                <w:rFonts w:asciiTheme="minorHAnsi" w:hAnsiTheme="minorHAnsi" w:cstheme="minorHAnsi"/>
                <w:sz w:val="16"/>
                <w:szCs w:val="16"/>
              </w:rPr>
            </w:pPr>
          </w:p>
        </w:tc>
        <w:tc>
          <w:tcPr>
            <w:tcW w:w="119" w:type="pct"/>
            <w:tcBorders>
              <w:top w:val="nil"/>
              <w:left w:val="nil"/>
              <w:bottom w:val="nil"/>
              <w:right w:val="nil"/>
            </w:tcBorders>
            <w:shd w:val="clear" w:color="auto" w:fill="auto"/>
            <w:vAlign w:val="center"/>
            <w:hideMark/>
          </w:tcPr>
          <w:p w14:paraId="34E64A59" w14:textId="77777777" w:rsidR="00F46E79" w:rsidRPr="00F376DC" w:rsidRDefault="00F46E79" w:rsidP="00F46E79">
            <w:pPr>
              <w:spacing w:after="120"/>
              <w:jc w:val="right"/>
              <w:rPr>
                <w:rFonts w:asciiTheme="minorHAnsi" w:hAnsiTheme="minorHAnsi" w:cstheme="minorHAnsi"/>
                <w:sz w:val="16"/>
                <w:szCs w:val="16"/>
              </w:rPr>
            </w:pPr>
          </w:p>
        </w:tc>
        <w:tc>
          <w:tcPr>
            <w:tcW w:w="622" w:type="pct"/>
            <w:tcBorders>
              <w:top w:val="nil"/>
              <w:left w:val="nil"/>
              <w:bottom w:val="nil"/>
              <w:right w:val="nil"/>
            </w:tcBorders>
            <w:shd w:val="clear" w:color="auto" w:fill="auto"/>
            <w:vAlign w:val="center"/>
            <w:hideMark/>
          </w:tcPr>
          <w:p w14:paraId="01BF1360" w14:textId="0ECEA5C9" w:rsidR="00F46E79" w:rsidRPr="00F376DC" w:rsidRDefault="001F38E9" w:rsidP="00F46E79">
            <w:pPr>
              <w:spacing w:after="120"/>
              <w:jc w:val="right"/>
              <w:rPr>
                <w:rFonts w:asciiTheme="minorHAnsi" w:hAnsiTheme="minorHAnsi" w:cstheme="minorHAnsi"/>
                <w:color w:val="000000"/>
                <w:sz w:val="16"/>
                <w:szCs w:val="16"/>
              </w:rPr>
            </w:pPr>
            <w:r>
              <w:rPr>
                <w:rFonts w:asciiTheme="minorHAnsi" w:hAnsiTheme="minorHAnsi" w:cstheme="minorHAnsi"/>
                <w:color w:val="000000"/>
                <w:sz w:val="16"/>
                <w:szCs w:val="16"/>
              </w:rPr>
              <w:t>6</w:t>
            </w:r>
            <w:r w:rsidR="00937F34">
              <w:rPr>
                <w:rFonts w:asciiTheme="minorHAnsi" w:hAnsiTheme="minorHAnsi" w:cstheme="minorHAnsi"/>
                <w:color w:val="000000"/>
                <w:sz w:val="16"/>
                <w:szCs w:val="16"/>
              </w:rPr>
              <w:t>5.900</w:t>
            </w:r>
          </w:p>
        </w:tc>
        <w:tc>
          <w:tcPr>
            <w:tcW w:w="622" w:type="pct"/>
            <w:tcBorders>
              <w:top w:val="nil"/>
              <w:left w:val="nil"/>
              <w:bottom w:val="nil"/>
              <w:right w:val="nil"/>
            </w:tcBorders>
            <w:shd w:val="clear" w:color="auto" w:fill="auto"/>
            <w:vAlign w:val="center"/>
            <w:hideMark/>
          </w:tcPr>
          <w:p w14:paraId="1A56F197" w14:textId="6689FF94" w:rsidR="00F46E79" w:rsidRPr="00F376DC" w:rsidRDefault="00F46E79" w:rsidP="00F46E79">
            <w:pPr>
              <w:spacing w:after="120"/>
              <w:jc w:val="right"/>
              <w:rPr>
                <w:rFonts w:asciiTheme="minorHAnsi" w:hAnsiTheme="minorHAnsi" w:cstheme="minorHAnsi"/>
                <w:color w:val="000000"/>
                <w:sz w:val="16"/>
                <w:szCs w:val="16"/>
              </w:rPr>
            </w:pPr>
            <w:r>
              <w:rPr>
                <w:rFonts w:asciiTheme="minorHAnsi" w:hAnsiTheme="minorHAnsi" w:cstheme="minorHAnsi"/>
                <w:color w:val="000000"/>
                <w:sz w:val="16"/>
                <w:szCs w:val="16"/>
              </w:rPr>
              <w:t>38.802</w:t>
            </w:r>
          </w:p>
        </w:tc>
      </w:tr>
      <w:tr w:rsidR="00F46E79" w:rsidRPr="00F376DC" w14:paraId="712AE7E3" w14:textId="77777777" w:rsidTr="00987B82">
        <w:trPr>
          <w:trHeight w:hRule="exact" w:val="227"/>
        </w:trPr>
        <w:tc>
          <w:tcPr>
            <w:tcW w:w="690" w:type="pct"/>
            <w:tcBorders>
              <w:top w:val="nil"/>
              <w:left w:val="nil"/>
              <w:bottom w:val="single" w:sz="8" w:space="0" w:color="auto"/>
              <w:right w:val="nil"/>
            </w:tcBorders>
            <w:shd w:val="clear" w:color="000000" w:fill="FFFFFF"/>
            <w:noWrap/>
            <w:vAlign w:val="center"/>
            <w:hideMark/>
          </w:tcPr>
          <w:p w14:paraId="644D967F" w14:textId="77777777" w:rsidR="00F46E79" w:rsidRPr="00F376DC" w:rsidRDefault="00F46E79" w:rsidP="00F46E79">
            <w:pPr>
              <w:spacing w:after="120"/>
              <w:rPr>
                <w:rFonts w:asciiTheme="minorHAnsi" w:hAnsiTheme="minorHAnsi" w:cstheme="minorHAnsi"/>
                <w:b/>
                <w:bCs/>
                <w:color w:val="000000"/>
                <w:sz w:val="16"/>
                <w:szCs w:val="16"/>
              </w:rPr>
            </w:pPr>
            <w:r w:rsidRPr="00F376DC">
              <w:rPr>
                <w:rFonts w:asciiTheme="minorHAnsi" w:hAnsiTheme="minorHAnsi" w:cstheme="minorHAnsi"/>
                <w:b/>
                <w:bCs/>
                <w:sz w:val="16"/>
                <w:szCs w:val="16"/>
              </w:rPr>
              <w:t xml:space="preserve">          TOTAL </w:t>
            </w:r>
          </w:p>
        </w:tc>
        <w:tc>
          <w:tcPr>
            <w:tcW w:w="2590" w:type="pct"/>
            <w:tcBorders>
              <w:top w:val="nil"/>
              <w:left w:val="nil"/>
              <w:bottom w:val="single" w:sz="8" w:space="0" w:color="auto"/>
              <w:right w:val="nil"/>
            </w:tcBorders>
            <w:shd w:val="clear" w:color="000000" w:fill="FFFFFF"/>
            <w:noWrap/>
            <w:vAlign w:val="bottom"/>
            <w:hideMark/>
          </w:tcPr>
          <w:p w14:paraId="0F93764F" w14:textId="77777777" w:rsidR="00F46E79" w:rsidRPr="00F376DC" w:rsidRDefault="00F46E79" w:rsidP="00F46E79">
            <w:pPr>
              <w:spacing w:after="120"/>
              <w:rPr>
                <w:rFonts w:asciiTheme="minorHAnsi" w:hAnsiTheme="minorHAnsi" w:cstheme="minorHAnsi"/>
                <w:color w:val="000000"/>
                <w:sz w:val="16"/>
                <w:szCs w:val="16"/>
              </w:rPr>
            </w:pPr>
            <w:r w:rsidRPr="00F376DC">
              <w:rPr>
                <w:rFonts w:asciiTheme="minorHAnsi" w:hAnsiTheme="minorHAnsi" w:cstheme="minorHAnsi"/>
                <w:color w:val="000000"/>
                <w:sz w:val="16"/>
                <w:szCs w:val="16"/>
              </w:rPr>
              <w:t> </w:t>
            </w:r>
          </w:p>
        </w:tc>
        <w:tc>
          <w:tcPr>
            <w:tcW w:w="119" w:type="pct"/>
            <w:tcBorders>
              <w:top w:val="nil"/>
              <w:left w:val="nil"/>
              <w:bottom w:val="single" w:sz="8" w:space="0" w:color="auto"/>
              <w:right w:val="nil"/>
            </w:tcBorders>
            <w:shd w:val="clear" w:color="000000" w:fill="FFFFFF"/>
            <w:vAlign w:val="center"/>
            <w:hideMark/>
          </w:tcPr>
          <w:p w14:paraId="272E64F4" w14:textId="77777777" w:rsidR="00F46E79" w:rsidRPr="00F376DC" w:rsidRDefault="00F46E79" w:rsidP="00F46E79">
            <w:pPr>
              <w:spacing w:after="120"/>
              <w:jc w:val="right"/>
              <w:rPr>
                <w:rFonts w:asciiTheme="minorHAnsi" w:hAnsiTheme="minorHAnsi" w:cstheme="minorHAnsi"/>
                <w:b/>
                <w:bCs/>
                <w:color w:val="000000"/>
                <w:sz w:val="16"/>
                <w:szCs w:val="16"/>
              </w:rPr>
            </w:pPr>
            <w:r w:rsidRPr="00F376DC">
              <w:rPr>
                <w:rFonts w:asciiTheme="minorHAnsi" w:hAnsiTheme="minorHAnsi" w:cstheme="minorHAnsi"/>
                <w:b/>
                <w:bCs/>
                <w:color w:val="000000"/>
                <w:sz w:val="16"/>
                <w:szCs w:val="16"/>
              </w:rPr>
              <w:t> </w:t>
            </w:r>
          </w:p>
        </w:tc>
        <w:tc>
          <w:tcPr>
            <w:tcW w:w="119" w:type="pct"/>
            <w:tcBorders>
              <w:top w:val="nil"/>
              <w:left w:val="nil"/>
              <w:bottom w:val="single" w:sz="8" w:space="0" w:color="auto"/>
              <w:right w:val="nil"/>
            </w:tcBorders>
            <w:shd w:val="clear" w:color="000000" w:fill="FFFFFF"/>
            <w:vAlign w:val="center"/>
            <w:hideMark/>
          </w:tcPr>
          <w:p w14:paraId="39E3BD95" w14:textId="77777777" w:rsidR="00F46E79" w:rsidRPr="00F376DC" w:rsidRDefault="00F46E79" w:rsidP="00F46E79">
            <w:pPr>
              <w:spacing w:after="120"/>
              <w:jc w:val="right"/>
              <w:rPr>
                <w:rFonts w:asciiTheme="minorHAnsi" w:hAnsiTheme="minorHAnsi" w:cstheme="minorHAnsi"/>
                <w:b/>
                <w:bCs/>
                <w:color w:val="000000"/>
                <w:sz w:val="16"/>
                <w:szCs w:val="16"/>
              </w:rPr>
            </w:pPr>
            <w:r w:rsidRPr="00F376DC">
              <w:rPr>
                <w:rFonts w:asciiTheme="minorHAnsi" w:hAnsiTheme="minorHAnsi" w:cstheme="minorHAnsi"/>
                <w:b/>
                <w:bCs/>
                <w:color w:val="000000"/>
                <w:sz w:val="16"/>
                <w:szCs w:val="16"/>
              </w:rPr>
              <w:t> </w:t>
            </w:r>
          </w:p>
        </w:tc>
        <w:tc>
          <w:tcPr>
            <w:tcW w:w="119" w:type="pct"/>
            <w:tcBorders>
              <w:top w:val="nil"/>
              <w:left w:val="nil"/>
              <w:bottom w:val="single" w:sz="8" w:space="0" w:color="auto"/>
              <w:right w:val="nil"/>
            </w:tcBorders>
            <w:shd w:val="clear" w:color="000000" w:fill="FFFFFF"/>
            <w:noWrap/>
            <w:vAlign w:val="center"/>
            <w:hideMark/>
          </w:tcPr>
          <w:p w14:paraId="70ECC7E8" w14:textId="77777777" w:rsidR="00F46E79" w:rsidRPr="00F376DC" w:rsidRDefault="00F46E79" w:rsidP="00F46E79">
            <w:pPr>
              <w:spacing w:after="120"/>
              <w:jc w:val="right"/>
              <w:rPr>
                <w:rFonts w:asciiTheme="minorHAnsi" w:hAnsiTheme="minorHAnsi" w:cstheme="minorHAnsi"/>
                <w:b/>
                <w:bCs/>
                <w:color w:val="000000"/>
                <w:sz w:val="16"/>
                <w:szCs w:val="16"/>
              </w:rPr>
            </w:pPr>
            <w:r w:rsidRPr="00F376DC">
              <w:rPr>
                <w:rFonts w:asciiTheme="minorHAnsi" w:hAnsiTheme="minorHAnsi" w:cstheme="minorHAnsi"/>
                <w:b/>
                <w:bCs/>
                <w:color w:val="000000"/>
                <w:sz w:val="16"/>
                <w:szCs w:val="16"/>
              </w:rPr>
              <w:t> </w:t>
            </w:r>
          </w:p>
        </w:tc>
        <w:tc>
          <w:tcPr>
            <w:tcW w:w="119" w:type="pct"/>
            <w:tcBorders>
              <w:top w:val="nil"/>
              <w:left w:val="nil"/>
              <w:bottom w:val="single" w:sz="8" w:space="0" w:color="auto"/>
              <w:right w:val="nil"/>
            </w:tcBorders>
            <w:shd w:val="clear" w:color="000000" w:fill="FFFFFF"/>
            <w:vAlign w:val="center"/>
            <w:hideMark/>
          </w:tcPr>
          <w:p w14:paraId="46BDF3C3" w14:textId="77777777" w:rsidR="00F46E79" w:rsidRPr="00F376DC" w:rsidRDefault="00F46E79" w:rsidP="00F46E79">
            <w:pPr>
              <w:spacing w:after="120"/>
              <w:jc w:val="right"/>
              <w:rPr>
                <w:rFonts w:asciiTheme="minorHAnsi" w:hAnsiTheme="minorHAnsi" w:cstheme="minorHAnsi"/>
                <w:b/>
                <w:bCs/>
                <w:color w:val="000000"/>
                <w:sz w:val="16"/>
                <w:szCs w:val="16"/>
              </w:rPr>
            </w:pPr>
            <w:r w:rsidRPr="00F376DC">
              <w:rPr>
                <w:rFonts w:asciiTheme="minorHAnsi" w:hAnsiTheme="minorHAnsi" w:cstheme="minorHAnsi"/>
                <w:b/>
                <w:bCs/>
                <w:color w:val="000000"/>
                <w:sz w:val="16"/>
                <w:szCs w:val="16"/>
              </w:rPr>
              <w:t> </w:t>
            </w:r>
          </w:p>
        </w:tc>
        <w:tc>
          <w:tcPr>
            <w:tcW w:w="622" w:type="pct"/>
            <w:tcBorders>
              <w:top w:val="nil"/>
              <w:left w:val="nil"/>
              <w:bottom w:val="single" w:sz="8" w:space="0" w:color="auto"/>
              <w:right w:val="nil"/>
            </w:tcBorders>
            <w:shd w:val="clear" w:color="000000" w:fill="FFFFFF"/>
            <w:vAlign w:val="center"/>
            <w:hideMark/>
          </w:tcPr>
          <w:p w14:paraId="003D49A6" w14:textId="1F912147" w:rsidR="00F46E79" w:rsidRPr="00F376DC" w:rsidRDefault="00937F34" w:rsidP="00F46E79">
            <w:pPr>
              <w:spacing w:after="120"/>
              <w:jc w:val="right"/>
              <w:rPr>
                <w:rFonts w:asciiTheme="minorHAnsi" w:hAnsiTheme="minorHAnsi" w:cstheme="minorHAnsi"/>
                <w:b/>
                <w:bCs/>
                <w:color w:val="000000"/>
                <w:sz w:val="16"/>
                <w:szCs w:val="16"/>
              </w:rPr>
            </w:pPr>
            <w:r>
              <w:rPr>
                <w:rFonts w:asciiTheme="minorHAnsi" w:hAnsiTheme="minorHAnsi" w:cstheme="minorHAnsi"/>
                <w:b/>
                <w:bCs/>
                <w:color w:val="000000"/>
                <w:sz w:val="16"/>
                <w:szCs w:val="16"/>
              </w:rPr>
              <w:t>63.983.402</w:t>
            </w:r>
          </w:p>
        </w:tc>
        <w:tc>
          <w:tcPr>
            <w:tcW w:w="622" w:type="pct"/>
            <w:tcBorders>
              <w:top w:val="nil"/>
              <w:left w:val="nil"/>
              <w:bottom w:val="single" w:sz="8" w:space="0" w:color="auto"/>
              <w:right w:val="nil"/>
            </w:tcBorders>
            <w:shd w:val="clear" w:color="000000" w:fill="FFFFFF"/>
            <w:vAlign w:val="center"/>
            <w:hideMark/>
          </w:tcPr>
          <w:p w14:paraId="4A3F158F" w14:textId="4FBD1FE2" w:rsidR="00F46E79" w:rsidRPr="00F376DC" w:rsidRDefault="00F46E79" w:rsidP="00F46E79">
            <w:pPr>
              <w:spacing w:after="120"/>
              <w:jc w:val="right"/>
              <w:rPr>
                <w:rFonts w:asciiTheme="minorHAnsi" w:hAnsiTheme="minorHAnsi" w:cstheme="minorHAnsi"/>
                <w:b/>
                <w:bCs/>
                <w:color w:val="000000"/>
                <w:sz w:val="16"/>
                <w:szCs w:val="16"/>
              </w:rPr>
            </w:pPr>
            <w:r>
              <w:rPr>
                <w:rFonts w:asciiTheme="minorHAnsi" w:hAnsiTheme="minorHAnsi" w:cstheme="minorHAnsi"/>
                <w:b/>
                <w:bCs/>
                <w:sz w:val="16"/>
                <w:szCs w:val="16"/>
              </w:rPr>
              <w:t>56.732.574</w:t>
            </w:r>
          </w:p>
        </w:tc>
      </w:tr>
    </w:tbl>
    <w:p w14:paraId="15C5A957" w14:textId="1313CC10" w:rsidR="00865EDF" w:rsidRPr="002E2B5B" w:rsidRDefault="00D22F5E" w:rsidP="00995A6A">
      <w:pPr>
        <w:spacing w:before="360" w:after="120"/>
        <w:rPr>
          <w:rFonts w:ascii="Calibri" w:hAnsi="Calibri" w:cs="Calibri"/>
          <w:b/>
          <w:sz w:val="22"/>
          <w:szCs w:val="22"/>
        </w:rPr>
      </w:pPr>
      <w:r w:rsidRPr="002E2B5B">
        <w:rPr>
          <w:rFonts w:ascii="Calibri" w:hAnsi="Calibri" w:cs="Calibri"/>
          <w:b/>
          <w:sz w:val="22"/>
          <w:szCs w:val="22"/>
        </w:rPr>
        <w:t xml:space="preserve">NOTA </w:t>
      </w:r>
      <w:r w:rsidR="00E32899">
        <w:rPr>
          <w:rFonts w:ascii="Calibri" w:hAnsi="Calibri" w:cs="Calibri"/>
          <w:b/>
          <w:sz w:val="22"/>
          <w:szCs w:val="22"/>
        </w:rPr>
        <w:t>4</w:t>
      </w:r>
      <w:r w:rsidR="000A7290" w:rsidRPr="002E2B5B">
        <w:rPr>
          <w:rFonts w:ascii="Calibri" w:hAnsi="Calibri" w:cs="Calibri"/>
          <w:b/>
          <w:sz w:val="22"/>
          <w:szCs w:val="22"/>
        </w:rPr>
        <w:t xml:space="preserve"> – </w:t>
      </w:r>
      <w:r w:rsidR="00865EDF" w:rsidRPr="002E2B5B">
        <w:rPr>
          <w:rFonts w:ascii="Calibri" w:hAnsi="Calibri" w:cs="Calibri"/>
          <w:b/>
          <w:sz w:val="22"/>
          <w:szCs w:val="22"/>
        </w:rPr>
        <w:t>DIREITO REALIZÁVEIS A CURTO PRAZO</w:t>
      </w:r>
    </w:p>
    <w:p w14:paraId="5AFE3A6E" w14:textId="77777777" w:rsidR="009C50C2" w:rsidRPr="002E2B5B" w:rsidRDefault="009147A6" w:rsidP="00937ED9">
      <w:pPr>
        <w:numPr>
          <w:ilvl w:val="0"/>
          <w:numId w:val="10"/>
        </w:numPr>
        <w:spacing w:after="120"/>
        <w:ind w:left="284" w:hanging="284"/>
        <w:rPr>
          <w:rFonts w:ascii="Calibri" w:hAnsi="Calibri" w:cs="Calibri"/>
          <w:b/>
          <w:sz w:val="22"/>
          <w:szCs w:val="22"/>
        </w:rPr>
      </w:pPr>
      <w:r w:rsidRPr="002E2B5B">
        <w:rPr>
          <w:rFonts w:ascii="Calibri" w:hAnsi="Calibri" w:cs="Calibri"/>
          <w:b/>
          <w:sz w:val="22"/>
          <w:szCs w:val="22"/>
        </w:rPr>
        <w:t>Adiantamentos Concedidos</w:t>
      </w:r>
    </w:p>
    <w:tbl>
      <w:tblPr>
        <w:tblW w:w="5001" w:type="pct"/>
        <w:tblCellMar>
          <w:left w:w="70" w:type="dxa"/>
          <w:right w:w="70" w:type="dxa"/>
        </w:tblCellMar>
        <w:tblLook w:val="04A0" w:firstRow="1" w:lastRow="0" w:firstColumn="1" w:lastColumn="0" w:noHBand="0" w:noVBand="1"/>
      </w:tblPr>
      <w:tblGrid>
        <w:gridCol w:w="3972"/>
        <w:gridCol w:w="888"/>
        <w:gridCol w:w="888"/>
        <w:gridCol w:w="678"/>
        <w:gridCol w:w="1059"/>
        <w:gridCol w:w="515"/>
        <w:gridCol w:w="1059"/>
        <w:gridCol w:w="459"/>
        <w:gridCol w:w="951"/>
      </w:tblGrid>
      <w:tr w:rsidR="00F57038" w:rsidRPr="002E2B5B" w14:paraId="167F7B80" w14:textId="77777777" w:rsidTr="00B23D01">
        <w:trPr>
          <w:trHeight w:hRule="exact" w:val="227"/>
        </w:trPr>
        <w:tc>
          <w:tcPr>
            <w:tcW w:w="1897" w:type="pct"/>
            <w:tcBorders>
              <w:top w:val="nil"/>
              <w:left w:val="nil"/>
              <w:bottom w:val="single" w:sz="8" w:space="0" w:color="auto"/>
              <w:right w:val="nil"/>
            </w:tcBorders>
            <w:shd w:val="clear" w:color="auto" w:fill="auto"/>
            <w:noWrap/>
            <w:vAlign w:val="center"/>
            <w:hideMark/>
          </w:tcPr>
          <w:p w14:paraId="66148745" w14:textId="77777777" w:rsidR="00F57038" w:rsidRPr="002E2B5B" w:rsidRDefault="00F57038" w:rsidP="00937ED9">
            <w:pPr>
              <w:spacing w:after="120"/>
              <w:rPr>
                <w:rFonts w:ascii="Calibri" w:hAnsi="Calibri" w:cs="Calibri"/>
                <w:b/>
                <w:bCs/>
                <w:color w:val="000000"/>
                <w:sz w:val="16"/>
                <w:szCs w:val="16"/>
              </w:rPr>
            </w:pPr>
            <w:r w:rsidRPr="002E2B5B">
              <w:rPr>
                <w:rFonts w:ascii="Calibri" w:hAnsi="Calibri" w:cs="Calibri"/>
                <w:b/>
                <w:bCs/>
                <w:color w:val="000000"/>
                <w:sz w:val="16"/>
                <w:szCs w:val="16"/>
              </w:rPr>
              <w:t>ADIANTAMENTOS (RFFSA – GEIPOT – VALEC)</w:t>
            </w:r>
          </w:p>
        </w:tc>
        <w:tc>
          <w:tcPr>
            <w:tcW w:w="424" w:type="pct"/>
            <w:tcBorders>
              <w:top w:val="nil"/>
              <w:left w:val="nil"/>
              <w:bottom w:val="single" w:sz="8" w:space="0" w:color="auto"/>
              <w:right w:val="nil"/>
            </w:tcBorders>
            <w:shd w:val="clear" w:color="auto" w:fill="auto"/>
            <w:noWrap/>
            <w:vAlign w:val="bottom"/>
            <w:hideMark/>
          </w:tcPr>
          <w:p w14:paraId="3C963ED4" w14:textId="77777777" w:rsidR="00F57038" w:rsidRPr="002E2B5B" w:rsidRDefault="00F57038" w:rsidP="00937ED9">
            <w:pPr>
              <w:spacing w:after="120"/>
              <w:rPr>
                <w:rFonts w:ascii="Calibri" w:hAnsi="Calibri" w:cs="Calibri"/>
                <w:color w:val="000000"/>
                <w:sz w:val="16"/>
                <w:szCs w:val="16"/>
              </w:rPr>
            </w:pPr>
            <w:r w:rsidRPr="002E2B5B">
              <w:rPr>
                <w:rFonts w:ascii="Calibri" w:hAnsi="Calibri" w:cs="Calibri"/>
                <w:color w:val="000000"/>
                <w:sz w:val="16"/>
                <w:szCs w:val="16"/>
              </w:rPr>
              <w:t> </w:t>
            </w:r>
          </w:p>
        </w:tc>
        <w:tc>
          <w:tcPr>
            <w:tcW w:w="424" w:type="pct"/>
            <w:tcBorders>
              <w:top w:val="nil"/>
              <w:left w:val="nil"/>
              <w:bottom w:val="single" w:sz="8" w:space="0" w:color="auto"/>
              <w:right w:val="nil"/>
            </w:tcBorders>
            <w:shd w:val="clear" w:color="auto" w:fill="auto"/>
            <w:noWrap/>
            <w:vAlign w:val="bottom"/>
            <w:hideMark/>
          </w:tcPr>
          <w:p w14:paraId="6AF51FE8" w14:textId="77777777" w:rsidR="00F57038" w:rsidRPr="002E2B5B" w:rsidRDefault="00F57038" w:rsidP="00937ED9">
            <w:pPr>
              <w:spacing w:after="120"/>
              <w:rPr>
                <w:rFonts w:ascii="Calibri" w:hAnsi="Calibri" w:cs="Calibri"/>
                <w:color w:val="000000"/>
                <w:sz w:val="16"/>
                <w:szCs w:val="16"/>
              </w:rPr>
            </w:pPr>
            <w:r w:rsidRPr="002E2B5B">
              <w:rPr>
                <w:rFonts w:ascii="Calibri" w:hAnsi="Calibri" w:cs="Calibri"/>
                <w:color w:val="000000"/>
                <w:sz w:val="16"/>
                <w:szCs w:val="16"/>
              </w:rPr>
              <w:t> </w:t>
            </w:r>
          </w:p>
        </w:tc>
        <w:tc>
          <w:tcPr>
            <w:tcW w:w="324" w:type="pct"/>
            <w:tcBorders>
              <w:top w:val="nil"/>
              <w:left w:val="nil"/>
              <w:bottom w:val="single" w:sz="8" w:space="0" w:color="auto"/>
              <w:right w:val="nil"/>
            </w:tcBorders>
            <w:shd w:val="clear" w:color="auto" w:fill="auto"/>
            <w:vAlign w:val="center"/>
            <w:hideMark/>
          </w:tcPr>
          <w:p w14:paraId="58D5FFC4" w14:textId="77777777" w:rsidR="00F57038" w:rsidRPr="002E2B5B" w:rsidRDefault="00F57038" w:rsidP="00937ED9">
            <w:pPr>
              <w:spacing w:after="120"/>
              <w:jc w:val="right"/>
              <w:rPr>
                <w:rFonts w:ascii="Calibri" w:hAnsi="Calibri" w:cs="Calibri"/>
                <w:b/>
                <w:bCs/>
                <w:color w:val="000000"/>
                <w:sz w:val="16"/>
                <w:szCs w:val="16"/>
              </w:rPr>
            </w:pPr>
            <w:r w:rsidRPr="002E2B5B">
              <w:rPr>
                <w:rFonts w:ascii="Calibri" w:hAnsi="Calibri" w:cs="Calibri"/>
                <w:b/>
                <w:bCs/>
                <w:color w:val="000000"/>
                <w:sz w:val="16"/>
                <w:szCs w:val="16"/>
              </w:rPr>
              <w:t> </w:t>
            </w:r>
          </w:p>
        </w:tc>
        <w:tc>
          <w:tcPr>
            <w:tcW w:w="506" w:type="pct"/>
            <w:tcBorders>
              <w:top w:val="nil"/>
              <w:left w:val="nil"/>
              <w:bottom w:val="single" w:sz="8" w:space="0" w:color="auto"/>
              <w:right w:val="nil"/>
            </w:tcBorders>
            <w:shd w:val="clear" w:color="auto" w:fill="auto"/>
            <w:noWrap/>
            <w:vAlign w:val="center"/>
          </w:tcPr>
          <w:p w14:paraId="24C1DF0B" w14:textId="77777777" w:rsidR="00F57038" w:rsidRPr="002E2B5B" w:rsidRDefault="00F57038" w:rsidP="00937ED9">
            <w:pPr>
              <w:spacing w:after="120"/>
              <w:jc w:val="right"/>
              <w:rPr>
                <w:rFonts w:ascii="Calibri" w:hAnsi="Calibri" w:cs="Calibri"/>
                <w:b/>
                <w:bCs/>
                <w:color w:val="000000"/>
                <w:sz w:val="16"/>
                <w:szCs w:val="16"/>
              </w:rPr>
            </w:pPr>
          </w:p>
        </w:tc>
        <w:tc>
          <w:tcPr>
            <w:tcW w:w="246" w:type="pct"/>
            <w:tcBorders>
              <w:top w:val="nil"/>
              <w:left w:val="nil"/>
              <w:bottom w:val="single" w:sz="8" w:space="0" w:color="auto"/>
              <w:right w:val="nil"/>
            </w:tcBorders>
            <w:shd w:val="clear" w:color="auto" w:fill="auto"/>
            <w:noWrap/>
            <w:vAlign w:val="bottom"/>
            <w:hideMark/>
          </w:tcPr>
          <w:p w14:paraId="3C965E7F" w14:textId="77777777" w:rsidR="00F57038" w:rsidRPr="002E2B5B" w:rsidRDefault="00F57038" w:rsidP="00937ED9">
            <w:pPr>
              <w:spacing w:after="120"/>
              <w:rPr>
                <w:rFonts w:ascii="Calibri" w:hAnsi="Calibri" w:cs="Calibri"/>
                <w:color w:val="000000"/>
                <w:sz w:val="16"/>
                <w:szCs w:val="16"/>
              </w:rPr>
            </w:pPr>
            <w:r w:rsidRPr="002E2B5B">
              <w:rPr>
                <w:rFonts w:ascii="Calibri" w:hAnsi="Calibri" w:cs="Calibri"/>
                <w:color w:val="000000"/>
                <w:sz w:val="16"/>
                <w:szCs w:val="16"/>
              </w:rPr>
              <w:t> </w:t>
            </w:r>
          </w:p>
        </w:tc>
        <w:tc>
          <w:tcPr>
            <w:tcW w:w="506" w:type="pct"/>
            <w:tcBorders>
              <w:top w:val="nil"/>
              <w:left w:val="nil"/>
              <w:bottom w:val="single" w:sz="8" w:space="0" w:color="auto"/>
              <w:right w:val="nil"/>
            </w:tcBorders>
            <w:shd w:val="clear" w:color="auto" w:fill="auto"/>
            <w:noWrap/>
            <w:vAlign w:val="center"/>
            <w:hideMark/>
          </w:tcPr>
          <w:p w14:paraId="6FB3FC22" w14:textId="32475E38" w:rsidR="00F57038" w:rsidRPr="002E2B5B" w:rsidRDefault="007D3C92" w:rsidP="00937ED9">
            <w:pPr>
              <w:spacing w:after="120"/>
              <w:jc w:val="right"/>
              <w:rPr>
                <w:rFonts w:ascii="Calibri" w:hAnsi="Calibri" w:cs="Calibri"/>
                <w:b/>
                <w:bCs/>
                <w:color w:val="000000"/>
                <w:sz w:val="16"/>
                <w:szCs w:val="16"/>
              </w:rPr>
            </w:pPr>
            <w:r>
              <w:rPr>
                <w:rFonts w:ascii="Calibri" w:hAnsi="Calibri" w:cs="Calibri"/>
                <w:b/>
                <w:bCs/>
                <w:color w:val="000000"/>
                <w:sz w:val="16"/>
                <w:szCs w:val="16"/>
              </w:rPr>
              <w:t>3</w:t>
            </w:r>
            <w:r w:rsidR="001F73F1">
              <w:rPr>
                <w:rFonts w:ascii="Calibri" w:hAnsi="Calibri" w:cs="Calibri"/>
                <w:b/>
                <w:bCs/>
                <w:color w:val="000000"/>
                <w:sz w:val="16"/>
                <w:szCs w:val="16"/>
              </w:rPr>
              <w:t>0</w:t>
            </w:r>
            <w:r>
              <w:rPr>
                <w:rFonts w:ascii="Calibri" w:hAnsi="Calibri" w:cs="Calibri"/>
                <w:b/>
                <w:bCs/>
                <w:color w:val="000000"/>
                <w:sz w:val="16"/>
                <w:szCs w:val="16"/>
              </w:rPr>
              <w:t>/</w:t>
            </w:r>
            <w:r w:rsidR="00346420">
              <w:rPr>
                <w:rFonts w:ascii="Calibri" w:hAnsi="Calibri" w:cs="Calibri"/>
                <w:b/>
                <w:bCs/>
                <w:color w:val="000000"/>
                <w:sz w:val="16"/>
                <w:szCs w:val="16"/>
              </w:rPr>
              <w:t>0</w:t>
            </w:r>
            <w:r w:rsidR="001F73F1">
              <w:rPr>
                <w:rFonts w:ascii="Calibri" w:hAnsi="Calibri" w:cs="Calibri"/>
                <w:b/>
                <w:bCs/>
                <w:color w:val="000000"/>
                <w:sz w:val="16"/>
                <w:szCs w:val="16"/>
              </w:rPr>
              <w:t>6</w:t>
            </w:r>
            <w:r>
              <w:rPr>
                <w:rFonts w:ascii="Calibri" w:hAnsi="Calibri" w:cs="Calibri"/>
                <w:b/>
                <w:bCs/>
                <w:color w:val="000000"/>
                <w:sz w:val="16"/>
                <w:szCs w:val="16"/>
              </w:rPr>
              <w:t>/202</w:t>
            </w:r>
            <w:r w:rsidR="00346420">
              <w:rPr>
                <w:rFonts w:ascii="Calibri" w:hAnsi="Calibri" w:cs="Calibri"/>
                <w:b/>
                <w:bCs/>
                <w:color w:val="000000"/>
                <w:sz w:val="16"/>
                <w:szCs w:val="16"/>
              </w:rPr>
              <w:t>2</w:t>
            </w:r>
          </w:p>
        </w:tc>
        <w:tc>
          <w:tcPr>
            <w:tcW w:w="219" w:type="pct"/>
            <w:tcBorders>
              <w:top w:val="nil"/>
              <w:left w:val="nil"/>
              <w:bottom w:val="single" w:sz="8" w:space="0" w:color="auto"/>
              <w:right w:val="nil"/>
            </w:tcBorders>
            <w:shd w:val="clear" w:color="auto" w:fill="auto"/>
            <w:noWrap/>
            <w:vAlign w:val="bottom"/>
            <w:hideMark/>
          </w:tcPr>
          <w:p w14:paraId="66DCA7EC" w14:textId="77777777" w:rsidR="00F57038" w:rsidRPr="002E2B5B" w:rsidRDefault="00F57038" w:rsidP="00937ED9">
            <w:pPr>
              <w:spacing w:after="120"/>
              <w:rPr>
                <w:rFonts w:ascii="Calibri" w:hAnsi="Calibri" w:cs="Calibri"/>
                <w:color w:val="000000"/>
                <w:sz w:val="16"/>
                <w:szCs w:val="16"/>
              </w:rPr>
            </w:pPr>
            <w:r w:rsidRPr="002E2B5B">
              <w:rPr>
                <w:rFonts w:ascii="Calibri" w:hAnsi="Calibri" w:cs="Calibri"/>
                <w:color w:val="000000"/>
                <w:sz w:val="16"/>
                <w:szCs w:val="16"/>
              </w:rPr>
              <w:t> </w:t>
            </w:r>
          </w:p>
        </w:tc>
        <w:tc>
          <w:tcPr>
            <w:tcW w:w="454" w:type="pct"/>
            <w:tcBorders>
              <w:top w:val="nil"/>
              <w:left w:val="nil"/>
              <w:bottom w:val="single" w:sz="8" w:space="0" w:color="auto"/>
              <w:right w:val="nil"/>
            </w:tcBorders>
            <w:vAlign w:val="center"/>
          </w:tcPr>
          <w:p w14:paraId="0D682B9E" w14:textId="7800BF93" w:rsidR="00F57038" w:rsidRPr="002E2B5B" w:rsidRDefault="00F57038" w:rsidP="00937ED9">
            <w:pPr>
              <w:spacing w:after="120"/>
              <w:jc w:val="right"/>
              <w:rPr>
                <w:rFonts w:ascii="Calibri" w:hAnsi="Calibri" w:cs="Calibri"/>
                <w:b/>
                <w:bCs/>
                <w:color w:val="000000"/>
                <w:sz w:val="16"/>
                <w:szCs w:val="16"/>
              </w:rPr>
            </w:pPr>
            <w:r w:rsidRPr="002E2B5B">
              <w:rPr>
                <w:rFonts w:ascii="Calibri" w:hAnsi="Calibri" w:cs="Calibri"/>
                <w:b/>
                <w:bCs/>
                <w:color w:val="000000"/>
                <w:sz w:val="16"/>
                <w:szCs w:val="16"/>
              </w:rPr>
              <w:t>31/12/202</w:t>
            </w:r>
            <w:r w:rsidR="00346420">
              <w:rPr>
                <w:rFonts w:ascii="Calibri" w:hAnsi="Calibri" w:cs="Calibri"/>
                <w:b/>
                <w:bCs/>
                <w:color w:val="000000"/>
                <w:sz w:val="16"/>
                <w:szCs w:val="16"/>
              </w:rPr>
              <w:t>1</w:t>
            </w:r>
          </w:p>
        </w:tc>
      </w:tr>
      <w:tr w:rsidR="00346420" w:rsidRPr="002E2B5B" w14:paraId="6944C2F5" w14:textId="77777777" w:rsidTr="00B23D01">
        <w:trPr>
          <w:trHeight w:hRule="exact" w:val="227"/>
        </w:trPr>
        <w:tc>
          <w:tcPr>
            <w:tcW w:w="1897" w:type="pct"/>
            <w:tcBorders>
              <w:top w:val="nil"/>
              <w:left w:val="nil"/>
              <w:bottom w:val="nil"/>
              <w:right w:val="nil"/>
            </w:tcBorders>
            <w:shd w:val="clear" w:color="auto" w:fill="auto"/>
            <w:noWrap/>
            <w:vAlign w:val="center"/>
            <w:hideMark/>
          </w:tcPr>
          <w:p w14:paraId="33B1A44F" w14:textId="77777777" w:rsidR="00346420" w:rsidRPr="002E2B5B" w:rsidRDefault="00346420" w:rsidP="00346420">
            <w:pPr>
              <w:spacing w:after="120"/>
              <w:rPr>
                <w:rFonts w:ascii="Calibri" w:hAnsi="Calibri" w:cs="Calibri"/>
                <w:color w:val="000000"/>
                <w:sz w:val="16"/>
                <w:szCs w:val="16"/>
              </w:rPr>
            </w:pPr>
            <w:r w:rsidRPr="002E2B5B">
              <w:rPr>
                <w:rFonts w:ascii="Calibri" w:hAnsi="Calibri" w:cs="Calibri"/>
                <w:color w:val="000000"/>
                <w:sz w:val="16"/>
                <w:szCs w:val="16"/>
              </w:rPr>
              <w:t>ADIANTAMENTO DE 13º SALÁRIO</w:t>
            </w:r>
          </w:p>
        </w:tc>
        <w:tc>
          <w:tcPr>
            <w:tcW w:w="424" w:type="pct"/>
            <w:vMerge w:val="restart"/>
            <w:tcBorders>
              <w:top w:val="nil"/>
              <w:left w:val="nil"/>
              <w:bottom w:val="single" w:sz="8" w:space="0" w:color="000000"/>
              <w:right w:val="nil"/>
            </w:tcBorders>
            <w:shd w:val="clear" w:color="auto" w:fill="auto"/>
            <w:noWrap/>
            <w:vAlign w:val="bottom"/>
            <w:hideMark/>
          </w:tcPr>
          <w:p w14:paraId="40F93720" w14:textId="77777777" w:rsidR="00346420" w:rsidRPr="002E2B5B" w:rsidRDefault="00346420" w:rsidP="00346420">
            <w:pPr>
              <w:spacing w:after="120"/>
              <w:rPr>
                <w:rFonts w:ascii="Calibri" w:hAnsi="Calibri" w:cs="Calibri"/>
                <w:color w:val="000000"/>
                <w:sz w:val="16"/>
                <w:szCs w:val="16"/>
              </w:rPr>
            </w:pPr>
            <w:r w:rsidRPr="002E2B5B">
              <w:rPr>
                <w:rFonts w:ascii="Calibri" w:hAnsi="Calibri" w:cs="Calibri"/>
                <w:color w:val="000000"/>
                <w:sz w:val="16"/>
                <w:szCs w:val="16"/>
              </w:rPr>
              <w:t> </w:t>
            </w:r>
          </w:p>
        </w:tc>
        <w:tc>
          <w:tcPr>
            <w:tcW w:w="424" w:type="pct"/>
            <w:vMerge w:val="restart"/>
            <w:tcBorders>
              <w:top w:val="nil"/>
              <w:left w:val="nil"/>
              <w:bottom w:val="single" w:sz="8" w:space="0" w:color="000000"/>
              <w:right w:val="nil"/>
            </w:tcBorders>
            <w:shd w:val="clear" w:color="auto" w:fill="auto"/>
            <w:noWrap/>
            <w:vAlign w:val="bottom"/>
            <w:hideMark/>
          </w:tcPr>
          <w:p w14:paraId="33C4AAF4" w14:textId="77777777" w:rsidR="00346420" w:rsidRPr="002E2B5B" w:rsidRDefault="00346420" w:rsidP="00346420">
            <w:pPr>
              <w:spacing w:after="120"/>
              <w:rPr>
                <w:rFonts w:ascii="Calibri" w:hAnsi="Calibri" w:cs="Calibri"/>
                <w:color w:val="000000"/>
                <w:sz w:val="16"/>
                <w:szCs w:val="16"/>
              </w:rPr>
            </w:pPr>
            <w:r w:rsidRPr="002E2B5B">
              <w:rPr>
                <w:rFonts w:ascii="Calibri" w:hAnsi="Calibri" w:cs="Calibri"/>
                <w:color w:val="000000"/>
                <w:sz w:val="16"/>
                <w:szCs w:val="16"/>
              </w:rPr>
              <w:t> </w:t>
            </w:r>
          </w:p>
        </w:tc>
        <w:tc>
          <w:tcPr>
            <w:tcW w:w="324" w:type="pct"/>
            <w:vMerge w:val="restart"/>
            <w:tcBorders>
              <w:top w:val="nil"/>
              <w:left w:val="nil"/>
              <w:bottom w:val="single" w:sz="8" w:space="0" w:color="000000"/>
              <w:right w:val="nil"/>
            </w:tcBorders>
            <w:shd w:val="clear" w:color="auto" w:fill="auto"/>
            <w:vAlign w:val="center"/>
            <w:hideMark/>
          </w:tcPr>
          <w:p w14:paraId="1ADF34CD" w14:textId="77777777" w:rsidR="00346420" w:rsidRPr="002E2B5B" w:rsidRDefault="00346420" w:rsidP="00346420">
            <w:pPr>
              <w:spacing w:after="120"/>
              <w:jc w:val="right"/>
              <w:rPr>
                <w:rFonts w:ascii="Calibri" w:hAnsi="Calibri" w:cs="Calibri"/>
                <w:color w:val="000000"/>
                <w:sz w:val="16"/>
                <w:szCs w:val="16"/>
              </w:rPr>
            </w:pPr>
            <w:r w:rsidRPr="002E2B5B">
              <w:rPr>
                <w:rFonts w:ascii="Calibri" w:hAnsi="Calibri" w:cs="Calibri"/>
                <w:color w:val="000000"/>
                <w:sz w:val="16"/>
                <w:szCs w:val="16"/>
              </w:rPr>
              <w:t> </w:t>
            </w:r>
          </w:p>
        </w:tc>
        <w:tc>
          <w:tcPr>
            <w:tcW w:w="506" w:type="pct"/>
            <w:tcBorders>
              <w:top w:val="nil"/>
              <w:left w:val="nil"/>
              <w:bottom w:val="nil"/>
              <w:right w:val="nil"/>
            </w:tcBorders>
            <w:shd w:val="clear" w:color="auto" w:fill="auto"/>
            <w:noWrap/>
            <w:vAlign w:val="center"/>
          </w:tcPr>
          <w:p w14:paraId="7FF94DFF" w14:textId="77777777" w:rsidR="00346420" w:rsidRPr="002E2B5B" w:rsidRDefault="00346420" w:rsidP="00346420">
            <w:pPr>
              <w:spacing w:after="120"/>
              <w:jc w:val="right"/>
              <w:rPr>
                <w:rFonts w:ascii="Calibri" w:hAnsi="Calibri" w:cs="Calibri"/>
                <w:color w:val="000000"/>
                <w:sz w:val="16"/>
                <w:szCs w:val="16"/>
              </w:rPr>
            </w:pPr>
          </w:p>
        </w:tc>
        <w:tc>
          <w:tcPr>
            <w:tcW w:w="246" w:type="pct"/>
            <w:vMerge w:val="restart"/>
            <w:tcBorders>
              <w:top w:val="nil"/>
              <w:left w:val="nil"/>
              <w:bottom w:val="single" w:sz="8" w:space="0" w:color="000000"/>
              <w:right w:val="nil"/>
            </w:tcBorders>
            <w:shd w:val="clear" w:color="auto" w:fill="auto"/>
            <w:noWrap/>
            <w:vAlign w:val="bottom"/>
            <w:hideMark/>
          </w:tcPr>
          <w:p w14:paraId="1A323250" w14:textId="77777777" w:rsidR="00346420" w:rsidRPr="002E2B5B" w:rsidRDefault="00346420" w:rsidP="00346420">
            <w:pPr>
              <w:spacing w:after="120"/>
              <w:rPr>
                <w:rFonts w:ascii="Calibri" w:hAnsi="Calibri" w:cs="Calibri"/>
                <w:color w:val="000000"/>
                <w:sz w:val="16"/>
                <w:szCs w:val="16"/>
              </w:rPr>
            </w:pPr>
            <w:r w:rsidRPr="002E2B5B">
              <w:rPr>
                <w:rFonts w:ascii="Calibri" w:hAnsi="Calibri" w:cs="Calibri"/>
                <w:color w:val="000000"/>
                <w:sz w:val="16"/>
                <w:szCs w:val="16"/>
              </w:rPr>
              <w:t> </w:t>
            </w:r>
          </w:p>
        </w:tc>
        <w:tc>
          <w:tcPr>
            <w:tcW w:w="506" w:type="pct"/>
            <w:tcBorders>
              <w:top w:val="nil"/>
              <w:left w:val="nil"/>
              <w:bottom w:val="nil"/>
              <w:right w:val="nil"/>
            </w:tcBorders>
            <w:shd w:val="clear" w:color="auto" w:fill="auto"/>
            <w:noWrap/>
            <w:vAlign w:val="center"/>
            <w:hideMark/>
          </w:tcPr>
          <w:p w14:paraId="12C0F883" w14:textId="6FDCA8DD" w:rsidR="00346420" w:rsidRPr="002E2B5B" w:rsidRDefault="001F73F1" w:rsidP="00346420">
            <w:pPr>
              <w:spacing w:after="120"/>
              <w:jc w:val="right"/>
              <w:rPr>
                <w:rFonts w:ascii="Calibri" w:hAnsi="Calibri" w:cs="Calibri"/>
                <w:color w:val="000000"/>
                <w:sz w:val="16"/>
                <w:szCs w:val="16"/>
              </w:rPr>
            </w:pPr>
            <w:r>
              <w:rPr>
                <w:rFonts w:ascii="Calibri" w:hAnsi="Calibri" w:cs="Calibri"/>
                <w:color w:val="000000"/>
                <w:sz w:val="16"/>
                <w:szCs w:val="16"/>
              </w:rPr>
              <w:t>2.903.098</w:t>
            </w:r>
          </w:p>
        </w:tc>
        <w:tc>
          <w:tcPr>
            <w:tcW w:w="219" w:type="pct"/>
            <w:tcBorders>
              <w:top w:val="nil"/>
              <w:left w:val="nil"/>
              <w:bottom w:val="nil"/>
              <w:right w:val="nil"/>
            </w:tcBorders>
            <w:shd w:val="clear" w:color="auto" w:fill="auto"/>
            <w:noWrap/>
            <w:vAlign w:val="bottom"/>
            <w:hideMark/>
          </w:tcPr>
          <w:p w14:paraId="100A7E14" w14:textId="77777777" w:rsidR="00346420" w:rsidRPr="002E2B5B" w:rsidRDefault="00346420" w:rsidP="00346420">
            <w:pPr>
              <w:spacing w:after="120"/>
              <w:rPr>
                <w:rFonts w:ascii="Calibri" w:hAnsi="Calibri" w:cs="Calibri"/>
                <w:color w:val="000000"/>
                <w:sz w:val="16"/>
                <w:szCs w:val="16"/>
              </w:rPr>
            </w:pPr>
            <w:r w:rsidRPr="002E2B5B">
              <w:rPr>
                <w:rFonts w:ascii="Calibri" w:hAnsi="Calibri" w:cs="Calibri"/>
                <w:color w:val="000000"/>
                <w:sz w:val="16"/>
                <w:szCs w:val="16"/>
              </w:rPr>
              <w:t> </w:t>
            </w:r>
          </w:p>
        </w:tc>
        <w:tc>
          <w:tcPr>
            <w:tcW w:w="454" w:type="pct"/>
            <w:tcBorders>
              <w:top w:val="nil"/>
              <w:left w:val="nil"/>
              <w:bottom w:val="nil"/>
              <w:right w:val="nil"/>
            </w:tcBorders>
            <w:vAlign w:val="center"/>
          </w:tcPr>
          <w:p w14:paraId="6078EE31" w14:textId="065FC1F5" w:rsidR="00346420" w:rsidRPr="002E2B5B" w:rsidRDefault="00346420" w:rsidP="00346420">
            <w:pPr>
              <w:spacing w:after="120"/>
              <w:jc w:val="right"/>
              <w:rPr>
                <w:rFonts w:ascii="Calibri" w:hAnsi="Calibri" w:cs="Calibri"/>
                <w:color w:val="000000"/>
                <w:sz w:val="16"/>
                <w:szCs w:val="16"/>
              </w:rPr>
            </w:pPr>
            <w:r>
              <w:rPr>
                <w:rFonts w:ascii="Calibri" w:hAnsi="Calibri" w:cs="Calibri"/>
                <w:color w:val="000000"/>
                <w:sz w:val="16"/>
                <w:szCs w:val="16"/>
              </w:rPr>
              <w:t>511.767</w:t>
            </w:r>
          </w:p>
        </w:tc>
      </w:tr>
      <w:tr w:rsidR="00346420" w:rsidRPr="002E2B5B" w14:paraId="37FFBF3A" w14:textId="77777777" w:rsidTr="00B23D01">
        <w:trPr>
          <w:trHeight w:hRule="exact" w:val="227"/>
        </w:trPr>
        <w:tc>
          <w:tcPr>
            <w:tcW w:w="1897" w:type="pct"/>
            <w:tcBorders>
              <w:top w:val="nil"/>
              <w:left w:val="nil"/>
              <w:bottom w:val="single" w:sz="8" w:space="0" w:color="auto"/>
              <w:right w:val="nil"/>
            </w:tcBorders>
            <w:shd w:val="clear" w:color="auto" w:fill="auto"/>
            <w:noWrap/>
            <w:vAlign w:val="center"/>
            <w:hideMark/>
          </w:tcPr>
          <w:p w14:paraId="0DF82958" w14:textId="77777777" w:rsidR="00346420" w:rsidRPr="002E2B5B" w:rsidRDefault="00346420" w:rsidP="00346420">
            <w:pPr>
              <w:spacing w:after="120"/>
              <w:rPr>
                <w:rFonts w:ascii="Calibri" w:hAnsi="Calibri" w:cs="Calibri"/>
                <w:color w:val="000000"/>
                <w:sz w:val="16"/>
                <w:szCs w:val="16"/>
              </w:rPr>
            </w:pPr>
            <w:r w:rsidRPr="002E2B5B">
              <w:rPr>
                <w:rFonts w:ascii="Calibri" w:hAnsi="Calibri" w:cs="Calibri"/>
                <w:color w:val="000000"/>
                <w:sz w:val="16"/>
                <w:szCs w:val="16"/>
              </w:rPr>
              <w:t>ADIANTAMENTOS DE SALÁRIOS E ORDENADOS</w:t>
            </w:r>
          </w:p>
        </w:tc>
        <w:tc>
          <w:tcPr>
            <w:tcW w:w="424" w:type="pct"/>
            <w:vMerge/>
            <w:tcBorders>
              <w:top w:val="nil"/>
              <w:left w:val="nil"/>
              <w:bottom w:val="single" w:sz="8" w:space="0" w:color="000000"/>
              <w:right w:val="nil"/>
            </w:tcBorders>
            <w:vAlign w:val="center"/>
            <w:hideMark/>
          </w:tcPr>
          <w:p w14:paraId="0456BD82" w14:textId="77777777" w:rsidR="00346420" w:rsidRPr="002E2B5B" w:rsidRDefault="00346420" w:rsidP="00346420">
            <w:pPr>
              <w:spacing w:after="120"/>
              <w:rPr>
                <w:rFonts w:ascii="Calibri" w:hAnsi="Calibri" w:cs="Calibri"/>
                <w:color w:val="000000"/>
                <w:sz w:val="16"/>
                <w:szCs w:val="16"/>
              </w:rPr>
            </w:pPr>
          </w:p>
        </w:tc>
        <w:tc>
          <w:tcPr>
            <w:tcW w:w="424" w:type="pct"/>
            <w:vMerge/>
            <w:tcBorders>
              <w:top w:val="nil"/>
              <w:left w:val="nil"/>
              <w:bottom w:val="single" w:sz="8" w:space="0" w:color="000000"/>
              <w:right w:val="nil"/>
            </w:tcBorders>
            <w:vAlign w:val="center"/>
            <w:hideMark/>
          </w:tcPr>
          <w:p w14:paraId="0EB0E1F9" w14:textId="77777777" w:rsidR="00346420" w:rsidRPr="002E2B5B" w:rsidRDefault="00346420" w:rsidP="00346420">
            <w:pPr>
              <w:spacing w:after="120"/>
              <w:rPr>
                <w:rFonts w:ascii="Calibri" w:hAnsi="Calibri" w:cs="Calibri"/>
                <w:color w:val="000000"/>
                <w:sz w:val="16"/>
                <w:szCs w:val="16"/>
              </w:rPr>
            </w:pPr>
          </w:p>
        </w:tc>
        <w:tc>
          <w:tcPr>
            <w:tcW w:w="324" w:type="pct"/>
            <w:vMerge/>
            <w:tcBorders>
              <w:top w:val="nil"/>
              <w:left w:val="nil"/>
              <w:bottom w:val="single" w:sz="8" w:space="0" w:color="000000"/>
              <w:right w:val="nil"/>
            </w:tcBorders>
            <w:vAlign w:val="center"/>
            <w:hideMark/>
          </w:tcPr>
          <w:p w14:paraId="32D9B459" w14:textId="77777777" w:rsidR="00346420" w:rsidRPr="002E2B5B" w:rsidRDefault="00346420" w:rsidP="00346420">
            <w:pPr>
              <w:spacing w:after="120"/>
              <w:rPr>
                <w:rFonts w:ascii="Calibri" w:hAnsi="Calibri" w:cs="Calibri"/>
                <w:color w:val="000000"/>
                <w:sz w:val="16"/>
                <w:szCs w:val="16"/>
              </w:rPr>
            </w:pPr>
          </w:p>
        </w:tc>
        <w:tc>
          <w:tcPr>
            <w:tcW w:w="506" w:type="pct"/>
            <w:tcBorders>
              <w:top w:val="nil"/>
              <w:left w:val="nil"/>
              <w:bottom w:val="single" w:sz="8" w:space="0" w:color="auto"/>
              <w:right w:val="nil"/>
            </w:tcBorders>
            <w:shd w:val="clear" w:color="auto" w:fill="auto"/>
            <w:noWrap/>
            <w:vAlign w:val="center"/>
          </w:tcPr>
          <w:p w14:paraId="64E87839" w14:textId="77777777" w:rsidR="00346420" w:rsidRPr="002E2B5B" w:rsidRDefault="00346420" w:rsidP="00346420">
            <w:pPr>
              <w:spacing w:after="120"/>
              <w:jc w:val="right"/>
              <w:rPr>
                <w:rFonts w:ascii="Calibri" w:hAnsi="Calibri" w:cs="Calibri"/>
                <w:color w:val="000000"/>
                <w:sz w:val="16"/>
                <w:szCs w:val="16"/>
              </w:rPr>
            </w:pPr>
          </w:p>
        </w:tc>
        <w:tc>
          <w:tcPr>
            <w:tcW w:w="246" w:type="pct"/>
            <w:vMerge/>
            <w:tcBorders>
              <w:top w:val="nil"/>
              <w:left w:val="nil"/>
              <w:bottom w:val="single" w:sz="8" w:space="0" w:color="000000"/>
              <w:right w:val="nil"/>
            </w:tcBorders>
            <w:vAlign w:val="center"/>
            <w:hideMark/>
          </w:tcPr>
          <w:p w14:paraId="4558FDE5" w14:textId="77777777" w:rsidR="00346420" w:rsidRPr="002E2B5B" w:rsidRDefault="00346420" w:rsidP="00346420">
            <w:pPr>
              <w:spacing w:after="120"/>
              <w:rPr>
                <w:rFonts w:ascii="Calibri" w:hAnsi="Calibri" w:cs="Calibri"/>
                <w:color w:val="000000"/>
                <w:sz w:val="16"/>
                <w:szCs w:val="16"/>
              </w:rPr>
            </w:pPr>
          </w:p>
        </w:tc>
        <w:tc>
          <w:tcPr>
            <w:tcW w:w="506" w:type="pct"/>
            <w:tcBorders>
              <w:top w:val="nil"/>
              <w:left w:val="nil"/>
              <w:bottom w:val="single" w:sz="8" w:space="0" w:color="auto"/>
              <w:right w:val="nil"/>
            </w:tcBorders>
            <w:shd w:val="clear" w:color="auto" w:fill="auto"/>
            <w:noWrap/>
            <w:vAlign w:val="center"/>
            <w:hideMark/>
          </w:tcPr>
          <w:p w14:paraId="02111635" w14:textId="4ECF1159" w:rsidR="00346420" w:rsidRPr="002E2B5B" w:rsidRDefault="00346420" w:rsidP="00346420">
            <w:pPr>
              <w:spacing w:after="120"/>
              <w:jc w:val="right"/>
              <w:rPr>
                <w:rFonts w:ascii="Calibri" w:hAnsi="Calibri" w:cs="Calibri"/>
                <w:color w:val="000000"/>
                <w:sz w:val="16"/>
                <w:szCs w:val="16"/>
              </w:rPr>
            </w:pPr>
            <w:r>
              <w:rPr>
                <w:rFonts w:ascii="Calibri" w:hAnsi="Calibri" w:cs="Calibri"/>
                <w:color w:val="000000"/>
                <w:sz w:val="16"/>
                <w:szCs w:val="16"/>
              </w:rPr>
              <w:t>1</w:t>
            </w:r>
            <w:r w:rsidR="001F73F1">
              <w:rPr>
                <w:rFonts w:ascii="Calibri" w:hAnsi="Calibri" w:cs="Calibri"/>
                <w:color w:val="000000"/>
                <w:sz w:val="16"/>
                <w:szCs w:val="16"/>
              </w:rPr>
              <w:t>61.745</w:t>
            </w:r>
          </w:p>
        </w:tc>
        <w:tc>
          <w:tcPr>
            <w:tcW w:w="219" w:type="pct"/>
            <w:tcBorders>
              <w:top w:val="nil"/>
              <w:left w:val="nil"/>
              <w:bottom w:val="single" w:sz="8" w:space="0" w:color="auto"/>
              <w:right w:val="nil"/>
            </w:tcBorders>
            <w:shd w:val="clear" w:color="auto" w:fill="auto"/>
            <w:noWrap/>
            <w:vAlign w:val="bottom"/>
            <w:hideMark/>
          </w:tcPr>
          <w:p w14:paraId="648DA4D3" w14:textId="77777777" w:rsidR="00346420" w:rsidRPr="002E2B5B" w:rsidRDefault="00346420" w:rsidP="00346420">
            <w:pPr>
              <w:spacing w:after="120"/>
              <w:rPr>
                <w:rFonts w:ascii="Calibri" w:hAnsi="Calibri" w:cs="Calibri"/>
                <w:color w:val="000000"/>
                <w:sz w:val="16"/>
                <w:szCs w:val="16"/>
              </w:rPr>
            </w:pPr>
            <w:r w:rsidRPr="002E2B5B">
              <w:rPr>
                <w:rFonts w:ascii="Calibri" w:hAnsi="Calibri" w:cs="Calibri"/>
                <w:color w:val="000000"/>
                <w:sz w:val="16"/>
                <w:szCs w:val="16"/>
              </w:rPr>
              <w:t> </w:t>
            </w:r>
          </w:p>
        </w:tc>
        <w:tc>
          <w:tcPr>
            <w:tcW w:w="454" w:type="pct"/>
            <w:tcBorders>
              <w:top w:val="nil"/>
              <w:left w:val="nil"/>
              <w:bottom w:val="single" w:sz="8" w:space="0" w:color="auto"/>
              <w:right w:val="nil"/>
            </w:tcBorders>
            <w:vAlign w:val="center"/>
          </w:tcPr>
          <w:p w14:paraId="0DC55E13" w14:textId="050CB941" w:rsidR="00346420" w:rsidRPr="002E2B5B" w:rsidRDefault="00346420" w:rsidP="00346420">
            <w:pPr>
              <w:spacing w:after="120"/>
              <w:jc w:val="right"/>
              <w:rPr>
                <w:rFonts w:ascii="Calibri" w:hAnsi="Calibri" w:cs="Calibri"/>
                <w:color w:val="000000"/>
                <w:sz w:val="16"/>
                <w:szCs w:val="16"/>
              </w:rPr>
            </w:pPr>
            <w:r>
              <w:rPr>
                <w:rFonts w:ascii="Calibri" w:hAnsi="Calibri" w:cs="Calibri"/>
                <w:color w:val="000000"/>
                <w:sz w:val="16"/>
                <w:szCs w:val="16"/>
              </w:rPr>
              <w:t>230.955</w:t>
            </w:r>
          </w:p>
        </w:tc>
      </w:tr>
      <w:tr w:rsidR="00F57038" w:rsidRPr="002E2B5B" w14:paraId="5CD7C3C0" w14:textId="77777777" w:rsidTr="00B23D01">
        <w:trPr>
          <w:trHeight w:hRule="exact" w:val="227"/>
        </w:trPr>
        <w:tc>
          <w:tcPr>
            <w:tcW w:w="1897" w:type="pct"/>
            <w:tcBorders>
              <w:top w:val="nil"/>
              <w:left w:val="nil"/>
              <w:bottom w:val="single" w:sz="8" w:space="0" w:color="auto"/>
              <w:right w:val="nil"/>
            </w:tcBorders>
            <w:shd w:val="clear" w:color="auto" w:fill="auto"/>
            <w:noWrap/>
            <w:vAlign w:val="center"/>
            <w:hideMark/>
          </w:tcPr>
          <w:p w14:paraId="6957F134" w14:textId="77777777" w:rsidR="00F57038" w:rsidRPr="002E2B5B" w:rsidRDefault="00F57038" w:rsidP="00937ED9">
            <w:pPr>
              <w:spacing w:after="120"/>
              <w:rPr>
                <w:rFonts w:ascii="Calibri" w:hAnsi="Calibri" w:cs="Calibri"/>
                <w:b/>
                <w:bCs/>
                <w:color w:val="000000"/>
                <w:sz w:val="16"/>
                <w:szCs w:val="16"/>
              </w:rPr>
            </w:pPr>
            <w:r w:rsidRPr="002E2B5B">
              <w:rPr>
                <w:rFonts w:ascii="Calibri" w:hAnsi="Calibri" w:cs="Calibri"/>
                <w:b/>
                <w:bCs/>
                <w:color w:val="000000"/>
                <w:sz w:val="16"/>
                <w:szCs w:val="16"/>
              </w:rPr>
              <w:t>TOTAL GERAL DE ADIANTAMENTOS CONCEDIDOS</w:t>
            </w:r>
          </w:p>
        </w:tc>
        <w:tc>
          <w:tcPr>
            <w:tcW w:w="424" w:type="pct"/>
            <w:tcBorders>
              <w:top w:val="nil"/>
              <w:left w:val="nil"/>
              <w:bottom w:val="single" w:sz="8" w:space="0" w:color="auto"/>
              <w:right w:val="nil"/>
            </w:tcBorders>
            <w:shd w:val="clear" w:color="auto" w:fill="auto"/>
            <w:noWrap/>
            <w:vAlign w:val="bottom"/>
            <w:hideMark/>
          </w:tcPr>
          <w:p w14:paraId="6DCD4FA0" w14:textId="77777777" w:rsidR="00F57038" w:rsidRPr="002E2B5B" w:rsidRDefault="00F57038" w:rsidP="00937ED9">
            <w:pPr>
              <w:spacing w:after="120"/>
              <w:rPr>
                <w:rFonts w:ascii="Calibri" w:hAnsi="Calibri" w:cs="Calibri"/>
                <w:color w:val="000000"/>
                <w:sz w:val="16"/>
                <w:szCs w:val="16"/>
              </w:rPr>
            </w:pPr>
            <w:r w:rsidRPr="002E2B5B">
              <w:rPr>
                <w:rFonts w:ascii="Calibri" w:hAnsi="Calibri" w:cs="Calibri"/>
                <w:color w:val="000000"/>
                <w:sz w:val="16"/>
                <w:szCs w:val="16"/>
              </w:rPr>
              <w:t> </w:t>
            </w:r>
          </w:p>
        </w:tc>
        <w:tc>
          <w:tcPr>
            <w:tcW w:w="424" w:type="pct"/>
            <w:tcBorders>
              <w:top w:val="nil"/>
              <w:left w:val="nil"/>
              <w:bottom w:val="single" w:sz="8" w:space="0" w:color="auto"/>
              <w:right w:val="nil"/>
            </w:tcBorders>
            <w:shd w:val="clear" w:color="auto" w:fill="auto"/>
            <w:noWrap/>
            <w:vAlign w:val="bottom"/>
            <w:hideMark/>
          </w:tcPr>
          <w:p w14:paraId="78749100" w14:textId="77777777" w:rsidR="00F57038" w:rsidRPr="002E2B5B" w:rsidRDefault="00F57038" w:rsidP="00937ED9">
            <w:pPr>
              <w:spacing w:after="120"/>
              <w:rPr>
                <w:rFonts w:ascii="Calibri" w:hAnsi="Calibri" w:cs="Calibri"/>
                <w:color w:val="000000"/>
                <w:sz w:val="16"/>
                <w:szCs w:val="16"/>
              </w:rPr>
            </w:pPr>
            <w:r w:rsidRPr="002E2B5B">
              <w:rPr>
                <w:rFonts w:ascii="Calibri" w:hAnsi="Calibri" w:cs="Calibri"/>
                <w:color w:val="000000"/>
                <w:sz w:val="16"/>
                <w:szCs w:val="16"/>
              </w:rPr>
              <w:t> </w:t>
            </w:r>
          </w:p>
        </w:tc>
        <w:tc>
          <w:tcPr>
            <w:tcW w:w="324" w:type="pct"/>
            <w:tcBorders>
              <w:top w:val="nil"/>
              <w:left w:val="nil"/>
              <w:bottom w:val="single" w:sz="8" w:space="0" w:color="auto"/>
              <w:right w:val="nil"/>
            </w:tcBorders>
            <w:shd w:val="clear" w:color="auto" w:fill="auto"/>
            <w:vAlign w:val="center"/>
            <w:hideMark/>
          </w:tcPr>
          <w:p w14:paraId="2AEBB226" w14:textId="77777777" w:rsidR="00F57038" w:rsidRPr="002E2B5B" w:rsidRDefault="00F57038" w:rsidP="00937ED9">
            <w:pPr>
              <w:spacing w:after="120"/>
              <w:jc w:val="right"/>
              <w:rPr>
                <w:rFonts w:ascii="Calibri" w:hAnsi="Calibri" w:cs="Calibri"/>
                <w:b/>
                <w:bCs/>
                <w:color w:val="000000"/>
                <w:sz w:val="16"/>
                <w:szCs w:val="16"/>
              </w:rPr>
            </w:pPr>
            <w:r w:rsidRPr="002E2B5B">
              <w:rPr>
                <w:rFonts w:ascii="Calibri" w:hAnsi="Calibri" w:cs="Calibri"/>
                <w:b/>
                <w:bCs/>
                <w:color w:val="000000"/>
                <w:sz w:val="16"/>
                <w:szCs w:val="16"/>
              </w:rPr>
              <w:t> </w:t>
            </w:r>
          </w:p>
        </w:tc>
        <w:tc>
          <w:tcPr>
            <w:tcW w:w="506" w:type="pct"/>
            <w:tcBorders>
              <w:top w:val="nil"/>
              <w:left w:val="nil"/>
              <w:bottom w:val="single" w:sz="8" w:space="0" w:color="auto"/>
              <w:right w:val="nil"/>
            </w:tcBorders>
            <w:shd w:val="clear" w:color="auto" w:fill="auto"/>
            <w:noWrap/>
            <w:vAlign w:val="center"/>
          </w:tcPr>
          <w:p w14:paraId="2F1E2D1A" w14:textId="77777777" w:rsidR="00F57038" w:rsidRPr="002E2B5B" w:rsidRDefault="00F57038" w:rsidP="00937ED9">
            <w:pPr>
              <w:spacing w:after="120"/>
              <w:jc w:val="right"/>
              <w:rPr>
                <w:rFonts w:ascii="Calibri" w:hAnsi="Calibri" w:cs="Calibri"/>
                <w:b/>
                <w:bCs/>
                <w:color w:val="000000"/>
                <w:sz w:val="16"/>
                <w:szCs w:val="16"/>
              </w:rPr>
            </w:pPr>
          </w:p>
        </w:tc>
        <w:tc>
          <w:tcPr>
            <w:tcW w:w="246" w:type="pct"/>
            <w:tcBorders>
              <w:top w:val="nil"/>
              <w:left w:val="nil"/>
              <w:bottom w:val="single" w:sz="8" w:space="0" w:color="auto"/>
              <w:right w:val="nil"/>
            </w:tcBorders>
            <w:shd w:val="clear" w:color="auto" w:fill="auto"/>
            <w:noWrap/>
            <w:vAlign w:val="center"/>
            <w:hideMark/>
          </w:tcPr>
          <w:p w14:paraId="33B51B5C" w14:textId="77777777" w:rsidR="00F57038" w:rsidRPr="002E2B5B" w:rsidRDefault="00F57038" w:rsidP="00937ED9">
            <w:pPr>
              <w:spacing w:after="120"/>
              <w:rPr>
                <w:rFonts w:ascii="Calibri" w:hAnsi="Calibri" w:cs="Calibri"/>
                <w:color w:val="000000"/>
                <w:sz w:val="16"/>
                <w:szCs w:val="16"/>
              </w:rPr>
            </w:pPr>
            <w:r w:rsidRPr="002E2B5B">
              <w:rPr>
                <w:rFonts w:ascii="Calibri" w:hAnsi="Calibri" w:cs="Calibri"/>
                <w:color w:val="000000"/>
                <w:sz w:val="16"/>
                <w:szCs w:val="16"/>
              </w:rPr>
              <w:t> </w:t>
            </w:r>
          </w:p>
        </w:tc>
        <w:tc>
          <w:tcPr>
            <w:tcW w:w="506" w:type="pct"/>
            <w:tcBorders>
              <w:top w:val="nil"/>
              <w:left w:val="nil"/>
              <w:bottom w:val="single" w:sz="8" w:space="0" w:color="auto"/>
              <w:right w:val="nil"/>
            </w:tcBorders>
            <w:shd w:val="clear" w:color="auto" w:fill="auto"/>
            <w:noWrap/>
            <w:vAlign w:val="center"/>
            <w:hideMark/>
          </w:tcPr>
          <w:p w14:paraId="45E754E4" w14:textId="203C760E" w:rsidR="00F57038" w:rsidRPr="002E2B5B" w:rsidRDefault="001F73F1" w:rsidP="00937ED9">
            <w:pPr>
              <w:spacing w:after="120"/>
              <w:jc w:val="right"/>
              <w:rPr>
                <w:rFonts w:ascii="Calibri" w:hAnsi="Calibri" w:cs="Calibri"/>
                <w:b/>
                <w:bCs/>
                <w:color w:val="000000"/>
                <w:sz w:val="16"/>
                <w:szCs w:val="16"/>
              </w:rPr>
            </w:pPr>
            <w:r>
              <w:rPr>
                <w:rFonts w:ascii="Calibri" w:hAnsi="Calibri" w:cs="Calibri"/>
                <w:b/>
                <w:bCs/>
                <w:color w:val="000000"/>
                <w:sz w:val="16"/>
                <w:szCs w:val="16"/>
              </w:rPr>
              <w:t>3.064.843</w:t>
            </w:r>
          </w:p>
        </w:tc>
        <w:tc>
          <w:tcPr>
            <w:tcW w:w="219" w:type="pct"/>
            <w:tcBorders>
              <w:top w:val="nil"/>
              <w:left w:val="nil"/>
              <w:bottom w:val="single" w:sz="8" w:space="0" w:color="auto"/>
              <w:right w:val="nil"/>
            </w:tcBorders>
            <w:shd w:val="clear" w:color="auto" w:fill="auto"/>
            <w:noWrap/>
            <w:vAlign w:val="bottom"/>
            <w:hideMark/>
          </w:tcPr>
          <w:p w14:paraId="56B078B5" w14:textId="77777777" w:rsidR="00F57038" w:rsidRPr="002E2B5B" w:rsidRDefault="00F57038" w:rsidP="00937ED9">
            <w:pPr>
              <w:spacing w:after="120"/>
              <w:rPr>
                <w:rFonts w:ascii="Calibri" w:hAnsi="Calibri" w:cs="Calibri"/>
                <w:color w:val="000000"/>
                <w:sz w:val="16"/>
                <w:szCs w:val="16"/>
              </w:rPr>
            </w:pPr>
            <w:r w:rsidRPr="002E2B5B">
              <w:rPr>
                <w:rFonts w:ascii="Calibri" w:hAnsi="Calibri" w:cs="Calibri"/>
                <w:color w:val="000000"/>
                <w:sz w:val="16"/>
                <w:szCs w:val="16"/>
              </w:rPr>
              <w:t> </w:t>
            </w:r>
          </w:p>
        </w:tc>
        <w:tc>
          <w:tcPr>
            <w:tcW w:w="454" w:type="pct"/>
            <w:tcBorders>
              <w:top w:val="nil"/>
              <w:left w:val="nil"/>
              <w:bottom w:val="single" w:sz="8" w:space="0" w:color="auto"/>
              <w:right w:val="nil"/>
            </w:tcBorders>
            <w:vAlign w:val="center"/>
          </w:tcPr>
          <w:p w14:paraId="68AC3079" w14:textId="50BB2EC6" w:rsidR="00F57038" w:rsidRPr="002E2B5B" w:rsidRDefault="00346420" w:rsidP="00937ED9">
            <w:pPr>
              <w:spacing w:after="120"/>
              <w:jc w:val="right"/>
              <w:rPr>
                <w:rFonts w:ascii="Calibri" w:hAnsi="Calibri" w:cs="Calibri"/>
                <w:b/>
                <w:bCs/>
                <w:color w:val="000000"/>
                <w:sz w:val="16"/>
                <w:szCs w:val="16"/>
              </w:rPr>
            </w:pPr>
            <w:r>
              <w:rPr>
                <w:rFonts w:ascii="Calibri" w:hAnsi="Calibri" w:cs="Calibri"/>
                <w:b/>
                <w:bCs/>
                <w:color w:val="000000"/>
                <w:sz w:val="16"/>
                <w:szCs w:val="16"/>
              </w:rPr>
              <w:t>742.722</w:t>
            </w:r>
          </w:p>
        </w:tc>
      </w:tr>
    </w:tbl>
    <w:p w14:paraId="731F7859" w14:textId="0751CD90" w:rsidR="00C24287" w:rsidRPr="002E2B5B" w:rsidRDefault="00580D61" w:rsidP="007449DE">
      <w:pPr>
        <w:spacing w:before="120" w:after="120"/>
        <w:jc w:val="both"/>
        <w:rPr>
          <w:rFonts w:ascii="Calibri" w:hAnsi="Calibri" w:cs="Calibri"/>
          <w:sz w:val="22"/>
          <w:szCs w:val="22"/>
        </w:rPr>
      </w:pPr>
      <w:r w:rsidRPr="002E2B5B">
        <w:rPr>
          <w:rFonts w:ascii="Calibri" w:hAnsi="Calibri" w:cs="Calibri"/>
          <w:sz w:val="22"/>
          <w:szCs w:val="22"/>
        </w:rPr>
        <w:t xml:space="preserve">O saldo de R$ </w:t>
      </w:r>
      <w:r w:rsidR="001F73F1">
        <w:rPr>
          <w:rFonts w:ascii="Calibri" w:hAnsi="Calibri" w:cs="Calibri"/>
          <w:sz w:val="22"/>
          <w:szCs w:val="22"/>
        </w:rPr>
        <w:t>3</w:t>
      </w:r>
      <w:r w:rsidR="00346420">
        <w:rPr>
          <w:rFonts w:ascii="Calibri" w:hAnsi="Calibri" w:cs="Calibri"/>
          <w:sz w:val="22"/>
          <w:szCs w:val="22"/>
        </w:rPr>
        <w:t>,</w:t>
      </w:r>
      <w:r w:rsidR="001F73F1">
        <w:rPr>
          <w:rFonts w:ascii="Calibri" w:hAnsi="Calibri" w:cs="Calibri"/>
          <w:sz w:val="22"/>
          <w:szCs w:val="22"/>
        </w:rPr>
        <w:t>06</w:t>
      </w:r>
      <w:r w:rsidR="00736874">
        <w:rPr>
          <w:rFonts w:ascii="Calibri" w:hAnsi="Calibri" w:cs="Calibri"/>
          <w:sz w:val="22"/>
          <w:szCs w:val="22"/>
        </w:rPr>
        <w:t xml:space="preserve"> mil</w:t>
      </w:r>
      <w:r w:rsidR="00346420">
        <w:rPr>
          <w:rFonts w:ascii="Calibri" w:hAnsi="Calibri" w:cs="Calibri"/>
          <w:sz w:val="22"/>
          <w:szCs w:val="22"/>
        </w:rPr>
        <w:t>h</w:t>
      </w:r>
      <w:r w:rsidR="000F7BD9">
        <w:rPr>
          <w:rFonts w:ascii="Calibri" w:hAnsi="Calibri" w:cs="Calibri"/>
          <w:sz w:val="22"/>
          <w:szCs w:val="22"/>
        </w:rPr>
        <w:t>ões</w:t>
      </w:r>
      <w:r w:rsidR="00736874">
        <w:rPr>
          <w:rFonts w:ascii="Calibri" w:hAnsi="Calibri" w:cs="Calibri"/>
          <w:sz w:val="22"/>
          <w:szCs w:val="22"/>
        </w:rPr>
        <w:t>,</w:t>
      </w:r>
      <w:r w:rsidRPr="002E2B5B">
        <w:rPr>
          <w:rFonts w:ascii="Calibri" w:hAnsi="Calibri" w:cs="Calibri"/>
          <w:sz w:val="22"/>
          <w:szCs w:val="22"/>
        </w:rPr>
        <w:t xml:space="preserve"> em </w:t>
      </w:r>
      <w:r w:rsidR="007D3C92">
        <w:rPr>
          <w:rFonts w:ascii="Calibri" w:hAnsi="Calibri" w:cs="Calibri"/>
          <w:sz w:val="22"/>
          <w:szCs w:val="22"/>
        </w:rPr>
        <w:t>3</w:t>
      </w:r>
      <w:r w:rsidR="001F73F1">
        <w:rPr>
          <w:rFonts w:ascii="Calibri" w:hAnsi="Calibri" w:cs="Calibri"/>
          <w:sz w:val="22"/>
          <w:szCs w:val="22"/>
        </w:rPr>
        <w:t>0</w:t>
      </w:r>
      <w:r w:rsidR="007D3C92">
        <w:rPr>
          <w:rFonts w:ascii="Calibri" w:hAnsi="Calibri" w:cs="Calibri"/>
          <w:sz w:val="22"/>
          <w:szCs w:val="22"/>
        </w:rPr>
        <w:t xml:space="preserve"> de </w:t>
      </w:r>
      <w:r w:rsidR="001F73F1">
        <w:rPr>
          <w:rFonts w:ascii="Calibri" w:hAnsi="Calibri" w:cs="Calibri"/>
          <w:sz w:val="22"/>
          <w:szCs w:val="22"/>
        </w:rPr>
        <w:t>junh</w:t>
      </w:r>
      <w:r w:rsidR="00346420">
        <w:rPr>
          <w:rFonts w:ascii="Calibri" w:hAnsi="Calibri" w:cs="Calibri"/>
          <w:sz w:val="22"/>
          <w:szCs w:val="22"/>
        </w:rPr>
        <w:t>o</w:t>
      </w:r>
      <w:r w:rsidR="00DE2A36">
        <w:rPr>
          <w:rFonts w:ascii="Calibri" w:hAnsi="Calibri" w:cs="Calibri"/>
          <w:sz w:val="22"/>
          <w:szCs w:val="22"/>
        </w:rPr>
        <w:t xml:space="preserve"> de 202</w:t>
      </w:r>
      <w:r w:rsidR="00346420">
        <w:rPr>
          <w:rFonts w:ascii="Calibri" w:hAnsi="Calibri" w:cs="Calibri"/>
          <w:sz w:val="22"/>
          <w:szCs w:val="22"/>
        </w:rPr>
        <w:t>2</w:t>
      </w:r>
      <w:r w:rsidRPr="002E2B5B">
        <w:rPr>
          <w:rFonts w:ascii="Calibri" w:hAnsi="Calibri" w:cs="Calibri"/>
          <w:sz w:val="22"/>
          <w:szCs w:val="22"/>
        </w:rPr>
        <w:t>, refere-se a adiantamentos concedidos aos empregados da VALEC e das extintas empresas Rede Ferroviária Federal S/A – RFFSA e da Empresa Brasileira de Planejamento de Transportes – GEIPOT.</w:t>
      </w:r>
    </w:p>
    <w:p w14:paraId="0E071793" w14:textId="0BA3B9C3" w:rsidR="009165D8" w:rsidRPr="002E2B5B" w:rsidRDefault="00D725ED" w:rsidP="00937ED9">
      <w:pPr>
        <w:spacing w:after="120"/>
        <w:jc w:val="both"/>
        <w:rPr>
          <w:rFonts w:ascii="Calibri" w:hAnsi="Calibri" w:cs="Calibri"/>
          <w:sz w:val="22"/>
          <w:szCs w:val="22"/>
        </w:rPr>
      </w:pPr>
      <w:r w:rsidRPr="002E2B5B">
        <w:rPr>
          <w:rFonts w:ascii="Calibri" w:hAnsi="Calibri" w:cs="Calibri"/>
          <w:sz w:val="22"/>
          <w:szCs w:val="22"/>
        </w:rPr>
        <w:t>A VALEC paga metade do salário a título de adiantamento de 13º salário a seus empregados na Folha de Pagamento do mês de junho de cada ano, a fim de que o empregado receba no primeiro dia útil do mês de julho. No entanto, o empregado tem o direito de solicitar esse adiantamento na ocasião de férias quando gozadas de janeiro a junho.</w:t>
      </w:r>
    </w:p>
    <w:p w14:paraId="2D4A7BEF" w14:textId="076D3D9B" w:rsidR="00D4582D" w:rsidRPr="002E2B5B" w:rsidRDefault="00D725ED" w:rsidP="00937ED9">
      <w:pPr>
        <w:spacing w:after="120"/>
        <w:jc w:val="both"/>
        <w:rPr>
          <w:rFonts w:ascii="Calibri" w:hAnsi="Calibri" w:cs="Calibri"/>
          <w:sz w:val="22"/>
          <w:szCs w:val="22"/>
        </w:rPr>
      </w:pPr>
      <w:r w:rsidRPr="002E2B5B">
        <w:rPr>
          <w:rFonts w:ascii="Calibri" w:hAnsi="Calibri" w:cs="Calibri"/>
          <w:sz w:val="22"/>
          <w:szCs w:val="22"/>
        </w:rPr>
        <w:t>Mediante conciliação mensal, o saldo da conta de adiantamento de 13º salário representa fielmente os valores devidamente adiantados, os quais serão descontados por ocasião da Folha de Pagamento do mês de novembro</w:t>
      </w:r>
      <w:r w:rsidR="00F51287" w:rsidRPr="002E2B5B">
        <w:rPr>
          <w:rFonts w:ascii="Calibri" w:hAnsi="Calibri" w:cs="Calibri"/>
          <w:sz w:val="22"/>
          <w:szCs w:val="22"/>
        </w:rPr>
        <w:t>,</w:t>
      </w:r>
      <w:r w:rsidRPr="002E2B5B">
        <w:rPr>
          <w:rFonts w:ascii="Calibri" w:hAnsi="Calibri" w:cs="Calibri"/>
          <w:sz w:val="22"/>
          <w:szCs w:val="22"/>
        </w:rPr>
        <w:t xml:space="preserve"> quando o 13º salário é integralmente pago. </w:t>
      </w:r>
    </w:p>
    <w:p w14:paraId="703156C7" w14:textId="7C51631D" w:rsidR="00FA0D6A" w:rsidRPr="000B1B26" w:rsidRDefault="00D725ED" w:rsidP="00776774">
      <w:pPr>
        <w:spacing w:after="120"/>
        <w:jc w:val="both"/>
        <w:rPr>
          <w:rFonts w:ascii="Calibri" w:hAnsi="Calibri" w:cs="Calibri"/>
          <w:sz w:val="22"/>
          <w:szCs w:val="22"/>
        </w:rPr>
      </w:pPr>
      <w:r w:rsidRPr="002E2B5B">
        <w:rPr>
          <w:rFonts w:ascii="Calibri" w:hAnsi="Calibri" w:cs="Calibri"/>
          <w:sz w:val="22"/>
          <w:szCs w:val="22"/>
        </w:rPr>
        <w:t>Os empregados da VALEC</w:t>
      </w:r>
      <w:r w:rsidR="00D14740">
        <w:rPr>
          <w:rFonts w:ascii="Calibri" w:hAnsi="Calibri" w:cs="Calibri"/>
          <w:sz w:val="22"/>
          <w:szCs w:val="22"/>
        </w:rPr>
        <w:t>, do Plano de Carreiras, Cargos e Salários de 2007,</w:t>
      </w:r>
      <w:r w:rsidR="0046500A" w:rsidRPr="002E2B5B">
        <w:rPr>
          <w:rFonts w:ascii="Calibri" w:hAnsi="Calibri" w:cs="Calibri"/>
          <w:sz w:val="22"/>
          <w:szCs w:val="22"/>
        </w:rPr>
        <w:t xml:space="preserve"> e das extintas empresas</w:t>
      </w:r>
      <w:r w:rsidRPr="002E2B5B">
        <w:rPr>
          <w:rFonts w:ascii="Calibri" w:hAnsi="Calibri" w:cs="Calibri"/>
          <w:sz w:val="22"/>
          <w:szCs w:val="22"/>
        </w:rPr>
        <w:t xml:space="preserve"> RFFSA e GEIPOT podem solicitar, na ocasião de suas férias, </w:t>
      </w:r>
      <w:r w:rsidRPr="000B1B26">
        <w:rPr>
          <w:rFonts w:ascii="Calibri" w:hAnsi="Calibri" w:cs="Calibri"/>
          <w:sz w:val="22"/>
          <w:szCs w:val="22"/>
        </w:rPr>
        <w:t xml:space="preserve">adiantamento salarial, o qual será restituído em até seis parcelas mensais. </w:t>
      </w:r>
      <w:r w:rsidR="00776774" w:rsidRPr="00776774">
        <w:rPr>
          <w:rFonts w:ascii="Calibri" w:hAnsi="Calibri" w:cs="Calibri"/>
          <w:sz w:val="22"/>
          <w:szCs w:val="22"/>
        </w:rPr>
        <w:lastRenderedPageBreak/>
        <w:t>Com base em demonstrativos mensais</w:t>
      </w:r>
      <w:r w:rsidR="00776774">
        <w:rPr>
          <w:rFonts w:ascii="Calibri" w:hAnsi="Calibri" w:cs="Calibri"/>
          <w:sz w:val="22"/>
          <w:szCs w:val="22"/>
        </w:rPr>
        <w:t xml:space="preserve"> </w:t>
      </w:r>
      <w:r w:rsidR="00776774" w:rsidRPr="00776774">
        <w:rPr>
          <w:rFonts w:ascii="Calibri" w:hAnsi="Calibri" w:cs="Calibri"/>
          <w:sz w:val="22"/>
          <w:szCs w:val="22"/>
        </w:rPr>
        <w:t>encaminhados pela Superintendência de Gestão de Pessoas, a Gerência Tributária e Contábil efetua a conciliação</w:t>
      </w:r>
      <w:r w:rsidR="00776774">
        <w:rPr>
          <w:rFonts w:ascii="Calibri" w:hAnsi="Calibri" w:cs="Calibri"/>
          <w:sz w:val="22"/>
          <w:szCs w:val="22"/>
        </w:rPr>
        <w:t xml:space="preserve"> </w:t>
      </w:r>
      <w:r w:rsidR="00776774" w:rsidRPr="00776774">
        <w:rPr>
          <w:rFonts w:ascii="Calibri" w:hAnsi="Calibri" w:cs="Calibri"/>
          <w:sz w:val="22"/>
          <w:szCs w:val="22"/>
        </w:rPr>
        <w:t>contábil desses adiantamentos.</w:t>
      </w:r>
    </w:p>
    <w:p w14:paraId="2FDB058F" w14:textId="77777777" w:rsidR="009B313F" w:rsidRPr="000B1B26" w:rsidRDefault="00660339" w:rsidP="00937ED9">
      <w:pPr>
        <w:numPr>
          <w:ilvl w:val="0"/>
          <w:numId w:val="10"/>
        </w:numPr>
        <w:spacing w:after="120"/>
        <w:ind w:left="284" w:hanging="284"/>
        <w:jc w:val="both"/>
        <w:rPr>
          <w:rFonts w:ascii="Calibri" w:hAnsi="Calibri" w:cs="Calibri"/>
          <w:b/>
          <w:sz w:val="22"/>
          <w:szCs w:val="22"/>
        </w:rPr>
      </w:pPr>
      <w:r w:rsidRPr="000B1B26">
        <w:rPr>
          <w:rFonts w:ascii="Calibri" w:hAnsi="Calibri" w:cs="Calibri"/>
          <w:b/>
          <w:sz w:val="22"/>
          <w:szCs w:val="22"/>
        </w:rPr>
        <w:t>Crédito</w:t>
      </w:r>
      <w:r w:rsidR="00FA0D6A" w:rsidRPr="000B1B26">
        <w:rPr>
          <w:rFonts w:ascii="Calibri" w:hAnsi="Calibri" w:cs="Calibri"/>
          <w:b/>
          <w:sz w:val="22"/>
          <w:szCs w:val="22"/>
        </w:rPr>
        <w:t>s Tributários e</w:t>
      </w:r>
      <w:r w:rsidRPr="000B1B26">
        <w:rPr>
          <w:rFonts w:ascii="Calibri" w:hAnsi="Calibri" w:cs="Calibri"/>
          <w:b/>
          <w:sz w:val="22"/>
          <w:szCs w:val="22"/>
        </w:rPr>
        <w:t xml:space="preserve"> Previdenciário a Compensar</w:t>
      </w:r>
      <w:r w:rsidR="00CD1E2F" w:rsidRPr="000B1B26">
        <w:rPr>
          <w:rFonts w:ascii="Calibri" w:hAnsi="Calibri" w:cs="Calibri"/>
          <w:b/>
          <w:sz w:val="22"/>
          <w:szCs w:val="22"/>
        </w:rPr>
        <w:t xml:space="preserve"> </w:t>
      </w:r>
    </w:p>
    <w:p w14:paraId="0A86414A" w14:textId="51676BEB" w:rsidR="009165D8" w:rsidRPr="000B1B26" w:rsidRDefault="00766496" w:rsidP="00937ED9">
      <w:pPr>
        <w:spacing w:after="120"/>
        <w:jc w:val="both"/>
        <w:rPr>
          <w:rFonts w:ascii="Calibri" w:hAnsi="Calibri" w:cs="Calibri"/>
          <w:bCs/>
          <w:sz w:val="22"/>
          <w:szCs w:val="22"/>
        </w:rPr>
      </w:pPr>
      <w:r w:rsidRPr="000B1B26">
        <w:rPr>
          <w:rFonts w:ascii="Calibri" w:hAnsi="Calibri" w:cs="Calibri"/>
          <w:bCs/>
          <w:sz w:val="22"/>
          <w:szCs w:val="22"/>
        </w:rPr>
        <w:t>O saldo de créditos tributários e previdenciários a compensar em 3</w:t>
      </w:r>
      <w:r w:rsidR="001F73F1">
        <w:rPr>
          <w:rFonts w:ascii="Calibri" w:hAnsi="Calibri" w:cs="Calibri"/>
          <w:bCs/>
          <w:sz w:val="22"/>
          <w:szCs w:val="22"/>
        </w:rPr>
        <w:t>0</w:t>
      </w:r>
      <w:r w:rsidRPr="000B1B26">
        <w:rPr>
          <w:rFonts w:ascii="Calibri" w:hAnsi="Calibri" w:cs="Calibri"/>
          <w:bCs/>
          <w:sz w:val="22"/>
          <w:szCs w:val="22"/>
        </w:rPr>
        <w:t xml:space="preserve"> de </w:t>
      </w:r>
      <w:r w:rsidR="001F73F1">
        <w:rPr>
          <w:rFonts w:ascii="Calibri" w:hAnsi="Calibri" w:cs="Calibri"/>
          <w:bCs/>
          <w:sz w:val="22"/>
          <w:szCs w:val="22"/>
        </w:rPr>
        <w:t>junh</w:t>
      </w:r>
      <w:r w:rsidR="00346420" w:rsidRPr="000B1B26">
        <w:rPr>
          <w:rFonts w:ascii="Calibri" w:hAnsi="Calibri" w:cs="Calibri"/>
          <w:bCs/>
          <w:sz w:val="22"/>
          <w:szCs w:val="22"/>
        </w:rPr>
        <w:t>o</w:t>
      </w:r>
      <w:r w:rsidR="00DE2A36" w:rsidRPr="000B1B26">
        <w:rPr>
          <w:rFonts w:ascii="Calibri" w:hAnsi="Calibri" w:cs="Calibri"/>
          <w:bCs/>
          <w:sz w:val="22"/>
          <w:szCs w:val="22"/>
        </w:rPr>
        <w:t xml:space="preserve"> </w:t>
      </w:r>
      <w:r w:rsidRPr="000B1B26">
        <w:rPr>
          <w:rFonts w:ascii="Calibri" w:hAnsi="Calibri" w:cs="Calibri"/>
          <w:bCs/>
          <w:sz w:val="22"/>
          <w:szCs w:val="22"/>
        </w:rPr>
        <w:t>de 202</w:t>
      </w:r>
      <w:r w:rsidR="00346420" w:rsidRPr="000B1B26">
        <w:rPr>
          <w:rFonts w:ascii="Calibri" w:hAnsi="Calibri" w:cs="Calibri"/>
          <w:bCs/>
          <w:sz w:val="22"/>
          <w:szCs w:val="22"/>
        </w:rPr>
        <w:t>2</w:t>
      </w:r>
      <w:r w:rsidRPr="000B1B26">
        <w:rPr>
          <w:rFonts w:ascii="Calibri" w:hAnsi="Calibri" w:cs="Calibri"/>
          <w:bCs/>
          <w:sz w:val="22"/>
          <w:szCs w:val="22"/>
        </w:rPr>
        <w:t xml:space="preserve"> é de R$ 1,</w:t>
      </w:r>
      <w:r w:rsidR="00FC0EC1">
        <w:rPr>
          <w:rFonts w:ascii="Calibri" w:hAnsi="Calibri" w:cs="Calibri"/>
          <w:bCs/>
          <w:sz w:val="22"/>
          <w:szCs w:val="22"/>
        </w:rPr>
        <w:t>66</w:t>
      </w:r>
      <w:r w:rsidRPr="000B1B26">
        <w:rPr>
          <w:rFonts w:ascii="Calibri" w:hAnsi="Calibri" w:cs="Calibri"/>
          <w:bCs/>
          <w:sz w:val="22"/>
          <w:szCs w:val="22"/>
        </w:rPr>
        <w:t xml:space="preserve"> milh</w:t>
      </w:r>
      <w:r w:rsidR="009B2CA0" w:rsidRPr="000B1B26">
        <w:rPr>
          <w:rFonts w:ascii="Calibri" w:hAnsi="Calibri" w:cs="Calibri"/>
          <w:bCs/>
          <w:sz w:val="22"/>
          <w:szCs w:val="22"/>
        </w:rPr>
        <w:t>ão</w:t>
      </w:r>
      <w:r w:rsidRPr="000B1B26">
        <w:rPr>
          <w:rFonts w:ascii="Calibri" w:hAnsi="Calibri" w:cs="Calibri"/>
          <w:bCs/>
          <w:sz w:val="22"/>
          <w:szCs w:val="22"/>
        </w:rPr>
        <w:t xml:space="preserve">, sendo R$ </w:t>
      </w:r>
      <w:r w:rsidR="009B2CA0" w:rsidRPr="000B1B26">
        <w:rPr>
          <w:rFonts w:ascii="Calibri" w:hAnsi="Calibri" w:cs="Calibri"/>
          <w:bCs/>
          <w:sz w:val="22"/>
          <w:szCs w:val="22"/>
        </w:rPr>
        <w:t>1</w:t>
      </w:r>
      <w:r w:rsidR="000B1B26">
        <w:rPr>
          <w:rFonts w:ascii="Calibri" w:hAnsi="Calibri" w:cs="Calibri"/>
          <w:bCs/>
          <w:sz w:val="22"/>
          <w:szCs w:val="22"/>
        </w:rPr>
        <w:t>,</w:t>
      </w:r>
      <w:r w:rsidR="00077F70">
        <w:rPr>
          <w:rFonts w:ascii="Calibri" w:hAnsi="Calibri" w:cs="Calibri"/>
          <w:bCs/>
          <w:sz w:val="22"/>
          <w:szCs w:val="22"/>
        </w:rPr>
        <w:t>22</w:t>
      </w:r>
      <w:r w:rsidR="009B2CA0" w:rsidRPr="000B1B26">
        <w:rPr>
          <w:rFonts w:ascii="Calibri" w:hAnsi="Calibri" w:cs="Calibri"/>
          <w:bCs/>
          <w:sz w:val="22"/>
          <w:szCs w:val="22"/>
        </w:rPr>
        <w:t xml:space="preserve"> </w:t>
      </w:r>
      <w:r w:rsidRPr="000B1B26">
        <w:rPr>
          <w:rFonts w:ascii="Calibri" w:hAnsi="Calibri" w:cs="Calibri"/>
          <w:bCs/>
          <w:sz w:val="22"/>
          <w:szCs w:val="22"/>
        </w:rPr>
        <w:t>mil</w:t>
      </w:r>
      <w:r w:rsidR="009B2CA0" w:rsidRPr="000B1B26">
        <w:rPr>
          <w:rFonts w:ascii="Calibri" w:hAnsi="Calibri" w:cs="Calibri"/>
          <w:bCs/>
          <w:sz w:val="22"/>
          <w:szCs w:val="22"/>
        </w:rPr>
        <w:t>hão</w:t>
      </w:r>
      <w:r w:rsidRPr="000B1B26">
        <w:rPr>
          <w:rFonts w:ascii="Calibri" w:hAnsi="Calibri" w:cs="Calibri"/>
          <w:bCs/>
          <w:sz w:val="22"/>
          <w:szCs w:val="22"/>
        </w:rPr>
        <w:t xml:space="preserve"> </w:t>
      </w:r>
      <w:r w:rsidR="009705E6" w:rsidRPr="000B1B26">
        <w:rPr>
          <w:rFonts w:ascii="Calibri" w:hAnsi="Calibri" w:cs="Calibri"/>
          <w:bCs/>
          <w:sz w:val="22"/>
          <w:szCs w:val="22"/>
        </w:rPr>
        <w:t>em</w:t>
      </w:r>
      <w:r w:rsidRPr="000B1B26">
        <w:rPr>
          <w:rFonts w:ascii="Calibri" w:hAnsi="Calibri" w:cs="Calibri"/>
          <w:bCs/>
          <w:sz w:val="22"/>
          <w:szCs w:val="22"/>
        </w:rPr>
        <w:t xml:space="preserve"> </w:t>
      </w:r>
      <w:r w:rsidR="00D230AF" w:rsidRPr="000B1B26">
        <w:rPr>
          <w:rFonts w:ascii="Calibri" w:hAnsi="Calibri" w:cs="Calibri"/>
          <w:bCs/>
          <w:sz w:val="22"/>
          <w:szCs w:val="22"/>
        </w:rPr>
        <w:t>créditos de PIS e COFINS</w:t>
      </w:r>
      <w:r w:rsidRPr="000B1B26">
        <w:rPr>
          <w:rFonts w:ascii="Calibri" w:hAnsi="Calibri" w:cs="Calibri"/>
          <w:bCs/>
          <w:sz w:val="22"/>
          <w:szCs w:val="22"/>
        </w:rPr>
        <w:t xml:space="preserve"> e R$ </w:t>
      </w:r>
      <w:r w:rsidR="001F73F1">
        <w:rPr>
          <w:rFonts w:ascii="Calibri" w:hAnsi="Calibri" w:cs="Calibri"/>
          <w:bCs/>
          <w:sz w:val="22"/>
          <w:szCs w:val="22"/>
        </w:rPr>
        <w:t>441</w:t>
      </w:r>
      <w:r w:rsidRPr="000B1B26">
        <w:rPr>
          <w:rFonts w:ascii="Calibri" w:hAnsi="Calibri" w:cs="Calibri"/>
          <w:bCs/>
          <w:sz w:val="22"/>
          <w:szCs w:val="22"/>
        </w:rPr>
        <w:t xml:space="preserve"> mil em créditos previdenciários.</w:t>
      </w:r>
    </w:p>
    <w:p w14:paraId="099DBF6D" w14:textId="77777777" w:rsidR="00FA0D6A" w:rsidRPr="000B1B26" w:rsidRDefault="00FA0D6A" w:rsidP="00937ED9">
      <w:pPr>
        <w:spacing w:after="120"/>
        <w:jc w:val="both"/>
        <w:rPr>
          <w:rFonts w:ascii="Calibri" w:hAnsi="Calibri" w:cs="Calibri"/>
          <w:b/>
          <w:sz w:val="22"/>
          <w:szCs w:val="22"/>
        </w:rPr>
      </w:pPr>
      <w:r w:rsidRPr="000B1B26">
        <w:rPr>
          <w:rFonts w:ascii="Calibri" w:hAnsi="Calibri" w:cs="Calibri"/>
          <w:b/>
          <w:sz w:val="22"/>
          <w:szCs w:val="22"/>
        </w:rPr>
        <w:t xml:space="preserve">b.1) </w:t>
      </w:r>
      <w:r w:rsidR="00250E26" w:rsidRPr="000B1B26">
        <w:rPr>
          <w:rFonts w:ascii="Calibri" w:hAnsi="Calibri" w:cs="Calibri"/>
          <w:b/>
          <w:sz w:val="22"/>
          <w:szCs w:val="22"/>
        </w:rPr>
        <w:t>Tributos</w:t>
      </w:r>
      <w:r w:rsidRPr="000B1B26">
        <w:rPr>
          <w:rFonts w:ascii="Calibri" w:hAnsi="Calibri" w:cs="Calibri"/>
          <w:b/>
          <w:sz w:val="22"/>
          <w:szCs w:val="22"/>
        </w:rPr>
        <w:t xml:space="preserve"> a Compensar</w:t>
      </w:r>
    </w:p>
    <w:p w14:paraId="65CB6546" w14:textId="4F5CCD64" w:rsidR="00250E26" w:rsidRDefault="00250E26" w:rsidP="00937ED9">
      <w:pPr>
        <w:spacing w:after="120"/>
        <w:jc w:val="both"/>
        <w:rPr>
          <w:rFonts w:ascii="Calibri" w:hAnsi="Calibri" w:cs="Calibri"/>
          <w:sz w:val="22"/>
          <w:szCs w:val="22"/>
        </w:rPr>
      </w:pPr>
      <w:r w:rsidRPr="000B1B26">
        <w:rPr>
          <w:rFonts w:ascii="Calibri" w:hAnsi="Calibri" w:cs="Calibri"/>
          <w:sz w:val="22"/>
          <w:szCs w:val="22"/>
        </w:rPr>
        <w:t>De acordo com o art. 1º da Lei</w:t>
      </w:r>
      <w:r w:rsidR="00750CA7" w:rsidRPr="000B1B26">
        <w:rPr>
          <w:rFonts w:ascii="Calibri" w:hAnsi="Calibri" w:cs="Calibri"/>
          <w:sz w:val="22"/>
          <w:szCs w:val="22"/>
        </w:rPr>
        <w:t xml:space="preserve"> nº</w:t>
      </w:r>
      <w:r w:rsidRPr="000B1B26">
        <w:rPr>
          <w:rFonts w:ascii="Calibri" w:hAnsi="Calibri" w:cs="Calibri"/>
          <w:sz w:val="22"/>
          <w:szCs w:val="22"/>
        </w:rPr>
        <w:t xml:space="preserve"> 10.637</w:t>
      </w:r>
      <w:r w:rsidR="00750CA7" w:rsidRPr="000B1B26">
        <w:rPr>
          <w:rFonts w:ascii="Calibri" w:hAnsi="Calibri" w:cs="Calibri"/>
          <w:sz w:val="22"/>
          <w:szCs w:val="22"/>
        </w:rPr>
        <w:t xml:space="preserve">, de 30 de dezembro de </w:t>
      </w:r>
      <w:r w:rsidRPr="000B1B26">
        <w:rPr>
          <w:rFonts w:ascii="Calibri" w:hAnsi="Calibri" w:cs="Calibri"/>
          <w:sz w:val="22"/>
          <w:szCs w:val="22"/>
        </w:rPr>
        <w:t>2002 e art. 1º da Lei</w:t>
      </w:r>
      <w:r w:rsidR="00750CA7" w:rsidRPr="000B1B26">
        <w:rPr>
          <w:rFonts w:ascii="Calibri" w:hAnsi="Calibri" w:cs="Calibri"/>
          <w:sz w:val="22"/>
          <w:szCs w:val="22"/>
        </w:rPr>
        <w:t xml:space="preserve"> nº</w:t>
      </w:r>
      <w:r w:rsidRPr="000B1B26">
        <w:rPr>
          <w:rFonts w:ascii="Calibri" w:hAnsi="Calibri" w:cs="Calibri"/>
          <w:sz w:val="22"/>
          <w:szCs w:val="22"/>
        </w:rPr>
        <w:t xml:space="preserve"> 10.833</w:t>
      </w:r>
      <w:r w:rsidR="00750CA7" w:rsidRPr="000B1B26">
        <w:rPr>
          <w:rFonts w:ascii="Calibri" w:hAnsi="Calibri" w:cs="Calibri"/>
          <w:sz w:val="22"/>
          <w:szCs w:val="22"/>
        </w:rPr>
        <w:t xml:space="preserve">, de 29 de dezembro de </w:t>
      </w:r>
      <w:r w:rsidRPr="000B1B26">
        <w:rPr>
          <w:rFonts w:ascii="Calibri" w:hAnsi="Calibri" w:cs="Calibri"/>
          <w:sz w:val="22"/>
          <w:szCs w:val="22"/>
        </w:rPr>
        <w:t>2003, a base de cálculo da apuração do PIS e da COFINS pelo regime não-cumulativo é o total das receitas auferidas no mês, excluídas as situações previstas em lei. As referidas leis, em seu art. 3º, preveem a possibilidade de aproveitamento de créditos de PIS (1,65%) e COFINS (7,6%) sobre “aluguéis de prédios, máquinas e equipamentos e energia elétrica ou térmica</w:t>
      </w:r>
      <w:r w:rsidR="00550C84" w:rsidRPr="000B1B26">
        <w:rPr>
          <w:rFonts w:ascii="Calibri" w:hAnsi="Calibri" w:cs="Calibri"/>
          <w:sz w:val="22"/>
          <w:szCs w:val="22"/>
        </w:rPr>
        <w:t>, além das despesas com depreciações e amortizações</w:t>
      </w:r>
      <w:r w:rsidRPr="000B1B26">
        <w:rPr>
          <w:rFonts w:ascii="Calibri" w:hAnsi="Calibri" w:cs="Calibri"/>
          <w:sz w:val="22"/>
          <w:szCs w:val="22"/>
        </w:rPr>
        <w:t xml:space="preserve">”. Assim, </w:t>
      </w:r>
      <w:r w:rsidR="000B1B26">
        <w:rPr>
          <w:rFonts w:ascii="Calibri" w:hAnsi="Calibri" w:cs="Calibri"/>
          <w:sz w:val="22"/>
          <w:szCs w:val="22"/>
        </w:rPr>
        <w:t>em 3</w:t>
      </w:r>
      <w:r w:rsidR="00077F70">
        <w:rPr>
          <w:rFonts w:ascii="Calibri" w:hAnsi="Calibri" w:cs="Calibri"/>
          <w:sz w:val="22"/>
          <w:szCs w:val="22"/>
        </w:rPr>
        <w:t>0</w:t>
      </w:r>
      <w:r w:rsidR="000B1B26">
        <w:rPr>
          <w:rFonts w:ascii="Calibri" w:hAnsi="Calibri" w:cs="Calibri"/>
          <w:sz w:val="22"/>
          <w:szCs w:val="22"/>
        </w:rPr>
        <w:t xml:space="preserve"> de </w:t>
      </w:r>
      <w:r w:rsidR="00077F70">
        <w:rPr>
          <w:rFonts w:ascii="Calibri" w:hAnsi="Calibri" w:cs="Calibri"/>
          <w:sz w:val="22"/>
          <w:szCs w:val="22"/>
        </w:rPr>
        <w:t>junh</w:t>
      </w:r>
      <w:r w:rsidR="000B1B26">
        <w:rPr>
          <w:rFonts w:ascii="Calibri" w:hAnsi="Calibri" w:cs="Calibri"/>
          <w:sz w:val="22"/>
          <w:szCs w:val="22"/>
        </w:rPr>
        <w:t xml:space="preserve">o de 2022 </w:t>
      </w:r>
      <w:r w:rsidRPr="000B1B26">
        <w:rPr>
          <w:rFonts w:ascii="Calibri" w:hAnsi="Calibri" w:cs="Calibri"/>
          <w:sz w:val="22"/>
          <w:szCs w:val="22"/>
        </w:rPr>
        <w:t xml:space="preserve">o saldo de crédito de PIS </w:t>
      </w:r>
      <w:r w:rsidR="000B1B26">
        <w:rPr>
          <w:rFonts w:ascii="Calibri" w:hAnsi="Calibri" w:cs="Calibri"/>
          <w:sz w:val="22"/>
          <w:szCs w:val="22"/>
        </w:rPr>
        <w:t xml:space="preserve">era </w:t>
      </w:r>
      <w:r w:rsidRPr="000B1B26">
        <w:rPr>
          <w:rFonts w:ascii="Calibri" w:hAnsi="Calibri" w:cs="Calibri"/>
          <w:sz w:val="22"/>
          <w:szCs w:val="22"/>
        </w:rPr>
        <w:t xml:space="preserve">de R$ </w:t>
      </w:r>
      <w:r w:rsidR="00077F70">
        <w:rPr>
          <w:rFonts w:ascii="Calibri" w:hAnsi="Calibri" w:cs="Calibri"/>
          <w:sz w:val="22"/>
          <w:szCs w:val="22"/>
        </w:rPr>
        <w:t>220</w:t>
      </w:r>
      <w:r w:rsidRPr="000B1B26">
        <w:rPr>
          <w:rFonts w:ascii="Calibri" w:hAnsi="Calibri" w:cs="Calibri"/>
          <w:sz w:val="22"/>
          <w:szCs w:val="22"/>
        </w:rPr>
        <w:t xml:space="preserve"> mil e </w:t>
      </w:r>
      <w:r w:rsidR="000B1B26">
        <w:rPr>
          <w:rFonts w:ascii="Calibri" w:hAnsi="Calibri" w:cs="Calibri"/>
          <w:sz w:val="22"/>
          <w:szCs w:val="22"/>
        </w:rPr>
        <w:t xml:space="preserve">de </w:t>
      </w:r>
      <w:r w:rsidRPr="000B1B26">
        <w:rPr>
          <w:rFonts w:ascii="Calibri" w:hAnsi="Calibri" w:cs="Calibri"/>
          <w:sz w:val="22"/>
          <w:szCs w:val="22"/>
        </w:rPr>
        <w:t xml:space="preserve">COFINS </w:t>
      </w:r>
      <w:r w:rsidR="000B1B26">
        <w:rPr>
          <w:rFonts w:ascii="Calibri" w:hAnsi="Calibri" w:cs="Calibri"/>
          <w:sz w:val="22"/>
          <w:szCs w:val="22"/>
        </w:rPr>
        <w:t xml:space="preserve">era </w:t>
      </w:r>
      <w:r w:rsidRPr="000B1B26">
        <w:rPr>
          <w:rFonts w:ascii="Calibri" w:hAnsi="Calibri" w:cs="Calibri"/>
          <w:sz w:val="22"/>
          <w:szCs w:val="22"/>
        </w:rPr>
        <w:t>de R$</w:t>
      </w:r>
      <w:r w:rsidR="00D20248">
        <w:rPr>
          <w:rFonts w:ascii="Calibri" w:hAnsi="Calibri" w:cs="Calibri"/>
          <w:sz w:val="22"/>
          <w:szCs w:val="22"/>
        </w:rPr>
        <w:t xml:space="preserve"> </w:t>
      </w:r>
      <w:r w:rsidR="00077F70">
        <w:rPr>
          <w:rFonts w:ascii="Calibri" w:hAnsi="Calibri" w:cs="Calibri"/>
          <w:sz w:val="22"/>
          <w:szCs w:val="22"/>
        </w:rPr>
        <w:t>1,0</w:t>
      </w:r>
      <w:r w:rsidR="00D20248">
        <w:rPr>
          <w:rFonts w:ascii="Calibri" w:hAnsi="Calibri" w:cs="Calibri"/>
          <w:sz w:val="22"/>
          <w:szCs w:val="22"/>
        </w:rPr>
        <w:t>1</w:t>
      </w:r>
      <w:r w:rsidRPr="000B1B26">
        <w:rPr>
          <w:rFonts w:ascii="Calibri" w:hAnsi="Calibri" w:cs="Calibri"/>
          <w:sz w:val="22"/>
          <w:szCs w:val="22"/>
        </w:rPr>
        <w:t xml:space="preserve"> mil</w:t>
      </w:r>
      <w:r w:rsidR="00077F70">
        <w:rPr>
          <w:rFonts w:ascii="Calibri" w:hAnsi="Calibri" w:cs="Calibri"/>
          <w:sz w:val="22"/>
          <w:szCs w:val="22"/>
        </w:rPr>
        <w:t>hão</w:t>
      </w:r>
      <w:r w:rsidRPr="000B1B26">
        <w:rPr>
          <w:rFonts w:ascii="Calibri" w:hAnsi="Calibri" w:cs="Calibri"/>
          <w:sz w:val="22"/>
          <w:szCs w:val="22"/>
        </w:rPr>
        <w:t xml:space="preserve"> a serem </w:t>
      </w:r>
      <w:r w:rsidR="00D230AF" w:rsidRPr="000B1B26">
        <w:rPr>
          <w:rFonts w:ascii="Calibri" w:hAnsi="Calibri" w:cs="Calibri"/>
          <w:sz w:val="22"/>
          <w:szCs w:val="22"/>
        </w:rPr>
        <w:t>compensados</w:t>
      </w:r>
      <w:r w:rsidRPr="000B1B26">
        <w:rPr>
          <w:rFonts w:ascii="Calibri" w:hAnsi="Calibri" w:cs="Calibri"/>
          <w:sz w:val="22"/>
          <w:szCs w:val="22"/>
        </w:rPr>
        <w:t xml:space="preserve"> em </w:t>
      </w:r>
      <w:r w:rsidR="0092389C" w:rsidRPr="000B1B26">
        <w:rPr>
          <w:rFonts w:ascii="Calibri" w:hAnsi="Calibri" w:cs="Calibri"/>
          <w:sz w:val="22"/>
          <w:szCs w:val="22"/>
        </w:rPr>
        <w:t>períodos</w:t>
      </w:r>
      <w:r w:rsidRPr="000B1B26">
        <w:rPr>
          <w:rFonts w:ascii="Calibri" w:hAnsi="Calibri" w:cs="Calibri"/>
          <w:sz w:val="22"/>
          <w:szCs w:val="22"/>
        </w:rPr>
        <w:t xml:space="preserve"> posteriores</w:t>
      </w:r>
      <w:r w:rsidR="00987B82" w:rsidRPr="000B1B26">
        <w:rPr>
          <w:rFonts w:ascii="Calibri" w:hAnsi="Calibri" w:cs="Calibri"/>
          <w:sz w:val="22"/>
          <w:szCs w:val="22"/>
        </w:rPr>
        <w:t>:</w:t>
      </w:r>
    </w:p>
    <w:tbl>
      <w:tblPr>
        <w:tblW w:w="5000" w:type="pct"/>
        <w:tblCellMar>
          <w:left w:w="70" w:type="dxa"/>
          <w:right w:w="70" w:type="dxa"/>
        </w:tblCellMar>
        <w:tblLook w:val="04A0" w:firstRow="1" w:lastRow="0" w:firstColumn="1" w:lastColumn="0" w:noHBand="0" w:noVBand="1"/>
      </w:tblPr>
      <w:tblGrid>
        <w:gridCol w:w="3127"/>
        <w:gridCol w:w="1836"/>
        <w:gridCol w:w="1836"/>
        <w:gridCol w:w="1836"/>
        <w:gridCol w:w="1832"/>
      </w:tblGrid>
      <w:tr w:rsidR="00F731F8" w:rsidRPr="000B1B26" w14:paraId="07911491" w14:textId="77777777" w:rsidTr="000B1B26">
        <w:trPr>
          <w:trHeight w:hRule="exact" w:val="227"/>
        </w:trPr>
        <w:tc>
          <w:tcPr>
            <w:tcW w:w="1494" w:type="pct"/>
            <w:tcBorders>
              <w:top w:val="nil"/>
              <w:left w:val="nil"/>
              <w:bottom w:val="single" w:sz="8" w:space="0" w:color="auto"/>
              <w:right w:val="nil"/>
            </w:tcBorders>
            <w:shd w:val="clear" w:color="auto" w:fill="auto"/>
            <w:noWrap/>
            <w:vAlign w:val="center"/>
            <w:hideMark/>
          </w:tcPr>
          <w:p w14:paraId="609155A2" w14:textId="77777777" w:rsidR="00F731F8" w:rsidRPr="000B1B26" w:rsidRDefault="00F731F8" w:rsidP="00937ED9">
            <w:pPr>
              <w:spacing w:after="120"/>
              <w:rPr>
                <w:rFonts w:ascii="Calibri" w:hAnsi="Calibri" w:cs="Calibri"/>
                <w:b/>
                <w:bCs/>
                <w:color w:val="000000"/>
                <w:sz w:val="16"/>
                <w:szCs w:val="16"/>
              </w:rPr>
            </w:pPr>
            <w:r w:rsidRPr="000B1B26">
              <w:rPr>
                <w:rFonts w:ascii="Calibri" w:hAnsi="Calibri" w:cs="Calibri"/>
                <w:b/>
                <w:bCs/>
                <w:color w:val="000000"/>
                <w:sz w:val="16"/>
                <w:szCs w:val="16"/>
              </w:rPr>
              <w:t>TRIBUTOS A COMPENSAR</w:t>
            </w:r>
          </w:p>
        </w:tc>
        <w:tc>
          <w:tcPr>
            <w:tcW w:w="877" w:type="pct"/>
            <w:tcBorders>
              <w:top w:val="nil"/>
              <w:left w:val="nil"/>
              <w:bottom w:val="single" w:sz="8" w:space="0" w:color="auto"/>
              <w:right w:val="nil"/>
            </w:tcBorders>
            <w:shd w:val="clear" w:color="auto" w:fill="auto"/>
            <w:vAlign w:val="center"/>
            <w:hideMark/>
          </w:tcPr>
          <w:p w14:paraId="428F0E5B" w14:textId="1F652C08" w:rsidR="00F731F8" w:rsidRPr="000B1B26" w:rsidRDefault="00F731F8" w:rsidP="00937ED9">
            <w:pPr>
              <w:spacing w:after="120"/>
              <w:jc w:val="right"/>
              <w:rPr>
                <w:rFonts w:ascii="Calibri" w:hAnsi="Calibri" w:cs="Calibri"/>
                <w:b/>
                <w:bCs/>
                <w:color w:val="000000"/>
                <w:sz w:val="16"/>
                <w:szCs w:val="16"/>
              </w:rPr>
            </w:pPr>
            <w:r w:rsidRPr="000B1B26">
              <w:rPr>
                <w:rFonts w:ascii="Calibri" w:hAnsi="Calibri" w:cs="Calibri"/>
                <w:b/>
                <w:bCs/>
                <w:color w:val="000000"/>
                <w:sz w:val="16"/>
                <w:szCs w:val="16"/>
              </w:rPr>
              <w:t>Saldo em 31/12/202</w:t>
            </w:r>
            <w:r w:rsidR="000B1B26">
              <w:rPr>
                <w:rFonts w:ascii="Calibri" w:hAnsi="Calibri" w:cs="Calibri"/>
                <w:b/>
                <w:bCs/>
                <w:color w:val="000000"/>
                <w:sz w:val="16"/>
                <w:szCs w:val="16"/>
              </w:rPr>
              <w:t>1</w:t>
            </w:r>
          </w:p>
        </w:tc>
        <w:tc>
          <w:tcPr>
            <w:tcW w:w="877" w:type="pct"/>
            <w:tcBorders>
              <w:top w:val="nil"/>
              <w:left w:val="nil"/>
              <w:bottom w:val="single" w:sz="8" w:space="0" w:color="auto"/>
              <w:right w:val="nil"/>
            </w:tcBorders>
            <w:shd w:val="clear" w:color="auto" w:fill="auto"/>
            <w:vAlign w:val="center"/>
            <w:hideMark/>
          </w:tcPr>
          <w:p w14:paraId="05267F1F" w14:textId="77777777" w:rsidR="00F731F8" w:rsidRPr="000B1B26" w:rsidRDefault="00F731F8" w:rsidP="00937ED9">
            <w:pPr>
              <w:spacing w:after="120"/>
              <w:jc w:val="right"/>
              <w:rPr>
                <w:rFonts w:ascii="Calibri" w:hAnsi="Calibri" w:cs="Calibri"/>
                <w:b/>
                <w:bCs/>
                <w:color w:val="000000"/>
                <w:sz w:val="16"/>
                <w:szCs w:val="16"/>
              </w:rPr>
            </w:pPr>
            <w:r w:rsidRPr="000B1B26">
              <w:rPr>
                <w:rFonts w:ascii="Calibri" w:hAnsi="Calibri" w:cs="Calibri"/>
                <w:b/>
                <w:bCs/>
                <w:color w:val="000000"/>
                <w:sz w:val="16"/>
                <w:szCs w:val="16"/>
              </w:rPr>
              <w:t>Ingresso</w:t>
            </w:r>
          </w:p>
        </w:tc>
        <w:tc>
          <w:tcPr>
            <w:tcW w:w="877" w:type="pct"/>
            <w:tcBorders>
              <w:top w:val="nil"/>
              <w:left w:val="nil"/>
              <w:bottom w:val="single" w:sz="8" w:space="0" w:color="auto"/>
              <w:right w:val="nil"/>
            </w:tcBorders>
            <w:shd w:val="clear" w:color="auto" w:fill="auto"/>
            <w:vAlign w:val="center"/>
            <w:hideMark/>
          </w:tcPr>
          <w:p w14:paraId="30E7755F" w14:textId="46952F97" w:rsidR="00F731F8" w:rsidRPr="000B1B26" w:rsidRDefault="003B2ACE" w:rsidP="00937ED9">
            <w:pPr>
              <w:spacing w:after="120"/>
              <w:jc w:val="right"/>
              <w:rPr>
                <w:rFonts w:ascii="Calibri" w:hAnsi="Calibri" w:cs="Calibri"/>
                <w:b/>
                <w:bCs/>
                <w:color w:val="000000"/>
                <w:sz w:val="16"/>
                <w:szCs w:val="16"/>
              </w:rPr>
            </w:pPr>
            <w:r>
              <w:rPr>
                <w:rFonts w:ascii="Calibri" w:hAnsi="Calibri" w:cs="Calibri"/>
                <w:b/>
                <w:bCs/>
                <w:color w:val="000000"/>
                <w:sz w:val="16"/>
                <w:szCs w:val="16"/>
              </w:rPr>
              <w:t>Compensado</w:t>
            </w:r>
          </w:p>
        </w:tc>
        <w:tc>
          <w:tcPr>
            <w:tcW w:w="875" w:type="pct"/>
            <w:tcBorders>
              <w:top w:val="nil"/>
              <w:left w:val="nil"/>
              <w:bottom w:val="single" w:sz="8" w:space="0" w:color="auto"/>
              <w:right w:val="nil"/>
            </w:tcBorders>
            <w:shd w:val="clear" w:color="auto" w:fill="auto"/>
            <w:vAlign w:val="center"/>
            <w:hideMark/>
          </w:tcPr>
          <w:p w14:paraId="3A8E7E53" w14:textId="718B83E4" w:rsidR="00F731F8" w:rsidRPr="000B1B26" w:rsidRDefault="00F731F8" w:rsidP="00937ED9">
            <w:pPr>
              <w:spacing w:after="120"/>
              <w:jc w:val="right"/>
              <w:rPr>
                <w:rFonts w:ascii="Calibri" w:hAnsi="Calibri" w:cs="Calibri"/>
                <w:b/>
                <w:bCs/>
                <w:color w:val="000000"/>
                <w:sz w:val="16"/>
                <w:szCs w:val="16"/>
              </w:rPr>
            </w:pPr>
            <w:r w:rsidRPr="000B1B26">
              <w:rPr>
                <w:rFonts w:ascii="Calibri" w:hAnsi="Calibri" w:cs="Calibri"/>
                <w:b/>
                <w:bCs/>
                <w:color w:val="000000"/>
                <w:sz w:val="16"/>
                <w:szCs w:val="16"/>
              </w:rPr>
              <w:t>Saldo em 3</w:t>
            </w:r>
            <w:r w:rsidR="00077F70">
              <w:rPr>
                <w:rFonts w:ascii="Calibri" w:hAnsi="Calibri" w:cs="Calibri"/>
                <w:b/>
                <w:bCs/>
                <w:color w:val="000000"/>
                <w:sz w:val="16"/>
                <w:szCs w:val="16"/>
              </w:rPr>
              <w:t>0</w:t>
            </w:r>
            <w:r w:rsidRPr="000B1B26">
              <w:rPr>
                <w:rFonts w:ascii="Calibri" w:hAnsi="Calibri" w:cs="Calibri"/>
                <w:b/>
                <w:bCs/>
                <w:color w:val="000000"/>
                <w:sz w:val="16"/>
                <w:szCs w:val="16"/>
              </w:rPr>
              <w:t>/</w:t>
            </w:r>
            <w:r w:rsidR="00FC0EC1">
              <w:rPr>
                <w:rFonts w:ascii="Calibri" w:hAnsi="Calibri" w:cs="Calibri"/>
                <w:b/>
                <w:bCs/>
                <w:color w:val="000000"/>
                <w:sz w:val="16"/>
                <w:szCs w:val="16"/>
              </w:rPr>
              <w:t>0</w:t>
            </w:r>
            <w:r w:rsidR="00077F70">
              <w:rPr>
                <w:rFonts w:ascii="Calibri" w:hAnsi="Calibri" w:cs="Calibri"/>
                <w:b/>
                <w:bCs/>
                <w:color w:val="000000"/>
                <w:sz w:val="16"/>
                <w:szCs w:val="16"/>
              </w:rPr>
              <w:t>6</w:t>
            </w:r>
            <w:r w:rsidRPr="000B1B26">
              <w:rPr>
                <w:rFonts w:ascii="Calibri" w:hAnsi="Calibri" w:cs="Calibri"/>
                <w:b/>
                <w:bCs/>
                <w:color w:val="000000"/>
                <w:sz w:val="16"/>
                <w:szCs w:val="16"/>
              </w:rPr>
              <w:t>/202</w:t>
            </w:r>
            <w:r w:rsidR="00FC0EC1">
              <w:rPr>
                <w:rFonts w:ascii="Calibri" w:hAnsi="Calibri" w:cs="Calibri"/>
                <w:b/>
                <w:bCs/>
                <w:color w:val="000000"/>
                <w:sz w:val="16"/>
                <w:szCs w:val="16"/>
              </w:rPr>
              <w:t>2</w:t>
            </w:r>
          </w:p>
        </w:tc>
      </w:tr>
      <w:tr w:rsidR="000B1B26" w:rsidRPr="000B1B26" w14:paraId="50E3C179" w14:textId="77777777" w:rsidTr="000B1B26">
        <w:trPr>
          <w:trHeight w:hRule="exact" w:val="227"/>
        </w:trPr>
        <w:tc>
          <w:tcPr>
            <w:tcW w:w="1494" w:type="pct"/>
            <w:tcBorders>
              <w:top w:val="nil"/>
              <w:left w:val="nil"/>
              <w:bottom w:val="nil"/>
              <w:right w:val="nil"/>
            </w:tcBorders>
            <w:shd w:val="clear" w:color="auto" w:fill="auto"/>
            <w:noWrap/>
            <w:vAlign w:val="center"/>
            <w:hideMark/>
          </w:tcPr>
          <w:p w14:paraId="63CEAD0E" w14:textId="77777777" w:rsidR="000B1B26" w:rsidRPr="000B1B26" w:rsidRDefault="000B1B26" w:rsidP="000B1B26">
            <w:pPr>
              <w:spacing w:after="120"/>
              <w:rPr>
                <w:rFonts w:ascii="Calibri" w:hAnsi="Calibri" w:cs="Calibri"/>
                <w:color w:val="000000"/>
                <w:sz w:val="16"/>
                <w:szCs w:val="16"/>
              </w:rPr>
            </w:pPr>
            <w:r w:rsidRPr="000B1B26">
              <w:rPr>
                <w:rFonts w:ascii="Calibri" w:hAnsi="Calibri" w:cs="Calibri"/>
                <w:color w:val="000000"/>
                <w:sz w:val="16"/>
                <w:szCs w:val="16"/>
              </w:rPr>
              <w:t>COFINS a Compensar</w:t>
            </w:r>
          </w:p>
        </w:tc>
        <w:tc>
          <w:tcPr>
            <w:tcW w:w="877" w:type="pct"/>
            <w:tcBorders>
              <w:top w:val="nil"/>
              <w:left w:val="nil"/>
              <w:bottom w:val="nil"/>
              <w:right w:val="nil"/>
            </w:tcBorders>
            <w:shd w:val="clear" w:color="auto" w:fill="auto"/>
            <w:noWrap/>
            <w:vAlign w:val="center"/>
            <w:hideMark/>
          </w:tcPr>
          <w:p w14:paraId="0AD1DCA3" w14:textId="6ACED587" w:rsidR="000B1B26" w:rsidRPr="000B1B26" w:rsidRDefault="000B1B26" w:rsidP="000B1B26">
            <w:pPr>
              <w:spacing w:after="120"/>
              <w:jc w:val="right"/>
              <w:rPr>
                <w:rFonts w:ascii="Calibri" w:hAnsi="Calibri" w:cs="Calibri"/>
                <w:color w:val="000000"/>
                <w:sz w:val="16"/>
                <w:szCs w:val="16"/>
              </w:rPr>
            </w:pPr>
            <w:r w:rsidRPr="000B1B26">
              <w:rPr>
                <w:rFonts w:ascii="Calibri" w:hAnsi="Calibri" w:cs="Calibri"/>
                <w:color w:val="000000"/>
                <w:sz w:val="16"/>
                <w:szCs w:val="16"/>
              </w:rPr>
              <w:t>821.965</w:t>
            </w:r>
          </w:p>
        </w:tc>
        <w:tc>
          <w:tcPr>
            <w:tcW w:w="877" w:type="pct"/>
            <w:tcBorders>
              <w:top w:val="nil"/>
              <w:left w:val="nil"/>
              <w:bottom w:val="nil"/>
              <w:right w:val="nil"/>
            </w:tcBorders>
            <w:shd w:val="clear" w:color="auto" w:fill="auto"/>
            <w:vAlign w:val="center"/>
            <w:hideMark/>
          </w:tcPr>
          <w:p w14:paraId="300A17EE" w14:textId="7346B20C" w:rsidR="000B1B26" w:rsidRPr="000B1B26" w:rsidRDefault="008028C9" w:rsidP="000B1B26">
            <w:pPr>
              <w:spacing w:after="120"/>
              <w:jc w:val="right"/>
              <w:rPr>
                <w:rFonts w:ascii="Calibri" w:hAnsi="Calibri" w:cs="Calibri"/>
                <w:color w:val="000000"/>
                <w:sz w:val="16"/>
                <w:szCs w:val="16"/>
              </w:rPr>
            </w:pPr>
            <w:r>
              <w:rPr>
                <w:rFonts w:ascii="Calibri" w:hAnsi="Calibri" w:cs="Calibri"/>
                <w:color w:val="000000"/>
                <w:sz w:val="16"/>
                <w:szCs w:val="16"/>
              </w:rPr>
              <w:t>302.482</w:t>
            </w:r>
          </w:p>
        </w:tc>
        <w:tc>
          <w:tcPr>
            <w:tcW w:w="877" w:type="pct"/>
            <w:tcBorders>
              <w:top w:val="nil"/>
              <w:left w:val="nil"/>
              <w:bottom w:val="nil"/>
              <w:right w:val="nil"/>
            </w:tcBorders>
            <w:shd w:val="clear" w:color="auto" w:fill="auto"/>
            <w:vAlign w:val="center"/>
            <w:hideMark/>
          </w:tcPr>
          <w:p w14:paraId="215C7939" w14:textId="37E6D3EB" w:rsidR="008028C9" w:rsidRDefault="000B1B26" w:rsidP="000B1B26">
            <w:pPr>
              <w:spacing w:after="120"/>
              <w:jc w:val="right"/>
              <w:rPr>
                <w:rFonts w:ascii="Calibri" w:hAnsi="Calibri" w:cs="Calibri"/>
                <w:color w:val="000000"/>
                <w:sz w:val="16"/>
                <w:szCs w:val="16"/>
              </w:rPr>
            </w:pPr>
            <w:r w:rsidRPr="000B1B26">
              <w:rPr>
                <w:rFonts w:ascii="Calibri" w:hAnsi="Calibri" w:cs="Calibri"/>
                <w:color w:val="000000"/>
                <w:sz w:val="16"/>
                <w:szCs w:val="16"/>
              </w:rPr>
              <w:t>(</w:t>
            </w:r>
            <w:r w:rsidR="008028C9">
              <w:rPr>
                <w:rFonts w:ascii="Calibri" w:hAnsi="Calibri" w:cs="Calibri"/>
                <w:color w:val="000000"/>
                <w:sz w:val="16"/>
                <w:szCs w:val="16"/>
              </w:rPr>
              <w:t>118</w:t>
            </w:r>
            <w:r>
              <w:rPr>
                <w:rFonts w:ascii="Calibri" w:hAnsi="Calibri" w:cs="Calibri"/>
                <w:color w:val="000000"/>
                <w:sz w:val="16"/>
                <w:szCs w:val="16"/>
              </w:rPr>
              <w:t>.</w:t>
            </w:r>
            <w:r w:rsidR="008028C9">
              <w:rPr>
                <w:rFonts w:ascii="Calibri" w:hAnsi="Calibri" w:cs="Calibri"/>
                <w:color w:val="000000"/>
                <w:sz w:val="16"/>
                <w:szCs w:val="16"/>
              </w:rPr>
              <w:t>647)</w:t>
            </w:r>
          </w:p>
          <w:p w14:paraId="0E44E094" w14:textId="3774972B" w:rsidR="000B1B26" w:rsidRPr="000B1B26" w:rsidRDefault="008028C9" w:rsidP="000B1B26">
            <w:pPr>
              <w:spacing w:after="120"/>
              <w:jc w:val="right"/>
              <w:rPr>
                <w:rFonts w:ascii="Calibri" w:hAnsi="Calibri" w:cs="Calibri"/>
                <w:color w:val="000000"/>
                <w:sz w:val="16"/>
                <w:szCs w:val="16"/>
              </w:rPr>
            </w:pPr>
            <w:r>
              <w:rPr>
                <w:rFonts w:ascii="Calibri" w:hAnsi="Calibri" w:cs="Calibri"/>
                <w:color w:val="000000"/>
                <w:sz w:val="16"/>
                <w:szCs w:val="16"/>
              </w:rPr>
              <w:t>648)</w:t>
            </w:r>
            <w:r w:rsidR="000B1B26">
              <w:rPr>
                <w:rFonts w:ascii="Calibri" w:hAnsi="Calibri" w:cs="Calibri"/>
                <w:color w:val="000000"/>
                <w:sz w:val="16"/>
                <w:szCs w:val="16"/>
              </w:rPr>
              <w:t>167</w:t>
            </w:r>
            <w:r w:rsidR="000B1B26" w:rsidRPr="000B1B26">
              <w:rPr>
                <w:rFonts w:ascii="Calibri" w:hAnsi="Calibri" w:cs="Calibri"/>
                <w:color w:val="000000"/>
                <w:sz w:val="16"/>
                <w:szCs w:val="16"/>
              </w:rPr>
              <w:t>)</w:t>
            </w:r>
          </w:p>
        </w:tc>
        <w:tc>
          <w:tcPr>
            <w:tcW w:w="875" w:type="pct"/>
            <w:tcBorders>
              <w:top w:val="nil"/>
              <w:left w:val="nil"/>
              <w:bottom w:val="nil"/>
              <w:right w:val="nil"/>
            </w:tcBorders>
            <w:shd w:val="clear" w:color="auto" w:fill="auto"/>
            <w:vAlign w:val="center"/>
            <w:hideMark/>
          </w:tcPr>
          <w:p w14:paraId="03683C73" w14:textId="142A697F" w:rsidR="000B1B26" w:rsidRPr="000B1B26" w:rsidRDefault="007B0458" w:rsidP="000B1B26">
            <w:pPr>
              <w:spacing w:after="120"/>
              <w:jc w:val="right"/>
              <w:rPr>
                <w:rFonts w:ascii="Calibri" w:hAnsi="Calibri" w:cs="Calibri"/>
                <w:color w:val="000000"/>
                <w:sz w:val="16"/>
                <w:szCs w:val="16"/>
              </w:rPr>
            </w:pPr>
            <w:r>
              <w:rPr>
                <w:rFonts w:ascii="Calibri" w:hAnsi="Calibri" w:cs="Calibri"/>
                <w:color w:val="000000"/>
                <w:sz w:val="16"/>
                <w:szCs w:val="16"/>
              </w:rPr>
              <w:t>1.005.799</w:t>
            </w:r>
          </w:p>
        </w:tc>
      </w:tr>
      <w:tr w:rsidR="000B1B26" w:rsidRPr="000B1B26" w14:paraId="16B46E6A" w14:textId="77777777" w:rsidTr="000B1B26">
        <w:trPr>
          <w:trHeight w:hRule="exact" w:val="227"/>
        </w:trPr>
        <w:tc>
          <w:tcPr>
            <w:tcW w:w="1494" w:type="pct"/>
            <w:tcBorders>
              <w:top w:val="nil"/>
              <w:left w:val="nil"/>
              <w:bottom w:val="nil"/>
              <w:right w:val="nil"/>
            </w:tcBorders>
            <w:shd w:val="clear" w:color="auto" w:fill="auto"/>
            <w:noWrap/>
            <w:vAlign w:val="center"/>
            <w:hideMark/>
          </w:tcPr>
          <w:p w14:paraId="4C82138D" w14:textId="77777777" w:rsidR="000B1B26" w:rsidRPr="000B1B26" w:rsidRDefault="000B1B26" w:rsidP="000B1B26">
            <w:pPr>
              <w:spacing w:after="120"/>
              <w:rPr>
                <w:rFonts w:ascii="Calibri" w:hAnsi="Calibri" w:cs="Calibri"/>
                <w:color w:val="000000"/>
                <w:sz w:val="16"/>
                <w:szCs w:val="16"/>
              </w:rPr>
            </w:pPr>
            <w:r w:rsidRPr="000B1B26">
              <w:rPr>
                <w:rFonts w:ascii="Calibri" w:hAnsi="Calibri" w:cs="Calibri"/>
                <w:color w:val="000000"/>
                <w:sz w:val="16"/>
                <w:szCs w:val="16"/>
              </w:rPr>
              <w:t>PIS a Compensar</w:t>
            </w:r>
          </w:p>
        </w:tc>
        <w:tc>
          <w:tcPr>
            <w:tcW w:w="877" w:type="pct"/>
            <w:tcBorders>
              <w:top w:val="nil"/>
              <w:left w:val="nil"/>
              <w:bottom w:val="nil"/>
              <w:right w:val="nil"/>
            </w:tcBorders>
            <w:shd w:val="clear" w:color="auto" w:fill="auto"/>
            <w:noWrap/>
            <w:vAlign w:val="center"/>
            <w:hideMark/>
          </w:tcPr>
          <w:p w14:paraId="3534E4D6" w14:textId="5B8EBCE0" w:rsidR="000B1B26" w:rsidRPr="000B1B26" w:rsidRDefault="000B1B26" w:rsidP="000B1B26">
            <w:pPr>
              <w:spacing w:after="120"/>
              <w:jc w:val="right"/>
              <w:rPr>
                <w:rFonts w:ascii="Calibri" w:hAnsi="Calibri" w:cs="Calibri"/>
                <w:color w:val="000000"/>
                <w:sz w:val="16"/>
                <w:szCs w:val="16"/>
              </w:rPr>
            </w:pPr>
            <w:r w:rsidRPr="000B1B26">
              <w:rPr>
                <w:rFonts w:ascii="Calibri" w:hAnsi="Calibri" w:cs="Calibri"/>
                <w:color w:val="000000"/>
                <w:sz w:val="16"/>
                <w:szCs w:val="16"/>
              </w:rPr>
              <w:t>179.544</w:t>
            </w:r>
          </w:p>
        </w:tc>
        <w:tc>
          <w:tcPr>
            <w:tcW w:w="877" w:type="pct"/>
            <w:tcBorders>
              <w:top w:val="nil"/>
              <w:left w:val="nil"/>
              <w:bottom w:val="nil"/>
              <w:right w:val="nil"/>
            </w:tcBorders>
            <w:shd w:val="clear" w:color="auto" w:fill="auto"/>
            <w:vAlign w:val="center"/>
            <w:hideMark/>
          </w:tcPr>
          <w:p w14:paraId="493BACB3" w14:textId="6ECCEAE8" w:rsidR="000B1B26" w:rsidRPr="000B1B26" w:rsidRDefault="008028C9" w:rsidP="000B1B26">
            <w:pPr>
              <w:spacing w:after="120"/>
              <w:jc w:val="right"/>
              <w:rPr>
                <w:rFonts w:ascii="Calibri" w:hAnsi="Calibri" w:cs="Calibri"/>
                <w:color w:val="000000"/>
                <w:sz w:val="16"/>
                <w:szCs w:val="16"/>
              </w:rPr>
            </w:pPr>
            <w:r>
              <w:rPr>
                <w:rFonts w:ascii="Calibri" w:hAnsi="Calibri" w:cs="Calibri"/>
                <w:color w:val="000000"/>
                <w:sz w:val="16"/>
                <w:szCs w:val="16"/>
              </w:rPr>
              <w:t>65.670</w:t>
            </w:r>
          </w:p>
        </w:tc>
        <w:tc>
          <w:tcPr>
            <w:tcW w:w="877" w:type="pct"/>
            <w:tcBorders>
              <w:top w:val="nil"/>
              <w:left w:val="nil"/>
              <w:bottom w:val="nil"/>
              <w:right w:val="nil"/>
            </w:tcBorders>
            <w:shd w:val="clear" w:color="auto" w:fill="auto"/>
            <w:vAlign w:val="center"/>
            <w:hideMark/>
          </w:tcPr>
          <w:p w14:paraId="115D2965" w14:textId="58A3B327" w:rsidR="000B1B26" w:rsidRPr="000B1B26" w:rsidRDefault="000B1B26" w:rsidP="000B1B26">
            <w:pPr>
              <w:spacing w:after="120"/>
              <w:jc w:val="right"/>
              <w:rPr>
                <w:rFonts w:ascii="Calibri" w:hAnsi="Calibri" w:cs="Calibri"/>
                <w:color w:val="000000"/>
                <w:sz w:val="16"/>
                <w:szCs w:val="16"/>
              </w:rPr>
            </w:pPr>
            <w:r w:rsidRPr="000B1B26">
              <w:rPr>
                <w:rFonts w:ascii="Calibri" w:hAnsi="Calibri" w:cs="Calibri"/>
                <w:color w:val="000000"/>
                <w:sz w:val="16"/>
                <w:szCs w:val="16"/>
              </w:rPr>
              <w:t>(</w:t>
            </w:r>
            <w:r w:rsidR="008028C9">
              <w:rPr>
                <w:rFonts w:ascii="Calibri" w:hAnsi="Calibri" w:cs="Calibri"/>
                <w:color w:val="000000"/>
                <w:sz w:val="16"/>
                <w:szCs w:val="16"/>
              </w:rPr>
              <w:t>25.014)</w:t>
            </w:r>
          </w:p>
        </w:tc>
        <w:tc>
          <w:tcPr>
            <w:tcW w:w="875" w:type="pct"/>
            <w:tcBorders>
              <w:top w:val="nil"/>
              <w:left w:val="nil"/>
              <w:bottom w:val="nil"/>
              <w:right w:val="nil"/>
            </w:tcBorders>
            <w:shd w:val="clear" w:color="auto" w:fill="auto"/>
            <w:vAlign w:val="center"/>
            <w:hideMark/>
          </w:tcPr>
          <w:p w14:paraId="3E09BD6A" w14:textId="2C991276" w:rsidR="000B1B26" w:rsidRPr="000B1B26" w:rsidRDefault="007B0458" w:rsidP="000B1B26">
            <w:pPr>
              <w:spacing w:after="120"/>
              <w:jc w:val="right"/>
              <w:rPr>
                <w:rFonts w:ascii="Calibri" w:hAnsi="Calibri" w:cs="Calibri"/>
                <w:color w:val="000000"/>
                <w:sz w:val="16"/>
                <w:szCs w:val="16"/>
              </w:rPr>
            </w:pPr>
            <w:r>
              <w:rPr>
                <w:rFonts w:ascii="Calibri" w:hAnsi="Calibri" w:cs="Calibri"/>
                <w:color w:val="000000"/>
                <w:sz w:val="16"/>
                <w:szCs w:val="16"/>
              </w:rPr>
              <w:t>220.201</w:t>
            </w:r>
          </w:p>
        </w:tc>
      </w:tr>
      <w:tr w:rsidR="00F731F8" w14:paraId="62640809" w14:textId="77777777" w:rsidTr="000B1B26">
        <w:trPr>
          <w:trHeight w:hRule="exact" w:val="227"/>
        </w:trPr>
        <w:tc>
          <w:tcPr>
            <w:tcW w:w="1494" w:type="pct"/>
            <w:tcBorders>
              <w:top w:val="single" w:sz="8" w:space="0" w:color="auto"/>
              <w:left w:val="nil"/>
              <w:bottom w:val="single" w:sz="8" w:space="0" w:color="auto"/>
              <w:right w:val="nil"/>
            </w:tcBorders>
            <w:shd w:val="clear" w:color="auto" w:fill="auto"/>
            <w:noWrap/>
            <w:vAlign w:val="center"/>
            <w:hideMark/>
          </w:tcPr>
          <w:p w14:paraId="49EBB067" w14:textId="77777777" w:rsidR="00F731F8" w:rsidRPr="000B1B26" w:rsidRDefault="00F731F8" w:rsidP="00937ED9">
            <w:pPr>
              <w:spacing w:after="120"/>
              <w:jc w:val="center"/>
              <w:rPr>
                <w:rFonts w:ascii="Calibri" w:hAnsi="Calibri" w:cs="Calibri"/>
                <w:b/>
                <w:bCs/>
                <w:color w:val="000000"/>
                <w:sz w:val="16"/>
                <w:szCs w:val="16"/>
              </w:rPr>
            </w:pPr>
            <w:r w:rsidRPr="000B1B26">
              <w:rPr>
                <w:rFonts w:ascii="Calibri" w:hAnsi="Calibri" w:cs="Calibri"/>
                <w:b/>
                <w:bCs/>
                <w:color w:val="000000"/>
                <w:sz w:val="16"/>
                <w:szCs w:val="16"/>
              </w:rPr>
              <w:t>TOTAL</w:t>
            </w:r>
          </w:p>
        </w:tc>
        <w:tc>
          <w:tcPr>
            <w:tcW w:w="877" w:type="pct"/>
            <w:tcBorders>
              <w:top w:val="single" w:sz="8" w:space="0" w:color="auto"/>
              <w:left w:val="nil"/>
              <w:bottom w:val="single" w:sz="8" w:space="0" w:color="auto"/>
              <w:right w:val="nil"/>
            </w:tcBorders>
            <w:shd w:val="clear" w:color="auto" w:fill="auto"/>
            <w:noWrap/>
            <w:vAlign w:val="center"/>
            <w:hideMark/>
          </w:tcPr>
          <w:p w14:paraId="71DB36EE" w14:textId="3AEC8FFB" w:rsidR="00F731F8" w:rsidRPr="000B1B26" w:rsidRDefault="000B1B26" w:rsidP="00937ED9">
            <w:pPr>
              <w:spacing w:after="120"/>
              <w:jc w:val="right"/>
              <w:rPr>
                <w:rFonts w:ascii="Calibri" w:hAnsi="Calibri" w:cs="Calibri"/>
                <w:b/>
                <w:bCs/>
                <w:color w:val="000000"/>
                <w:sz w:val="16"/>
                <w:szCs w:val="16"/>
              </w:rPr>
            </w:pPr>
            <w:r>
              <w:rPr>
                <w:rFonts w:ascii="Calibri" w:hAnsi="Calibri" w:cs="Calibri"/>
                <w:b/>
                <w:bCs/>
                <w:color w:val="000000"/>
                <w:sz w:val="16"/>
                <w:szCs w:val="16"/>
              </w:rPr>
              <w:t>1.001.509</w:t>
            </w:r>
          </w:p>
        </w:tc>
        <w:tc>
          <w:tcPr>
            <w:tcW w:w="877" w:type="pct"/>
            <w:tcBorders>
              <w:top w:val="single" w:sz="8" w:space="0" w:color="auto"/>
              <w:left w:val="nil"/>
              <w:bottom w:val="single" w:sz="8" w:space="0" w:color="auto"/>
              <w:right w:val="nil"/>
            </w:tcBorders>
            <w:shd w:val="clear" w:color="auto" w:fill="auto"/>
            <w:vAlign w:val="center"/>
            <w:hideMark/>
          </w:tcPr>
          <w:p w14:paraId="01D74EA9" w14:textId="6E294C62" w:rsidR="00F731F8" w:rsidRPr="000B1B26" w:rsidRDefault="008028C9" w:rsidP="00937ED9">
            <w:pPr>
              <w:spacing w:after="120"/>
              <w:jc w:val="right"/>
              <w:rPr>
                <w:rFonts w:ascii="Calibri" w:hAnsi="Calibri" w:cs="Calibri"/>
                <w:b/>
                <w:bCs/>
                <w:color w:val="000000"/>
                <w:sz w:val="16"/>
                <w:szCs w:val="16"/>
              </w:rPr>
            </w:pPr>
            <w:r>
              <w:rPr>
                <w:rFonts w:ascii="Calibri" w:hAnsi="Calibri" w:cs="Calibri"/>
                <w:b/>
                <w:bCs/>
                <w:color w:val="000000"/>
                <w:sz w:val="16"/>
                <w:szCs w:val="16"/>
              </w:rPr>
              <w:t>368.152</w:t>
            </w:r>
          </w:p>
        </w:tc>
        <w:tc>
          <w:tcPr>
            <w:tcW w:w="877" w:type="pct"/>
            <w:tcBorders>
              <w:top w:val="single" w:sz="8" w:space="0" w:color="auto"/>
              <w:left w:val="nil"/>
              <w:bottom w:val="single" w:sz="8" w:space="0" w:color="auto"/>
              <w:right w:val="nil"/>
            </w:tcBorders>
            <w:shd w:val="clear" w:color="auto" w:fill="auto"/>
            <w:vAlign w:val="center"/>
            <w:hideMark/>
          </w:tcPr>
          <w:p w14:paraId="3BF16929" w14:textId="52D07F27" w:rsidR="00F731F8" w:rsidRPr="000B1B26" w:rsidRDefault="00D90DF6" w:rsidP="00937ED9">
            <w:pPr>
              <w:spacing w:after="120"/>
              <w:jc w:val="right"/>
              <w:rPr>
                <w:rFonts w:ascii="Calibri" w:hAnsi="Calibri" w:cs="Calibri"/>
                <w:b/>
                <w:bCs/>
                <w:color w:val="000000"/>
                <w:sz w:val="16"/>
                <w:szCs w:val="16"/>
              </w:rPr>
            </w:pPr>
            <w:r w:rsidRPr="000B1B26">
              <w:rPr>
                <w:rFonts w:ascii="Calibri" w:hAnsi="Calibri" w:cs="Calibri"/>
                <w:b/>
                <w:bCs/>
                <w:color w:val="000000"/>
                <w:sz w:val="16"/>
                <w:szCs w:val="16"/>
              </w:rPr>
              <w:t>(</w:t>
            </w:r>
            <w:r w:rsidR="008028C9">
              <w:rPr>
                <w:rFonts w:ascii="Calibri" w:hAnsi="Calibri" w:cs="Calibri"/>
                <w:b/>
                <w:bCs/>
                <w:color w:val="000000"/>
                <w:sz w:val="16"/>
                <w:szCs w:val="16"/>
              </w:rPr>
              <w:t>143</w:t>
            </w:r>
            <w:r w:rsidR="00543872">
              <w:rPr>
                <w:rFonts w:ascii="Calibri" w:hAnsi="Calibri" w:cs="Calibri"/>
                <w:b/>
                <w:bCs/>
                <w:color w:val="000000"/>
                <w:sz w:val="16"/>
                <w:szCs w:val="16"/>
              </w:rPr>
              <w:t>.</w:t>
            </w:r>
            <w:r w:rsidR="008028C9">
              <w:rPr>
                <w:rFonts w:ascii="Calibri" w:hAnsi="Calibri" w:cs="Calibri"/>
                <w:b/>
                <w:bCs/>
                <w:color w:val="000000"/>
                <w:sz w:val="16"/>
                <w:szCs w:val="16"/>
              </w:rPr>
              <w:t>661</w:t>
            </w:r>
            <w:r w:rsidRPr="000B1B26">
              <w:rPr>
                <w:rFonts w:ascii="Calibri" w:hAnsi="Calibri" w:cs="Calibri"/>
                <w:b/>
                <w:bCs/>
                <w:color w:val="000000"/>
                <w:sz w:val="16"/>
                <w:szCs w:val="16"/>
              </w:rPr>
              <w:t>)</w:t>
            </w:r>
          </w:p>
        </w:tc>
        <w:tc>
          <w:tcPr>
            <w:tcW w:w="875" w:type="pct"/>
            <w:tcBorders>
              <w:top w:val="single" w:sz="8" w:space="0" w:color="auto"/>
              <w:left w:val="nil"/>
              <w:bottom w:val="single" w:sz="8" w:space="0" w:color="auto"/>
              <w:right w:val="nil"/>
            </w:tcBorders>
            <w:shd w:val="clear" w:color="auto" w:fill="auto"/>
            <w:vAlign w:val="center"/>
            <w:hideMark/>
          </w:tcPr>
          <w:p w14:paraId="375C137A" w14:textId="61D98EEF" w:rsidR="00F731F8" w:rsidRDefault="007B0458" w:rsidP="00937ED9">
            <w:pPr>
              <w:spacing w:after="120"/>
              <w:jc w:val="right"/>
              <w:rPr>
                <w:rFonts w:ascii="Calibri" w:hAnsi="Calibri" w:cs="Calibri"/>
                <w:b/>
                <w:bCs/>
                <w:color w:val="000000"/>
                <w:sz w:val="16"/>
                <w:szCs w:val="16"/>
              </w:rPr>
            </w:pPr>
            <w:r>
              <w:rPr>
                <w:rFonts w:ascii="Calibri" w:hAnsi="Calibri" w:cs="Calibri"/>
                <w:b/>
                <w:bCs/>
                <w:color w:val="000000"/>
                <w:sz w:val="16"/>
                <w:szCs w:val="16"/>
              </w:rPr>
              <w:t>1.226.000</w:t>
            </w:r>
          </w:p>
        </w:tc>
      </w:tr>
    </w:tbl>
    <w:p w14:paraId="46F909EB" w14:textId="55F01C97" w:rsidR="00FA0D6A" w:rsidRPr="002E2B5B" w:rsidRDefault="00FA0D6A" w:rsidP="000B3A75">
      <w:pPr>
        <w:spacing w:before="120" w:after="120"/>
        <w:jc w:val="both"/>
        <w:rPr>
          <w:rFonts w:ascii="Calibri" w:hAnsi="Calibri" w:cs="Calibri"/>
          <w:b/>
          <w:sz w:val="22"/>
          <w:szCs w:val="22"/>
        </w:rPr>
      </w:pPr>
      <w:r w:rsidRPr="0092389C">
        <w:rPr>
          <w:rFonts w:ascii="Calibri" w:hAnsi="Calibri" w:cs="Calibri"/>
          <w:b/>
          <w:sz w:val="22"/>
          <w:szCs w:val="22"/>
        </w:rPr>
        <w:t>b.2) Crédito Previdenciário a Compensar</w:t>
      </w:r>
    </w:p>
    <w:p w14:paraId="2731CFF9" w14:textId="353DBB37" w:rsidR="00FC6CF4" w:rsidRPr="002E2B5B" w:rsidRDefault="00404FDE" w:rsidP="00937ED9">
      <w:pPr>
        <w:spacing w:after="120"/>
        <w:jc w:val="both"/>
        <w:rPr>
          <w:rFonts w:ascii="Calibri" w:hAnsi="Calibri" w:cs="Calibri"/>
          <w:b/>
          <w:sz w:val="22"/>
          <w:szCs w:val="22"/>
        </w:rPr>
      </w:pPr>
      <w:r w:rsidRPr="002E2B5B">
        <w:rPr>
          <w:rFonts w:ascii="Calibri" w:hAnsi="Calibri" w:cs="Calibri"/>
          <w:sz w:val="22"/>
          <w:szCs w:val="22"/>
        </w:rPr>
        <w:t>Os seguintes fatos e princípios foram determinantes como justificativa para apuração de créditos previdenciários: Índices FAP declarados em divergência ao que determina o Portal FAPWeb; Atividades preponderantes declaradas em discordância com a real atividade exercida pelos funcionários de cada filial, conforme determina a Instrução Normativa 1.453</w:t>
      </w:r>
      <w:r w:rsidR="00A10351" w:rsidRPr="002E2B5B">
        <w:rPr>
          <w:rFonts w:ascii="Calibri" w:hAnsi="Calibri" w:cs="Calibri"/>
          <w:sz w:val="22"/>
          <w:szCs w:val="22"/>
        </w:rPr>
        <w:t xml:space="preserve">, de 24 de fevereiro de </w:t>
      </w:r>
      <w:r w:rsidRPr="002E2B5B">
        <w:rPr>
          <w:rFonts w:ascii="Calibri" w:hAnsi="Calibri" w:cs="Calibri"/>
          <w:sz w:val="22"/>
          <w:szCs w:val="22"/>
        </w:rPr>
        <w:t>2014</w:t>
      </w:r>
      <w:r w:rsidR="00A10351" w:rsidRPr="002E2B5B">
        <w:rPr>
          <w:rFonts w:ascii="Calibri" w:hAnsi="Calibri" w:cs="Calibri"/>
          <w:sz w:val="22"/>
          <w:szCs w:val="22"/>
        </w:rPr>
        <w:t>,</w:t>
      </w:r>
      <w:r w:rsidRPr="002E2B5B">
        <w:rPr>
          <w:rFonts w:ascii="Calibri" w:hAnsi="Calibri" w:cs="Calibri"/>
          <w:sz w:val="22"/>
          <w:szCs w:val="22"/>
        </w:rPr>
        <w:t xml:space="preserve"> e COSIT</w:t>
      </w:r>
      <w:r w:rsidR="00A10351" w:rsidRPr="002E2B5B">
        <w:rPr>
          <w:rFonts w:ascii="Calibri" w:hAnsi="Calibri" w:cs="Calibri"/>
          <w:sz w:val="22"/>
          <w:szCs w:val="22"/>
        </w:rPr>
        <w:t>, de 14 de junho de 2016</w:t>
      </w:r>
      <w:r w:rsidRPr="002E2B5B">
        <w:rPr>
          <w:rFonts w:ascii="Calibri" w:hAnsi="Calibri" w:cs="Calibri"/>
          <w:sz w:val="22"/>
          <w:szCs w:val="22"/>
        </w:rPr>
        <w:t>; Alíquota RAT declaradas em discordância com o determinado pelo Decreto 6.957</w:t>
      </w:r>
      <w:r w:rsidR="00A10351" w:rsidRPr="002E2B5B">
        <w:rPr>
          <w:rFonts w:ascii="Calibri" w:hAnsi="Calibri" w:cs="Calibri"/>
          <w:sz w:val="22"/>
          <w:szCs w:val="22"/>
        </w:rPr>
        <w:t>, de 09 de setembro de 2</w:t>
      </w:r>
      <w:r w:rsidRPr="002E2B5B">
        <w:rPr>
          <w:rFonts w:ascii="Calibri" w:hAnsi="Calibri" w:cs="Calibri"/>
          <w:sz w:val="22"/>
          <w:szCs w:val="22"/>
        </w:rPr>
        <w:t>009; Ausência de lançamento de desoneração em folha durante o período em que a mesma era obrigatória para o setor econômico da VALEC, conforme Lei</w:t>
      </w:r>
      <w:r w:rsidR="00214011">
        <w:rPr>
          <w:rFonts w:ascii="Calibri" w:hAnsi="Calibri" w:cs="Calibri"/>
          <w:sz w:val="22"/>
          <w:szCs w:val="22"/>
        </w:rPr>
        <w:t xml:space="preserve"> nº</w:t>
      </w:r>
      <w:r w:rsidRPr="002E2B5B">
        <w:rPr>
          <w:rFonts w:ascii="Calibri" w:hAnsi="Calibri" w:cs="Calibri"/>
          <w:sz w:val="22"/>
          <w:szCs w:val="22"/>
        </w:rPr>
        <w:t xml:space="preserve"> 12.546</w:t>
      </w:r>
      <w:r w:rsidR="00A10351" w:rsidRPr="002E2B5B">
        <w:rPr>
          <w:rFonts w:ascii="Calibri" w:hAnsi="Calibri" w:cs="Calibri"/>
          <w:sz w:val="22"/>
          <w:szCs w:val="22"/>
        </w:rPr>
        <w:t xml:space="preserve">, de 14 de dezembro de </w:t>
      </w:r>
      <w:r w:rsidRPr="002E2B5B">
        <w:rPr>
          <w:rFonts w:ascii="Calibri" w:hAnsi="Calibri" w:cs="Calibri"/>
          <w:sz w:val="22"/>
          <w:szCs w:val="22"/>
        </w:rPr>
        <w:t>2011</w:t>
      </w:r>
      <w:r w:rsidR="00A10351" w:rsidRPr="002E2B5B">
        <w:rPr>
          <w:rFonts w:ascii="Calibri" w:hAnsi="Calibri" w:cs="Calibri"/>
          <w:sz w:val="22"/>
          <w:szCs w:val="22"/>
        </w:rPr>
        <w:t>,</w:t>
      </w:r>
      <w:r w:rsidRPr="002E2B5B">
        <w:rPr>
          <w:rFonts w:ascii="Calibri" w:hAnsi="Calibri" w:cs="Calibri"/>
          <w:sz w:val="22"/>
          <w:szCs w:val="22"/>
        </w:rPr>
        <w:t xml:space="preserve"> e posteriores alterações; e Ausência de pagamento de DARF CPRB no período em que a mesma era obrigatória para o setor econômico da VALEC, conforme </w:t>
      </w:r>
      <w:r w:rsidR="00A10351" w:rsidRPr="002E2B5B">
        <w:rPr>
          <w:rFonts w:ascii="Calibri" w:hAnsi="Calibri" w:cs="Calibri"/>
          <w:sz w:val="22"/>
          <w:szCs w:val="22"/>
        </w:rPr>
        <w:t>Lei</w:t>
      </w:r>
      <w:r w:rsidR="00214011">
        <w:rPr>
          <w:rFonts w:ascii="Calibri" w:hAnsi="Calibri" w:cs="Calibri"/>
          <w:sz w:val="22"/>
          <w:szCs w:val="22"/>
        </w:rPr>
        <w:t xml:space="preserve"> nº</w:t>
      </w:r>
      <w:r w:rsidR="00A10351" w:rsidRPr="002E2B5B">
        <w:rPr>
          <w:rFonts w:ascii="Calibri" w:hAnsi="Calibri" w:cs="Calibri"/>
          <w:sz w:val="22"/>
          <w:szCs w:val="22"/>
        </w:rPr>
        <w:t xml:space="preserve"> 12.546, de 14 de dezembro de 2011, </w:t>
      </w:r>
      <w:r w:rsidRPr="002E2B5B">
        <w:rPr>
          <w:rFonts w:ascii="Calibri" w:hAnsi="Calibri" w:cs="Calibri"/>
          <w:sz w:val="22"/>
          <w:szCs w:val="22"/>
        </w:rPr>
        <w:t>e posteriores alterações.</w:t>
      </w:r>
      <w:r w:rsidR="006B1F74">
        <w:rPr>
          <w:rFonts w:ascii="Calibri" w:hAnsi="Calibri" w:cs="Calibri"/>
          <w:sz w:val="22"/>
          <w:szCs w:val="22"/>
        </w:rPr>
        <w:t xml:space="preserve"> </w:t>
      </w:r>
    </w:p>
    <w:tbl>
      <w:tblPr>
        <w:tblW w:w="5000" w:type="pct"/>
        <w:tblCellMar>
          <w:left w:w="70" w:type="dxa"/>
          <w:right w:w="70" w:type="dxa"/>
        </w:tblCellMar>
        <w:tblLook w:val="04A0" w:firstRow="1" w:lastRow="0" w:firstColumn="1" w:lastColumn="0" w:noHBand="0" w:noVBand="1"/>
      </w:tblPr>
      <w:tblGrid>
        <w:gridCol w:w="5471"/>
        <w:gridCol w:w="710"/>
        <w:gridCol w:w="283"/>
        <w:gridCol w:w="1834"/>
        <w:gridCol w:w="1991"/>
        <w:gridCol w:w="178"/>
      </w:tblGrid>
      <w:tr w:rsidR="004C6C47" w:rsidRPr="002E2B5B" w14:paraId="333AE8D4" w14:textId="77777777" w:rsidTr="00314D3C">
        <w:trPr>
          <w:trHeight w:val="255"/>
        </w:trPr>
        <w:tc>
          <w:tcPr>
            <w:tcW w:w="2613" w:type="pct"/>
            <w:tcBorders>
              <w:top w:val="single" w:sz="4" w:space="0" w:color="auto"/>
              <w:left w:val="nil"/>
              <w:bottom w:val="single" w:sz="4" w:space="0" w:color="auto"/>
              <w:right w:val="nil"/>
            </w:tcBorders>
            <w:shd w:val="clear" w:color="auto" w:fill="auto"/>
            <w:noWrap/>
            <w:vAlign w:val="bottom"/>
            <w:hideMark/>
          </w:tcPr>
          <w:p w14:paraId="1CEE3169" w14:textId="77777777" w:rsidR="00FF1438" w:rsidRPr="002E2B5B" w:rsidRDefault="00FF1438" w:rsidP="00937ED9">
            <w:pPr>
              <w:spacing w:after="120"/>
              <w:rPr>
                <w:rFonts w:ascii="Calibri" w:hAnsi="Calibri" w:cs="Calibri"/>
                <w:b/>
                <w:bCs/>
                <w:sz w:val="16"/>
                <w:szCs w:val="16"/>
              </w:rPr>
            </w:pPr>
            <w:r w:rsidRPr="002E2B5B">
              <w:rPr>
                <w:rFonts w:ascii="Calibri" w:hAnsi="Calibri" w:cs="Calibri"/>
                <w:b/>
                <w:bCs/>
                <w:sz w:val="16"/>
                <w:szCs w:val="16"/>
              </w:rPr>
              <w:t>CRÉDITO PREVIDENCIÁRIO</w:t>
            </w:r>
          </w:p>
        </w:tc>
        <w:tc>
          <w:tcPr>
            <w:tcW w:w="339" w:type="pct"/>
            <w:tcBorders>
              <w:top w:val="single" w:sz="4" w:space="0" w:color="auto"/>
              <w:left w:val="nil"/>
              <w:bottom w:val="single" w:sz="4" w:space="0" w:color="auto"/>
              <w:right w:val="nil"/>
            </w:tcBorders>
            <w:shd w:val="clear" w:color="auto" w:fill="auto"/>
            <w:noWrap/>
            <w:vAlign w:val="bottom"/>
            <w:hideMark/>
          </w:tcPr>
          <w:p w14:paraId="78EA5425" w14:textId="77777777" w:rsidR="00FF1438" w:rsidRPr="002E2B5B" w:rsidRDefault="00FF1438" w:rsidP="00937ED9">
            <w:pPr>
              <w:spacing w:after="120"/>
              <w:jc w:val="center"/>
              <w:rPr>
                <w:rFonts w:ascii="Calibri" w:hAnsi="Calibri" w:cs="Calibri"/>
                <w:b/>
                <w:bCs/>
                <w:sz w:val="16"/>
                <w:szCs w:val="16"/>
              </w:rPr>
            </w:pPr>
          </w:p>
        </w:tc>
        <w:tc>
          <w:tcPr>
            <w:tcW w:w="135" w:type="pct"/>
            <w:tcBorders>
              <w:top w:val="single" w:sz="4" w:space="0" w:color="auto"/>
              <w:left w:val="nil"/>
              <w:bottom w:val="single" w:sz="4" w:space="0" w:color="auto"/>
              <w:right w:val="nil"/>
            </w:tcBorders>
            <w:shd w:val="clear" w:color="auto" w:fill="auto"/>
            <w:noWrap/>
            <w:vAlign w:val="bottom"/>
            <w:hideMark/>
          </w:tcPr>
          <w:p w14:paraId="50AB08D3" w14:textId="77777777" w:rsidR="00FF1438" w:rsidRPr="002E2B5B" w:rsidRDefault="00FF1438" w:rsidP="00937ED9">
            <w:pPr>
              <w:spacing w:after="120"/>
              <w:jc w:val="center"/>
              <w:rPr>
                <w:rFonts w:ascii="Calibri" w:hAnsi="Calibri" w:cs="Calibri"/>
                <w:b/>
                <w:bCs/>
                <w:sz w:val="16"/>
                <w:szCs w:val="16"/>
              </w:rPr>
            </w:pPr>
          </w:p>
        </w:tc>
        <w:tc>
          <w:tcPr>
            <w:tcW w:w="876" w:type="pct"/>
            <w:tcBorders>
              <w:top w:val="single" w:sz="4" w:space="0" w:color="auto"/>
              <w:left w:val="nil"/>
              <w:bottom w:val="single" w:sz="4" w:space="0" w:color="auto"/>
              <w:right w:val="nil"/>
            </w:tcBorders>
          </w:tcPr>
          <w:p w14:paraId="4C7E6A62" w14:textId="77777777" w:rsidR="00FF1438" w:rsidRPr="002E2B5B" w:rsidRDefault="00FF1438" w:rsidP="00937ED9">
            <w:pPr>
              <w:spacing w:after="120"/>
              <w:jc w:val="right"/>
              <w:rPr>
                <w:rFonts w:ascii="Calibri" w:hAnsi="Calibri" w:cs="Calibri"/>
                <w:b/>
                <w:bCs/>
                <w:sz w:val="16"/>
                <w:szCs w:val="16"/>
              </w:rPr>
            </w:pPr>
          </w:p>
        </w:tc>
        <w:tc>
          <w:tcPr>
            <w:tcW w:w="951" w:type="pct"/>
            <w:tcBorders>
              <w:top w:val="single" w:sz="4" w:space="0" w:color="auto"/>
              <w:left w:val="nil"/>
              <w:bottom w:val="single" w:sz="4" w:space="0" w:color="auto"/>
              <w:right w:val="nil"/>
            </w:tcBorders>
            <w:shd w:val="clear" w:color="auto" w:fill="auto"/>
            <w:noWrap/>
            <w:vAlign w:val="bottom"/>
          </w:tcPr>
          <w:p w14:paraId="28C40260" w14:textId="77777777" w:rsidR="00FF1438" w:rsidRPr="002E2B5B" w:rsidRDefault="00FF1438" w:rsidP="00937ED9">
            <w:pPr>
              <w:spacing w:after="120"/>
              <w:jc w:val="right"/>
              <w:rPr>
                <w:rFonts w:ascii="Calibri" w:hAnsi="Calibri" w:cs="Calibri"/>
                <w:b/>
                <w:bCs/>
                <w:sz w:val="16"/>
                <w:szCs w:val="16"/>
              </w:rPr>
            </w:pPr>
          </w:p>
        </w:tc>
        <w:tc>
          <w:tcPr>
            <w:tcW w:w="85" w:type="pct"/>
            <w:tcBorders>
              <w:top w:val="single" w:sz="4" w:space="0" w:color="auto"/>
              <w:left w:val="nil"/>
              <w:bottom w:val="single" w:sz="4" w:space="0" w:color="auto"/>
              <w:right w:val="nil"/>
            </w:tcBorders>
            <w:shd w:val="clear" w:color="auto" w:fill="auto"/>
            <w:noWrap/>
            <w:vAlign w:val="bottom"/>
            <w:hideMark/>
          </w:tcPr>
          <w:p w14:paraId="029BEF60" w14:textId="77777777" w:rsidR="00FF1438" w:rsidRPr="002E2B5B" w:rsidRDefault="00FF1438" w:rsidP="00937ED9">
            <w:pPr>
              <w:spacing w:after="120"/>
              <w:jc w:val="center"/>
              <w:rPr>
                <w:rFonts w:ascii="Calibri" w:hAnsi="Calibri" w:cs="Calibri"/>
                <w:b/>
                <w:bCs/>
                <w:sz w:val="16"/>
                <w:szCs w:val="16"/>
              </w:rPr>
            </w:pPr>
          </w:p>
        </w:tc>
      </w:tr>
      <w:tr w:rsidR="004C6C47" w:rsidRPr="002E2B5B" w14:paraId="1EA050EC" w14:textId="77777777" w:rsidTr="00987B82">
        <w:trPr>
          <w:trHeight w:val="317"/>
        </w:trPr>
        <w:tc>
          <w:tcPr>
            <w:tcW w:w="2613" w:type="pct"/>
            <w:tcBorders>
              <w:top w:val="nil"/>
              <w:left w:val="nil"/>
              <w:right w:val="nil"/>
            </w:tcBorders>
            <w:shd w:val="clear" w:color="auto" w:fill="auto"/>
            <w:noWrap/>
            <w:vAlign w:val="bottom"/>
            <w:hideMark/>
          </w:tcPr>
          <w:p w14:paraId="7602D446" w14:textId="77777777" w:rsidR="00FF1438" w:rsidRPr="002E2B5B" w:rsidRDefault="00FF1438" w:rsidP="00937ED9">
            <w:pPr>
              <w:spacing w:after="120"/>
              <w:rPr>
                <w:rFonts w:ascii="Calibri" w:hAnsi="Calibri" w:cs="Calibri"/>
                <w:sz w:val="16"/>
                <w:szCs w:val="16"/>
              </w:rPr>
            </w:pPr>
            <w:r w:rsidRPr="002E2B5B">
              <w:rPr>
                <w:rFonts w:ascii="Calibri" w:hAnsi="Calibri" w:cs="Calibri"/>
                <w:sz w:val="16"/>
                <w:szCs w:val="16"/>
              </w:rPr>
              <w:t>Crédito Previdenciário</w:t>
            </w:r>
          </w:p>
        </w:tc>
        <w:tc>
          <w:tcPr>
            <w:tcW w:w="339" w:type="pct"/>
            <w:tcBorders>
              <w:top w:val="nil"/>
              <w:left w:val="nil"/>
              <w:right w:val="nil"/>
            </w:tcBorders>
            <w:shd w:val="clear" w:color="auto" w:fill="auto"/>
            <w:noWrap/>
            <w:vAlign w:val="bottom"/>
            <w:hideMark/>
          </w:tcPr>
          <w:p w14:paraId="6596684E" w14:textId="77777777" w:rsidR="00FF1438" w:rsidRPr="002E2B5B" w:rsidRDefault="00FF1438" w:rsidP="00937ED9">
            <w:pPr>
              <w:spacing w:after="120"/>
              <w:rPr>
                <w:rFonts w:ascii="Calibri" w:hAnsi="Calibri" w:cs="Calibri"/>
                <w:sz w:val="16"/>
                <w:szCs w:val="16"/>
              </w:rPr>
            </w:pPr>
          </w:p>
        </w:tc>
        <w:tc>
          <w:tcPr>
            <w:tcW w:w="135" w:type="pct"/>
            <w:tcBorders>
              <w:top w:val="nil"/>
              <w:left w:val="nil"/>
              <w:right w:val="nil"/>
            </w:tcBorders>
            <w:shd w:val="clear" w:color="auto" w:fill="auto"/>
            <w:noWrap/>
            <w:vAlign w:val="bottom"/>
            <w:hideMark/>
          </w:tcPr>
          <w:p w14:paraId="562C614F" w14:textId="77777777" w:rsidR="00FF1438" w:rsidRPr="002E2B5B" w:rsidRDefault="00FF1438" w:rsidP="00937ED9">
            <w:pPr>
              <w:spacing w:after="120"/>
              <w:rPr>
                <w:rFonts w:ascii="Calibri" w:hAnsi="Calibri" w:cs="Calibri"/>
                <w:b/>
                <w:bCs/>
                <w:sz w:val="16"/>
                <w:szCs w:val="16"/>
              </w:rPr>
            </w:pPr>
          </w:p>
        </w:tc>
        <w:tc>
          <w:tcPr>
            <w:tcW w:w="876" w:type="pct"/>
            <w:tcBorders>
              <w:top w:val="nil"/>
              <w:left w:val="nil"/>
              <w:right w:val="nil"/>
            </w:tcBorders>
          </w:tcPr>
          <w:p w14:paraId="7F9DFFE4" w14:textId="77777777" w:rsidR="00FF1438" w:rsidRPr="002E2B5B" w:rsidRDefault="00FF1438" w:rsidP="00937ED9">
            <w:pPr>
              <w:spacing w:after="120"/>
              <w:jc w:val="right"/>
              <w:rPr>
                <w:rFonts w:ascii="Calibri" w:hAnsi="Calibri" w:cs="Calibri"/>
                <w:sz w:val="16"/>
                <w:szCs w:val="16"/>
              </w:rPr>
            </w:pPr>
          </w:p>
        </w:tc>
        <w:tc>
          <w:tcPr>
            <w:tcW w:w="951" w:type="pct"/>
            <w:tcBorders>
              <w:top w:val="nil"/>
              <w:left w:val="nil"/>
              <w:right w:val="nil"/>
            </w:tcBorders>
            <w:shd w:val="clear" w:color="auto" w:fill="auto"/>
            <w:noWrap/>
            <w:hideMark/>
          </w:tcPr>
          <w:p w14:paraId="6B6ED91E" w14:textId="77777777" w:rsidR="00FF1438" w:rsidRPr="002E2B5B" w:rsidRDefault="00FF1438" w:rsidP="00937ED9">
            <w:pPr>
              <w:spacing w:after="120"/>
              <w:jc w:val="right"/>
              <w:rPr>
                <w:rFonts w:ascii="Calibri" w:hAnsi="Calibri" w:cs="Calibri"/>
                <w:sz w:val="16"/>
                <w:szCs w:val="16"/>
              </w:rPr>
            </w:pPr>
            <w:r w:rsidRPr="002E2B5B">
              <w:rPr>
                <w:rFonts w:ascii="Calibri" w:hAnsi="Calibri" w:cs="Calibri"/>
                <w:sz w:val="16"/>
                <w:szCs w:val="16"/>
              </w:rPr>
              <w:t xml:space="preserve">        54.285.136 </w:t>
            </w:r>
          </w:p>
        </w:tc>
        <w:tc>
          <w:tcPr>
            <w:tcW w:w="85" w:type="pct"/>
            <w:tcBorders>
              <w:top w:val="nil"/>
              <w:left w:val="nil"/>
              <w:right w:val="nil"/>
            </w:tcBorders>
            <w:shd w:val="clear" w:color="auto" w:fill="auto"/>
            <w:noWrap/>
            <w:vAlign w:val="bottom"/>
            <w:hideMark/>
          </w:tcPr>
          <w:p w14:paraId="168C4784" w14:textId="77777777" w:rsidR="00FF1438" w:rsidRPr="002E2B5B" w:rsidRDefault="00FF1438" w:rsidP="00937ED9">
            <w:pPr>
              <w:spacing w:after="120"/>
              <w:rPr>
                <w:rFonts w:ascii="Calibri" w:hAnsi="Calibri" w:cs="Calibri"/>
                <w:sz w:val="16"/>
                <w:szCs w:val="16"/>
              </w:rPr>
            </w:pPr>
          </w:p>
        </w:tc>
      </w:tr>
      <w:tr w:rsidR="004C6C47" w:rsidRPr="002E2B5B" w14:paraId="346477AA" w14:textId="77777777" w:rsidTr="00987B82">
        <w:trPr>
          <w:trHeight w:val="255"/>
        </w:trPr>
        <w:tc>
          <w:tcPr>
            <w:tcW w:w="2613" w:type="pct"/>
            <w:tcBorders>
              <w:top w:val="nil"/>
              <w:left w:val="nil"/>
              <w:right w:val="nil"/>
            </w:tcBorders>
            <w:shd w:val="clear" w:color="auto" w:fill="auto"/>
            <w:noWrap/>
            <w:vAlign w:val="bottom"/>
            <w:hideMark/>
          </w:tcPr>
          <w:p w14:paraId="074D2988" w14:textId="77777777" w:rsidR="00FF1438" w:rsidRPr="002E2B5B" w:rsidRDefault="00FF1438" w:rsidP="00937ED9">
            <w:pPr>
              <w:spacing w:after="120"/>
              <w:rPr>
                <w:rFonts w:ascii="Calibri" w:hAnsi="Calibri" w:cs="Calibri"/>
                <w:sz w:val="16"/>
                <w:szCs w:val="16"/>
              </w:rPr>
            </w:pPr>
            <w:r w:rsidRPr="002E2B5B">
              <w:rPr>
                <w:rFonts w:ascii="Calibri" w:hAnsi="Calibri" w:cs="Calibri"/>
                <w:sz w:val="16"/>
                <w:szCs w:val="16"/>
              </w:rPr>
              <w:t>Crédito Compensado em 2018</w:t>
            </w:r>
          </w:p>
        </w:tc>
        <w:tc>
          <w:tcPr>
            <w:tcW w:w="339" w:type="pct"/>
            <w:tcBorders>
              <w:top w:val="nil"/>
              <w:left w:val="nil"/>
              <w:right w:val="nil"/>
            </w:tcBorders>
            <w:shd w:val="clear" w:color="auto" w:fill="auto"/>
            <w:noWrap/>
            <w:vAlign w:val="bottom"/>
            <w:hideMark/>
          </w:tcPr>
          <w:p w14:paraId="363EF7EF" w14:textId="77777777" w:rsidR="00FF1438" w:rsidRPr="002E2B5B" w:rsidRDefault="00FF1438" w:rsidP="00937ED9">
            <w:pPr>
              <w:spacing w:after="120"/>
              <w:rPr>
                <w:rFonts w:ascii="Calibri" w:hAnsi="Calibri" w:cs="Calibri"/>
                <w:sz w:val="16"/>
                <w:szCs w:val="16"/>
              </w:rPr>
            </w:pPr>
          </w:p>
        </w:tc>
        <w:tc>
          <w:tcPr>
            <w:tcW w:w="135" w:type="pct"/>
            <w:tcBorders>
              <w:top w:val="nil"/>
              <w:left w:val="nil"/>
              <w:right w:val="nil"/>
            </w:tcBorders>
            <w:shd w:val="clear" w:color="auto" w:fill="auto"/>
            <w:noWrap/>
            <w:vAlign w:val="bottom"/>
            <w:hideMark/>
          </w:tcPr>
          <w:p w14:paraId="28BA6823" w14:textId="77777777" w:rsidR="00FF1438" w:rsidRPr="002E2B5B" w:rsidRDefault="00FF1438" w:rsidP="00937ED9">
            <w:pPr>
              <w:spacing w:after="120"/>
              <w:rPr>
                <w:rFonts w:ascii="Calibri" w:hAnsi="Calibri" w:cs="Calibri"/>
                <w:sz w:val="16"/>
                <w:szCs w:val="16"/>
              </w:rPr>
            </w:pPr>
          </w:p>
        </w:tc>
        <w:tc>
          <w:tcPr>
            <w:tcW w:w="876" w:type="pct"/>
            <w:tcBorders>
              <w:top w:val="nil"/>
              <w:left w:val="nil"/>
              <w:right w:val="nil"/>
            </w:tcBorders>
          </w:tcPr>
          <w:p w14:paraId="1239D82A" w14:textId="77777777" w:rsidR="00FF1438" w:rsidRPr="002E2B5B" w:rsidRDefault="00FF1438" w:rsidP="00937ED9">
            <w:pPr>
              <w:spacing w:after="120"/>
              <w:jc w:val="right"/>
              <w:rPr>
                <w:rFonts w:ascii="Calibri" w:hAnsi="Calibri" w:cs="Calibri"/>
                <w:sz w:val="16"/>
                <w:szCs w:val="16"/>
              </w:rPr>
            </w:pPr>
          </w:p>
        </w:tc>
        <w:tc>
          <w:tcPr>
            <w:tcW w:w="951" w:type="pct"/>
            <w:tcBorders>
              <w:top w:val="nil"/>
              <w:left w:val="nil"/>
              <w:right w:val="nil"/>
            </w:tcBorders>
            <w:shd w:val="clear" w:color="auto" w:fill="auto"/>
            <w:noWrap/>
          </w:tcPr>
          <w:p w14:paraId="502687BE" w14:textId="77777777" w:rsidR="00FF1438" w:rsidRPr="002E2B5B" w:rsidRDefault="00B41017" w:rsidP="00937ED9">
            <w:pPr>
              <w:spacing w:after="120"/>
              <w:jc w:val="right"/>
              <w:rPr>
                <w:rFonts w:ascii="Calibri" w:hAnsi="Calibri" w:cs="Calibri"/>
                <w:sz w:val="16"/>
                <w:szCs w:val="16"/>
              </w:rPr>
            </w:pPr>
            <w:r w:rsidRPr="002E2B5B">
              <w:rPr>
                <w:rFonts w:ascii="Calibri" w:hAnsi="Calibri" w:cs="Calibri"/>
                <w:sz w:val="16"/>
                <w:szCs w:val="16"/>
              </w:rPr>
              <w:t xml:space="preserve"> </w:t>
            </w:r>
            <w:r w:rsidR="00FF1438" w:rsidRPr="002E2B5B">
              <w:rPr>
                <w:rFonts w:ascii="Calibri" w:hAnsi="Calibri" w:cs="Calibri"/>
                <w:sz w:val="16"/>
                <w:szCs w:val="16"/>
              </w:rPr>
              <w:t xml:space="preserve">            </w:t>
            </w:r>
            <w:r w:rsidRPr="002E2B5B">
              <w:rPr>
                <w:rFonts w:ascii="Calibri" w:hAnsi="Calibri" w:cs="Calibri"/>
                <w:sz w:val="16"/>
                <w:szCs w:val="16"/>
              </w:rPr>
              <w:t xml:space="preserve"> </w:t>
            </w:r>
            <w:r w:rsidR="00FF1438" w:rsidRPr="002E2B5B">
              <w:rPr>
                <w:rFonts w:ascii="Calibri" w:hAnsi="Calibri" w:cs="Calibri"/>
                <w:sz w:val="16"/>
                <w:szCs w:val="16"/>
              </w:rPr>
              <w:t>(26.966.503)</w:t>
            </w:r>
          </w:p>
        </w:tc>
        <w:tc>
          <w:tcPr>
            <w:tcW w:w="85" w:type="pct"/>
            <w:tcBorders>
              <w:top w:val="nil"/>
              <w:left w:val="nil"/>
              <w:right w:val="nil"/>
            </w:tcBorders>
            <w:shd w:val="clear" w:color="auto" w:fill="auto"/>
            <w:noWrap/>
            <w:vAlign w:val="bottom"/>
            <w:hideMark/>
          </w:tcPr>
          <w:p w14:paraId="71325E9C" w14:textId="77777777" w:rsidR="00FF1438" w:rsidRPr="002E2B5B" w:rsidRDefault="00FF1438" w:rsidP="00937ED9">
            <w:pPr>
              <w:spacing w:after="120"/>
              <w:rPr>
                <w:rFonts w:ascii="Calibri" w:hAnsi="Calibri" w:cs="Calibri"/>
                <w:sz w:val="16"/>
                <w:szCs w:val="16"/>
              </w:rPr>
            </w:pPr>
          </w:p>
        </w:tc>
      </w:tr>
      <w:tr w:rsidR="004C6C47" w:rsidRPr="002E2B5B" w14:paraId="76603E63" w14:textId="77777777" w:rsidTr="00987B82">
        <w:trPr>
          <w:trHeight w:val="255"/>
        </w:trPr>
        <w:tc>
          <w:tcPr>
            <w:tcW w:w="2613" w:type="pct"/>
            <w:tcBorders>
              <w:left w:val="nil"/>
              <w:right w:val="nil"/>
            </w:tcBorders>
            <w:shd w:val="clear" w:color="auto" w:fill="auto"/>
            <w:noWrap/>
            <w:vAlign w:val="bottom"/>
          </w:tcPr>
          <w:p w14:paraId="0D4F8B4E" w14:textId="77777777" w:rsidR="00FF1438" w:rsidRPr="002E2B5B" w:rsidRDefault="00FF1438" w:rsidP="00937ED9">
            <w:pPr>
              <w:spacing w:after="120"/>
              <w:rPr>
                <w:rFonts w:ascii="Calibri" w:hAnsi="Calibri" w:cs="Calibri"/>
                <w:sz w:val="16"/>
                <w:szCs w:val="16"/>
              </w:rPr>
            </w:pPr>
            <w:r w:rsidRPr="002E2B5B">
              <w:rPr>
                <w:rFonts w:ascii="Calibri" w:hAnsi="Calibri" w:cs="Calibri"/>
                <w:sz w:val="16"/>
                <w:szCs w:val="16"/>
              </w:rPr>
              <w:t xml:space="preserve">Crédito Compensado </w:t>
            </w:r>
            <w:r w:rsidR="00CD3248" w:rsidRPr="002E2B5B">
              <w:rPr>
                <w:rFonts w:ascii="Calibri" w:hAnsi="Calibri" w:cs="Calibri"/>
                <w:sz w:val="16"/>
                <w:szCs w:val="16"/>
              </w:rPr>
              <w:t xml:space="preserve">em </w:t>
            </w:r>
            <w:r w:rsidRPr="002E2B5B">
              <w:rPr>
                <w:rFonts w:ascii="Calibri" w:hAnsi="Calibri" w:cs="Calibri"/>
                <w:sz w:val="16"/>
                <w:szCs w:val="16"/>
              </w:rPr>
              <w:t>2019</w:t>
            </w:r>
          </w:p>
        </w:tc>
        <w:tc>
          <w:tcPr>
            <w:tcW w:w="339" w:type="pct"/>
            <w:tcBorders>
              <w:left w:val="nil"/>
              <w:right w:val="nil"/>
            </w:tcBorders>
            <w:shd w:val="clear" w:color="auto" w:fill="auto"/>
            <w:noWrap/>
            <w:vAlign w:val="bottom"/>
          </w:tcPr>
          <w:p w14:paraId="3F9FDAF2" w14:textId="77777777" w:rsidR="00FF1438" w:rsidRPr="002E2B5B" w:rsidRDefault="00FF1438" w:rsidP="00937ED9">
            <w:pPr>
              <w:spacing w:after="120"/>
              <w:rPr>
                <w:rFonts w:ascii="Calibri" w:hAnsi="Calibri" w:cs="Calibri"/>
                <w:sz w:val="16"/>
                <w:szCs w:val="16"/>
              </w:rPr>
            </w:pPr>
          </w:p>
        </w:tc>
        <w:tc>
          <w:tcPr>
            <w:tcW w:w="135" w:type="pct"/>
            <w:tcBorders>
              <w:left w:val="nil"/>
              <w:right w:val="nil"/>
            </w:tcBorders>
            <w:shd w:val="clear" w:color="auto" w:fill="auto"/>
            <w:noWrap/>
            <w:vAlign w:val="bottom"/>
          </w:tcPr>
          <w:p w14:paraId="729F44D0" w14:textId="77777777" w:rsidR="00FF1438" w:rsidRPr="002E2B5B" w:rsidRDefault="00FF1438" w:rsidP="00937ED9">
            <w:pPr>
              <w:spacing w:after="120"/>
              <w:rPr>
                <w:rFonts w:ascii="Calibri" w:hAnsi="Calibri" w:cs="Calibri"/>
                <w:sz w:val="16"/>
                <w:szCs w:val="16"/>
              </w:rPr>
            </w:pPr>
          </w:p>
        </w:tc>
        <w:tc>
          <w:tcPr>
            <w:tcW w:w="876" w:type="pct"/>
            <w:tcBorders>
              <w:left w:val="nil"/>
              <w:right w:val="nil"/>
            </w:tcBorders>
            <w:vAlign w:val="bottom"/>
          </w:tcPr>
          <w:p w14:paraId="631FC3AA" w14:textId="77777777" w:rsidR="00FF1438" w:rsidRPr="002E2B5B" w:rsidRDefault="00FF1438" w:rsidP="00937ED9">
            <w:pPr>
              <w:spacing w:after="120"/>
              <w:jc w:val="right"/>
              <w:rPr>
                <w:rFonts w:ascii="Calibri" w:hAnsi="Calibri" w:cs="Calibri"/>
                <w:sz w:val="16"/>
                <w:szCs w:val="16"/>
              </w:rPr>
            </w:pPr>
          </w:p>
        </w:tc>
        <w:tc>
          <w:tcPr>
            <w:tcW w:w="951" w:type="pct"/>
            <w:tcBorders>
              <w:left w:val="nil"/>
              <w:right w:val="nil"/>
            </w:tcBorders>
            <w:shd w:val="clear" w:color="auto" w:fill="auto"/>
            <w:noWrap/>
            <w:vAlign w:val="bottom"/>
          </w:tcPr>
          <w:p w14:paraId="54A2445F" w14:textId="77777777" w:rsidR="00FF1438" w:rsidRPr="002E2B5B" w:rsidRDefault="00FF1438" w:rsidP="00937ED9">
            <w:pPr>
              <w:spacing w:after="120"/>
              <w:jc w:val="right"/>
              <w:rPr>
                <w:rFonts w:ascii="Calibri" w:hAnsi="Calibri" w:cs="Calibri"/>
                <w:sz w:val="16"/>
                <w:szCs w:val="16"/>
              </w:rPr>
            </w:pPr>
            <w:r w:rsidRPr="002E2B5B">
              <w:rPr>
                <w:rFonts w:ascii="Calibri" w:hAnsi="Calibri" w:cs="Calibri"/>
                <w:sz w:val="16"/>
                <w:szCs w:val="16"/>
              </w:rPr>
              <w:t>(</w:t>
            </w:r>
            <w:r w:rsidR="00CD3248" w:rsidRPr="002E2B5B">
              <w:rPr>
                <w:rFonts w:ascii="Calibri" w:hAnsi="Calibri" w:cs="Calibri"/>
                <w:sz w:val="16"/>
                <w:szCs w:val="16"/>
              </w:rPr>
              <w:t>9.477.108</w:t>
            </w:r>
            <w:r w:rsidRPr="002E2B5B">
              <w:rPr>
                <w:rFonts w:ascii="Calibri" w:hAnsi="Calibri" w:cs="Calibri"/>
                <w:sz w:val="16"/>
                <w:szCs w:val="16"/>
              </w:rPr>
              <w:t>)</w:t>
            </w:r>
          </w:p>
        </w:tc>
        <w:tc>
          <w:tcPr>
            <w:tcW w:w="85" w:type="pct"/>
            <w:tcBorders>
              <w:left w:val="nil"/>
              <w:right w:val="nil"/>
            </w:tcBorders>
            <w:shd w:val="clear" w:color="auto" w:fill="auto"/>
            <w:noWrap/>
            <w:vAlign w:val="bottom"/>
          </w:tcPr>
          <w:p w14:paraId="7025D4C3" w14:textId="77777777" w:rsidR="00FF1438" w:rsidRPr="002E2B5B" w:rsidRDefault="00FF1438" w:rsidP="00937ED9">
            <w:pPr>
              <w:spacing w:after="120"/>
              <w:rPr>
                <w:rFonts w:ascii="Calibri" w:hAnsi="Calibri" w:cs="Calibri"/>
                <w:b/>
                <w:sz w:val="16"/>
                <w:szCs w:val="16"/>
              </w:rPr>
            </w:pPr>
          </w:p>
        </w:tc>
      </w:tr>
      <w:tr w:rsidR="004C6C47" w:rsidRPr="002E2B5B" w14:paraId="15C0BFFD" w14:textId="77777777" w:rsidTr="00987B82">
        <w:trPr>
          <w:trHeight w:val="255"/>
        </w:trPr>
        <w:tc>
          <w:tcPr>
            <w:tcW w:w="2613" w:type="pct"/>
            <w:tcBorders>
              <w:left w:val="nil"/>
              <w:right w:val="nil"/>
            </w:tcBorders>
            <w:shd w:val="clear" w:color="auto" w:fill="auto"/>
            <w:noWrap/>
            <w:vAlign w:val="center"/>
          </w:tcPr>
          <w:p w14:paraId="65465E6A" w14:textId="77777777" w:rsidR="00B8368E" w:rsidRPr="002E2B5B" w:rsidRDefault="00B8368E" w:rsidP="00937ED9">
            <w:pPr>
              <w:spacing w:after="120"/>
              <w:rPr>
                <w:rFonts w:ascii="Calibri" w:hAnsi="Calibri" w:cs="Calibri"/>
                <w:sz w:val="16"/>
                <w:szCs w:val="16"/>
              </w:rPr>
            </w:pPr>
            <w:r w:rsidRPr="002E2B5B">
              <w:rPr>
                <w:rFonts w:ascii="Calibri" w:hAnsi="Calibri" w:cs="Calibri"/>
                <w:sz w:val="16"/>
                <w:szCs w:val="16"/>
              </w:rPr>
              <w:t xml:space="preserve">Reconhecimento </w:t>
            </w:r>
            <w:r w:rsidR="00CD3248" w:rsidRPr="002E2B5B">
              <w:rPr>
                <w:rFonts w:ascii="Calibri" w:hAnsi="Calibri" w:cs="Calibri"/>
                <w:sz w:val="16"/>
                <w:szCs w:val="16"/>
              </w:rPr>
              <w:t>de Crédito em 2019</w:t>
            </w:r>
          </w:p>
        </w:tc>
        <w:tc>
          <w:tcPr>
            <w:tcW w:w="339" w:type="pct"/>
            <w:tcBorders>
              <w:left w:val="nil"/>
              <w:right w:val="nil"/>
            </w:tcBorders>
            <w:shd w:val="clear" w:color="auto" w:fill="auto"/>
            <w:noWrap/>
            <w:vAlign w:val="bottom"/>
          </w:tcPr>
          <w:p w14:paraId="57A0EB7D" w14:textId="77777777" w:rsidR="00B8368E" w:rsidRPr="002E2B5B" w:rsidRDefault="00B8368E" w:rsidP="00937ED9">
            <w:pPr>
              <w:spacing w:after="120"/>
              <w:rPr>
                <w:rFonts w:ascii="Calibri" w:hAnsi="Calibri" w:cs="Calibri"/>
                <w:sz w:val="16"/>
                <w:szCs w:val="16"/>
              </w:rPr>
            </w:pPr>
          </w:p>
        </w:tc>
        <w:tc>
          <w:tcPr>
            <w:tcW w:w="135" w:type="pct"/>
            <w:tcBorders>
              <w:left w:val="nil"/>
              <w:right w:val="nil"/>
            </w:tcBorders>
            <w:shd w:val="clear" w:color="auto" w:fill="auto"/>
            <w:noWrap/>
            <w:vAlign w:val="bottom"/>
          </w:tcPr>
          <w:p w14:paraId="5376F23A" w14:textId="77777777" w:rsidR="00B8368E" w:rsidRPr="002E2B5B" w:rsidRDefault="00B8368E" w:rsidP="00937ED9">
            <w:pPr>
              <w:spacing w:after="120"/>
              <w:rPr>
                <w:rFonts w:ascii="Calibri" w:hAnsi="Calibri" w:cs="Calibri"/>
                <w:sz w:val="16"/>
                <w:szCs w:val="16"/>
              </w:rPr>
            </w:pPr>
          </w:p>
        </w:tc>
        <w:tc>
          <w:tcPr>
            <w:tcW w:w="876" w:type="pct"/>
            <w:tcBorders>
              <w:left w:val="nil"/>
              <w:right w:val="nil"/>
            </w:tcBorders>
            <w:vAlign w:val="bottom"/>
          </w:tcPr>
          <w:p w14:paraId="1537706B" w14:textId="77777777" w:rsidR="00B8368E" w:rsidRPr="002E2B5B" w:rsidRDefault="00B8368E" w:rsidP="00937ED9">
            <w:pPr>
              <w:spacing w:after="120"/>
              <w:jc w:val="right"/>
              <w:rPr>
                <w:rFonts w:ascii="Calibri" w:hAnsi="Calibri" w:cs="Calibri"/>
                <w:sz w:val="16"/>
                <w:szCs w:val="16"/>
              </w:rPr>
            </w:pPr>
          </w:p>
        </w:tc>
        <w:tc>
          <w:tcPr>
            <w:tcW w:w="951" w:type="pct"/>
            <w:tcBorders>
              <w:left w:val="nil"/>
              <w:right w:val="nil"/>
            </w:tcBorders>
            <w:shd w:val="clear" w:color="auto" w:fill="auto"/>
            <w:noWrap/>
            <w:vAlign w:val="bottom"/>
          </w:tcPr>
          <w:p w14:paraId="0AE06814" w14:textId="77777777" w:rsidR="00B8368E" w:rsidRPr="002E2B5B" w:rsidRDefault="00CD3248" w:rsidP="00937ED9">
            <w:pPr>
              <w:spacing w:after="120"/>
              <w:jc w:val="right"/>
              <w:rPr>
                <w:rFonts w:ascii="Calibri" w:hAnsi="Calibri" w:cs="Calibri"/>
                <w:sz w:val="16"/>
                <w:szCs w:val="16"/>
              </w:rPr>
            </w:pPr>
            <w:r w:rsidRPr="002E2B5B">
              <w:rPr>
                <w:rFonts w:ascii="Calibri" w:hAnsi="Calibri" w:cs="Calibri"/>
                <w:sz w:val="16"/>
                <w:szCs w:val="16"/>
              </w:rPr>
              <w:t>16.61</w:t>
            </w:r>
            <w:r w:rsidR="00F51287" w:rsidRPr="002E2B5B">
              <w:rPr>
                <w:rFonts w:ascii="Calibri" w:hAnsi="Calibri" w:cs="Calibri"/>
                <w:sz w:val="16"/>
                <w:szCs w:val="16"/>
              </w:rPr>
              <w:t>3</w:t>
            </w:r>
          </w:p>
        </w:tc>
        <w:tc>
          <w:tcPr>
            <w:tcW w:w="85" w:type="pct"/>
            <w:tcBorders>
              <w:left w:val="nil"/>
              <w:right w:val="nil"/>
            </w:tcBorders>
            <w:shd w:val="clear" w:color="auto" w:fill="auto"/>
            <w:noWrap/>
            <w:vAlign w:val="bottom"/>
          </w:tcPr>
          <w:p w14:paraId="5E058B60" w14:textId="77777777" w:rsidR="00B8368E" w:rsidRPr="002E2B5B" w:rsidRDefault="00B8368E" w:rsidP="00937ED9">
            <w:pPr>
              <w:spacing w:after="120"/>
              <w:rPr>
                <w:rFonts w:ascii="Calibri" w:hAnsi="Calibri" w:cs="Calibri"/>
                <w:b/>
                <w:sz w:val="16"/>
                <w:szCs w:val="16"/>
              </w:rPr>
            </w:pPr>
          </w:p>
        </w:tc>
      </w:tr>
      <w:tr w:rsidR="00314D3C" w:rsidRPr="002E2B5B" w14:paraId="7DAA8D08" w14:textId="77777777" w:rsidTr="00314D3C">
        <w:trPr>
          <w:trHeight w:val="255"/>
        </w:trPr>
        <w:tc>
          <w:tcPr>
            <w:tcW w:w="2613" w:type="pct"/>
            <w:tcBorders>
              <w:left w:val="nil"/>
              <w:bottom w:val="single" w:sz="4" w:space="0" w:color="auto"/>
              <w:right w:val="nil"/>
            </w:tcBorders>
            <w:shd w:val="clear" w:color="auto" w:fill="auto"/>
            <w:noWrap/>
            <w:vAlign w:val="center"/>
          </w:tcPr>
          <w:p w14:paraId="1E9205C8" w14:textId="77777777" w:rsidR="0002343B" w:rsidRPr="002E2B5B" w:rsidRDefault="0002343B" w:rsidP="00937ED9">
            <w:pPr>
              <w:spacing w:after="120"/>
              <w:rPr>
                <w:rFonts w:ascii="Calibri" w:hAnsi="Calibri" w:cs="Calibri"/>
                <w:sz w:val="16"/>
                <w:szCs w:val="16"/>
              </w:rPr>
            </w:pPr>
            <w:r w:rsidRPr="002E2B5B">
              <w:rPr>
                <w:rFonts w:ascii="Calibri" w:hAnsi="Calibri" w:cs="Calibri"/>
                <w:sz w:val="16"/>
                <w:szCs w:val="16"/>
              </w:rPr>
              <w:t>Baixa por prescrição no 4º trimestre / 2020</w:t>
            </w:r>
          </w:p>
        </w:tc>
        <w:tc>
          <w:tcPr>
            <w:tcW w:w="339" w:type="pct"/>
            <w:tcBorders>
              <w:left w:val="nil"/>
              <w:bottom w:val="single" w:sz="4" w:space="0" w:color="auto"/>
              <w:right w:val="nil"/>
            </w:tcBorders>
            <w:shd w:val="clear" w:color="auto" w:fill="auto"/>
            <w:noWrap/>
            <w:vAlign w:val="bottom"/>
          </w:tcPr>
          <w:p w14:paraId="62F49E53" w14:textId="77777777" w:rsidR="0002343B" w:rsidRPr="002E2B5B" w:rsidRDefault="0002343B" w:rsidP="00937ED9">
            <w:pPr>
              <w:spacing w:after="120"/>
              <w:rPr>
                <w:rFonts w:ascii="Calibri" w:hAnsi="Calibri" w:cs="Calibri"/>
                <w:sz w:val="16"/>
                <w:szCs w:val="16"/>
              </w:rPr>
            </w:pPr>
          </w:p>
        </w:tc>
        <w:tc>
          <w:tcPr>
            <w:tcW w:w="135" w:type="pct"/>
            <w:tcBorders>
              <w:left w:val="nil"/>
              <w:bottom w:val="single" w:sz="4" w:space="0" w:color="auto"/>
              <w:right w:val="nil"/>
            </w:tcBorders>
            <w:shd w:val="clear" w:color="auto" w:fill="auto"/>
            <w:noWrap/>
            <w:vAlign w:val="bottom"/>
          </w:tcPr>
          <w:p w14:paraId="5D6AB9BB" w14:textId="77777777" w:rsidR="0002343B" w:rsidRPr="002E2B5B" w:rsidRDefault="0002343B" w:rsidP="00937ED9">
            <w:pPr>
              <w:spacing w:after="120"/>
              <w:rPr>
                <w:rFonts w:ascii="Calibri" w:hAnsi="Calibri" w:cs="Calibri"/>
                <w:sz w:val="16"/>
                <w:szCs w:val="16"/>
              </w:rPr>
            </w:pPr>
          </w:p>
        </w:tc>
        <w:tc>
          <w:tcPr>
            <w:tcW w:w="876" w:type="pct"/>
            <w:tcBorders>
              <w:left w:val="nil"/>
              <w:bottom w:val="single" w:sz="4" w:space="0" w:color="auto"/>
              <w:right w:val="nil"/>
            </w:tcBorders>
            <w:vAlign w:val="bottom"/>
          </w:tcPr>
          <w:p w14:paraId="62642422" w14:textId="77777777" w:rsidR="0002343B" w:rsidRPr="002E2B5B" w:rsidRDefault="0002343B" w:rsidP="00937ED9">
            <w:pPr>
              <w:spacing w:after="120"/>
              <w:jc w:val="right"/>
              <w:rPr>
                <w:rFonts w:ascii="Calibri" w:hAnsi="Calibri" w:cs="Calibri"/>
                <w:sz w:val="16"/>
                <w:szCs w:val="16"/>
              </w:rPr>
            </w:pPr>
          </w:p>
        </w:tc>
        <w:tc>
          <w:tcPr>
            <w:tcW w:w="951" w:type="pct"/>
            <w:tcBorders>
              <w:left w:val="nil"/>
              <w:bottom w:val="single" w:sz="4" w:space="0" w:color="auto"/>
              <w:right w:val="nil"/>
            </w:tcBorders>
            <w:shd w:val="clear" w:color="auto" w:fill="auto"/>
            <w:noWrap/>
            <w:vAlign w:val="bottom"/>
          </w:tcPr>
          <w:p w14:paraId="36CB0717" w14:textId="74A2C4BF" w:rsidR="0002343B" w:rsidRPr="002E2B5B" w:rsidRDefault="0002343B" w:rsidP="00937ED9">
            <w:pPr>
              <w:spacing w:after="120"/>
              <w:jc w:val="right"/>
              <w:rPr>
                <w:rFonts w:ascii="Calibri" w:hAnsi="Calibri" w:cs="Calibri"/>
                <w:sz w:val="16"/>
                <w:szCs w:val="16"/>
              </w:rPr>
            </w:pPr>
            <w:r w:rsidRPr="002E2B5B">
              <w:rPr>
                <w:rFonts w:ascii="Calibri" w:hAnsi="Calibri" w:cs="Calibri"/>
                <w:sz w:val="16"/>
                <w:szCs w:val="16"/>
              </w:rPr>
              <w:t>(16.171.75</w:t>
            </w:r>
            <w:r w:rsidR="00887504">
              <w:rPr>
                <w:rFonts w:ascii="Calibri" w:hAnsi="Calibri" w:cs="Calibri"/>
                <w:sz w:val="16"/>
                <w:szCs w:val="16"/>
              </w:rPr>
              <w:t>7)</w:t>
            </w:r>
          </w:p>
        </w:tc>
        <w:tc>
          <w:tcPr>
            <w:tcW w:w="85" w:type="pct"/>
            <w:tcBorders>
              <w:left w:val="nil"/>
              <w:right w:val="nil"/>
            </w:tcBorders>
            <w:shd w:val="clear" w:color="auto" w:fill="auto"/>
            <w:noWrap/>
            <w:vAlign w:val="bottom"/>
          </w:tcPr>
          <w:p w14:paraId="25DBD5EC" w14:textId="77777777" w:rsidR="0002343B" w:rsidRPr="002E2B5B" w:rsidRDefault="0002343B" w:rsidP="00937ED9">
            <w:pPr>
              <w:spacing w:after="120"/>
              <w:rPr>
                <w:rFonts w:ascii="Calibri" w:hAnsi="Calibri" w:cs="Calibri"/>
                <w:b/>
                <w:sz w:val="16"/>
                <w:szCs w:val="16"/>
              </w:rPr>
            </w:pPr>
          </w:p>
        </w:tc>
      </w:tr>
      <w:tr w:rsidR="00314D3C" w:rsidRPr="002E2B5B" w14:paraId="287B160F" w14:textId="77777777" w:rsidTr="00314D3C">
        <w:trPr>
          <w:trHeight w:val="255"/>
        </w:trPr>
        <w:tc>
          <w:tcPr>
            <w:tcW w:w="2613" w:type="pct"/>
            <w:tcBorders>
              <w:top w:val="single" w:sz="4" w:space="0" w:color="auto"/>
              <w:left w:val="nil"/>
              <w:bottom w:val="single" w:sz="4" w:space="0" w:color="auto"/>
              <w:right w:val="nil"/>
            </w:tcBorders>
            <w:shd w:val="clear" w:color="auto" w:fill="auto"/>
            <w:noWrap/>
            <w:vAlign w:val="bottom"/>
          </w:tcPr>
          <w:p w14:paraId="24A2CCF8" w14:textId="72668A03" w:rsidR="00314D3C" w:rsidRPr="002E2B5B" w:rsidRDefault="00314D3C" w:rsidP="00314D3C">
            <w:pPr>
              <w:spacing w:after="120"/>
              <w:rPr>
                <w:rFonts w:ascii="Calibri" w:hAnsi="Calibri" w:cs="Calibri"/>
                <w:sz w:val="16"/>
                <w:szCs w:val="16"/>
              </w:rPr>
            </w:pPr>
            <w:r w:rsidRPr="002E2B5B">
              <w:rPr>
                <w:rFonts w:ascii="Calibri" w:hAnsi="Calibri" w:cs="Calibri"/>
                <w:b/>
                <w:sz w:val="16"/>
                <w:szCs w:val="16"/>
              </w:rPr>
              <w:t>SALDO DE CRÉDITO PREVIDENCIÁRIO</w:t>
            </w:r>
            <w:r>
              <w:rPr>
                <w:rFonts w:ascii="Calibri" w:hAnsi="Calibri" w:cs="Calibri"/>
                <w:b/>
                <w:sz w:val="16"/>
                <w:szCs w:val="16"/>
              </w:rPr>
              <w:t xml:space="preserve"> APÓS BAIXA POR PRESCRIÇÃO </w:t>
            </w:r>
            <w:r w:rsidRPr="002E2B5B">
              <w:rPr>
                <w:rFonts w:ascii="Calibri" w:hAnsi="Calibri" w:cs="Calibri"/>
                <w:b/>
                <w:sz w:val="16"/>
                <w:szCs w:val="16"/>
              </w:rPr>
              <w:t xml:space="preserve"> </w:t>
            </w:r>
          </w:p>
        </w:tc>
        <w:tc>
          <w:tcPr>
            <w:tcW w:w="339" w:type="pct"/>
            <w:tcBorders>
              <w:top w:val="single" w:sz="4" w:space="0" w:color="auto"/>
              <w:left w:val="nil"/>
              <w:bottom w:val="single" w:sz="4" w:space="0" w:color="auto"/>
              <w:right w:val="nil"/>
            </w:tcBorders>
            <w:shd w:val="clear" w:color="auto" w:fill="auto"/>
            <w:noWrap/>
            <w:vAlign w:val="bottom"/>
          </w:tcPr>
          <w:p w14:paraId="149DFF44" w14:textId="77777777" w:rsidR="00314D3C" w:rsidRPr="002E2B5B" w:rsidRDefault="00314D3C" w:rsidP="00314D3C">
            <w:pPr>
              <w:spacing w:after="120"/>
              <w:rPr>
                <w:rFonts w:ascii="Calibri" w:hAnsi="Calibri" w:cs="Calibri"/>
                <w:sz w:val="16"/>
                <w:szCs w:val="16"/>
              </w:rPr>
            </w:pPr>
          </w:p>
        </w:tc>
        <w:tc>
          <w:tcPr>
            <w:tcW w:w="135" w:type="pct"/>
            <w:tcBorders>
              <w:top w:val="single" w:sz="4" w:space="0" w:color="auto"/>
              <w:left w:val="nil"/>
              <w:bottom w:val="single" w:sz="4" w:space="0" w:color="auto"/>
              <w:right w:val="nil"/>
            </w:tcBorders>
            <w:shd w:val="clear" w:color="auto" w:fill="auto"/>
            <w:noWrap/>
            <w:vAlign w:val="bottom"/>
          </w:tcPr>
          <w:p w14:paraId="0C569DE3" w14:textId="77777777" w:rsidR="00314D3C" w:rsidRPr="002E2B5B" w:rsidRDefault="00314D3C" w:rsidP="00314D3C">
            <w:pPr>
              <w:spacing w:after="120"/>
              <w:rPr>
                <w:rFonts w:ascii="Calibri" w:hAnsi="Calibri" w:cs="Calibri"/>
                <w:sz w:val="16"/>
                <w:szCs w:val="16"/>
              </w:rPr>
            </w:pPr>
          </w:p>
        </w:tc>
        <w:tc>
          <w:tcPr>
            <w:tcW w:w="876" w:type="pct"/>
            <w:tcBorders>
              <w:top w:val="single" w:sz="4" w:space="0" w:color="auto"/>
              <w:left w:val="nil"/>
              <w:bottom w:val="single" w:sz="4" w:space="0" w:color="auto"/>
              <w:right w:val="nil"/>
            </w:tcBorders>
            <w:vAlign w:val="bottom"/>
          </w:tcPr>
          <w:p w14:paraId="71F3BA32" w14:textId="77777777" w:rsidR="00314D3C" w:rsidRPr="002E2B5B" w:rsidRDefault="00314D3C" w:rsidP="00314D3C">
            <w:pPr>
              <w:spacing w:after="120"/>
              <w:jc w:val="right"/>
              <w:rPr>
                <w:rFonts w:ascii="Calibri" w:hAnsi="Calibri" w:cs="Calibri"/>
                <w:sz w:val="16"/>
                <w:szCs w:val="16"/>
              </w:rPr>
            </w:pPr>
          </w:p>
        </w:tc>
        <w:tc>
          <w:tcPr>
            <w:tcW w:w="951" w:type="pct"/>
            <w:tcBorders>
              <w:top w:val="single" w:sz="4" w:space="0" w:color="auto"/>
              <w:left w:val="nil"/>
              <w:bottom w:val="single" w:sz="4" w:space="0" w:color="auto"/>
              <w:right w:val="nil"/>
            </w:tcBorders>
            <w:shd w:val="clear" w:color="auto" w:fill="auto"/>
            <w:noWrap/>
            <w:vAlign w:val="bottom"/>
          </w:tcPr>
          <w:p w14:paraId="2E3AFADD" w14:textId="4710FE65" w:rsidR="00314D3C" w:rsidRPr="00314D3C" w:rsidRDefault="00314D3C" w:rsidP="00314D3C">
            <w:pPr>
              <w:spacing w:after="120"/>
              <w:jc w:val="right"/>
              <w:rPr>
                <w:rFonts w:ascii="Calibri" w:hAnsi="Calibri" w:cs="Calibri"/>
                <w:b/>
                <w:bCs/>
                <w:sz w:val="16"/>
                <w:szCs w:val="16"/>
              </w:rPr>
            </w:pPr>
            <w:r>
              <w:rPr>
                <w:rFonts w:ascii="Calibri" w:hAnsi="Calibri" w:cs="Calibri"/>
                <w:b/>
                <w:bCs/>
                <w:sz w:val="16"/>
                <w:szCs w:val="16"/>
              </w:rPr>
              <w:t>1.686.381</w:t>
            </w:r>
          </w:p>
        </w:tc>
        <w:tc>
          <w:tcPr>
            <w:tcW w:w="85" w:type="pct"/>
            <w:tcBorders>
              <w:left w:val="nil"/>
              <w:right w:val="nil"/>
            </w:tcBorders>
            <w:shd w:val="clear" w:color="auto" w:fill="auto"/>
            <w:noWrap/>
            <w:vAlign w:val="bottom"/>
          </w:tcPr>
          <w:p w14:paraId="27B6BCF0" w14:textId="77777777" w:rsidR="00314D3C" w:rsidRPr="002E2B5B" w:rsidRDefault="00314D3C" w:rsidP="00314D3C">
            <w:pPr>
              <w:spacing w:after="120"/>
              <w:rPr>
                <w:rFonts w:ascii="Calibri" w:hAnsi="Calibri" w:cs="Calibri"/>
                <w:b/>
                <w:sz w:val="16"/>
                <w:szCs w:val="16"/>
              </w:rPr>
            </w:pPr>
          </w:p>
        </w:tc>
      </w:tr>
      <w:tr w:rsidR="00314D3C" w:rsidRPr="002E2B5B" w14:paraId="00B6C5DC" w14:textId="77777777" w:rsidTr="00314D3C">
        <w:trPr>
          <w:trHeight w:val="255"/>
        </w:trPr>
        <w:tc>
          <w:tcPr>
            <w:tcW w:w="2613" w:type="pct"/>
            <w:tcBorders>
              <w:top w:val="single" w:sz="4" w:space="0" w:color="auto"/>
              <w:left w:val="nil"/>
              <w:right w:val="nil"/>
            </w:tcBorders>
            <w:shd w:val="clear" w:color="auto" w:fill="auto"/>
            <w:noWrap/>
            <w:vAlign w:val="bottom"/>
          </w:tcPr>
          <w:p w14:paraId="1ABBFC62" w14:textId="77777777" w:rsidR="00314D3C" w:rsidRPr="00887504" w:rsidRDefault="00314D3C" w:rsidP="00314D3C">
            <w:pPr>
              <w:spacing w:after="120"/>
              <w:rPr>
                <w:rFonts w:ascii="Calibri" w:hAnsi="Calibri" w:cs="Calibri"/>
                <w:bCs/>
                <w:sz w:val="16"/>
                <w:szCs w:val="16"/>
              </w:rPr>
            </w:pPr>
            <w:r w:rsidRPr="00887504">
              <w:rPr>
                <w:rFonts w:ascii="Calibri" w:hAnsi="Calibri" w:cs="Calibri"/>
                <w:bCs/>
                <w:sz w:val="16"/>
                <w:szCs w:val="16"/>
              </w:rPr>
              <w:t xml:space="preserve">CRÉDITO PRESCRITO EM 2021 (Até </w:t>
            </w:r>
            <w:proofErr w:type="spellStart"/>
            <w:r w:rsidRPr="00887504">
              <w:rPr>
                <w:rFonts w:ascii="Calibri" w:hAnsi="Calibri" w:cs="Calibri"/>
                <w:bCs/>
                <w:sz w:val="16"/>
                <w:szCs w:val="16"/>
              </w:rPr>
              <w:t>Abr</w:t>
            </w:r>
            <w:proofErr w:type="spellEnd"/>
            <w:r w:rsidRPr="00887504">
              <w:rPr>
                <w:rFonts w:ascii="Calibri" w:hAnsi="Calibri" w:cs="Calibri"/>
                <w:bCs/>
                <w:sz w:val="16"/>
                <w:szCs w:val="16"/>
              </w:rPr>
              <w:t>/2021) RECONHECIDO NAS DFS DE 2019</w:t>
            </w:r>
          </w:p>
        </w:tc>
        <w:tc>
          <w:tcPr>
            <w:tcW w:w="339" w:type="pct"/>
            <w:tcBorders>
              <w:top w:val="single" w:sz="4" w:space="0" w:color="auto"/>
              <w:left w:val="nil"/>
              <w:right w:val="nil"/>
            </w:tcBorders>
            <w:shd w:val="clear" w:color="auto" w:fill="auto"/>
            <w:noWrap/>
            <w:vAlign w:val="bottom"/>
          </w:tcPr>
          <w:p w14:paraId="38CDF79F" w14:textId="77777777" w:rsidR="00314D3C" w:rsidRPr="00887504" w:rsidRDefault="00314D3C" w:rsidP="00314D3C">
            <w:pPr>
              <w:spacing w:after="120"/>
              <w:rPr>
                <w:rFonts w:ascii="Calibri" w:hAnsi="Calibri" w:cs="Calibri"/>
                <w:bCs/>
                <w:sz w:val="16"/>
                <w:szCs w:val="16"/>
              </w:rPr>
            </w:pPr>
          </w:p>
        </w:tc>
        <w:tc>
          <w:tcPr>
            <w:tcW w:w="135" w:type="pct"/>
            <w:tcBorders>
              <w:top w:val="single" w:sz="4" w:space="0" w:color="auto"/>
              <w:left w:val="nil"/>
              <w:right w:val="nil"/>
            </w:tcBorders>
            <w:shd w:val="clear" w:color="auto" w:fill="auto"/>
            <w:noWrap/>
            <w:vAlign w:val="bottom"/>
          </w:tcPr>
          <w:p w14:paraId="50A15532" w14:textId="77777777" w:rsidR="00314D3C" w:rsidRPr="00887504" w:rsidRDefault="00314D3C" w:rsidP="00314D3C">
            <w:pPr>
              <w:spacing w:after="120"/>
              <w:rPr>
                <w:rFonts w:ascii="Calibri" w:hAnsi="Calibri" w:cs="Calibri"/>
                <w:bCs/>
                <w:sz w:val="16"/>
                <w:szCs w:val="16"/>
              </w:rPr>
            </w:pPr>
          </w:p>
        </w:tc>
        <w:tc>
          <w:tcPr>
            <w:tcW w:w="876" w:type="pct"/>
            <w:tcBorders>
              <w:top w:val="single" w:sz="4" w:space="0" w:color="auto"/>
              <w:left w:val="nil"/>
              <w:right w:val="nil"/>
            </w:tcBorders>
            <w:vAlign w:val="bottom"/>
          </w:tcPr>
          <w:p w14:paraId="584E2F1D" w14:textId="77777777" w:rsidR="00314D3C" w:rsidRPr="00887504" w:rsidRDefault="00314D3C" w:rsidP="00314D3C">
            <w:pPr>
              <w:spacing w:after="120"/>
              <w:jc w:val="right"/>
              <w:rPr>
                <w:rFonts w:ascii="Calibri" w:hAnsi="Calibri" w:cs="Calibri"/>
                <w:bCs/>
                <w:sz w:val="16"/>
                <w:szCs w:val="16"/>
              </w:rPr>
            </w:pPr>
          </w:p>
        </w:tc>
        <w:tc>
          <w:tcPr>
            <w:tcW w:w="951" w:type="pct"/>
            <w:tcBorders>
              <w:top w:val="single" w:sz="4" w:space="0" w:color="auto"/>
              <w:left w:val="nil"/>
              <w:right w:val="nil"/>
            </w:tcBorders>
            <w:shd w:val="clear" w:color="auto" w:fill="auto"/>
            <w:noWrap/>
            <w:vAlign w:val="bottom"/>
          </w:tcPr>
          <w:p w14:paraId="4A723E1B" w14:textId="77777777" w:rsidR="00314D3C" w:rsidRPr="00887504" w:rsidRDefault="00314D3C" w:rsidP="00314D3C">
            <w:pPr>
              <w:spacing w:after="120"/>
              <w:jc w:val="right"/>
              <w:rPr>
                <w:rFonts w:ascii="Calibri" w:hAnsi="Calibri" w:cs="Calibri"/>
                <w:bCs/>
                <w:sz w:val="16"/>
                <w:szCs w:val="16"/>
              </w:rPr>
            </w:pPr>
            <w:r w:rsidRPr="00887504">
              <w:rPr>
                <w:rFonts w:ascii="Calibri" w:hAnsi="Calibri" w:cs="Calibri"/>
                <w:bCs/>
                <w:sz w:val="16"/>
                <w:szCs w:val="16"/>
              </w:rPr>
              <w:t>(271.209)</w:t>
            </w:r>
          </w:p>
        </w:tc>
        <w:tc>
          <w:tcPr>
            <w:tcW w:w="85" w:type="pct"/>
            <w:tcBorders>
              <w:left w:val="nil"/>
              <w:right w:val="nil"/>
            </w:tcBorders>
            <w:shd w:val="clear" w:color="auto" w:fill="auto"/>
            <w:noWrap/>
            <w:vAlign w:val="bottom"/>
          </w:tcPr>
          <w:p w14:paraId="1BC57218" w14:textId="77777777" w:rsidR="00314D3C" w:rsidRPr="002E2B5B" w:rsidRDefault="00314D3C" w:rsidP="00314D3C">
            <w:pPr>
              <w:spacing w:after="120"/>
              <w:rPr>
                <w:rFonts w:ascii="Calibri" w:hAnsi="Calibri" w:cs="Calibri"/>
                <w:b/>
                <w:sz w:val="16"/>
                <w:szCs w:val="16"/>
              </w:rPr>
            </w:pPr>
          </w:p>
        </w:tc>
      </w:tr>
      <w:tr w:rsidR="00314D3C" w:rsidRPr="002E2B5B" w14:paraId="2AB44943" w14:textId="77777777" w:rsidTr="00987B82">
        <w:trPr>
          <w:trHeight w:val="255"/>
        </w:trPr>
        <w:tc>
          <w:tcPr>
            <w:tcW w:w="2613" w:type="pct"/>
            <w:tcBorders>
              <w:left w:val="nil"/>
              <w:bottom w:val="single" w:sz="4" w:space="0" w:color="auto"/>
              <w:right w:val="nil"/>
            </w:tcBorders>
            <w:shd w:val="clear" w:color="auto" w:fill="auto"/>
            <w:noWrap/>
            <w:vAlign w:val="bottom"/>
          </w:tcPr>
          <w:p w14:paraId="7ED132CE" w14:textId="77777777" w:rsidR="00314D3C" w:rsidRPr="00887504" w:rsidRDefault="00314D3C" w:rsidP="00314D3C">
            <w:pPr>
              <w:spacing w:after="120"/>
              <w:rPr>
                <w:rFonts w:ascii="Calibri" w:hAnsi="Calibri" w:cs="Calibri"/>
                <w:bCs/>
                <w:sz w:val="16"/>
                <w:szCs w:val="16"/>
              </w:rPr>
            </w:pPr>
            <w:r w:rsidRPr="00887504">
              <w:rPr>
                <w:rFonts w:ascii="Calibri" w:hAnsi="Calibri" w:cs="Calibri"/>
                <w:bCs/>
                <w:sz w:val="16"/>
                <w:szCs w:val="16"/>
              </w:rPr>
              <w:t xml:space="preserve">CRÉDITO PRESCRITO EM 2021 (Até </w:t>
            </w:r>
            <w:proofErr w:type="spellStart"/>
            <w:r w:rsidRPr="00887504">
              <w:rPr>
                <w:rFonts w:ascii="Calibri" w:hAnsi="Calibri" w:cs="Calibri"/>
                <w:bCs/>
                <w:sz w:val="16"/>
                <w:szCs w:val="16"/>
              </w:rPr>
              <w:t>jun</w:t>
            </w:r>
            <w:proofErr w:type="spellEnd"/>
            <w:r w:rsidRPr="00887504">
              <w:rPr>
                <w:rFonts w:ascii="Calibri" w:hAnsi="Calibri" w:cs="Calibri"/>
                <w:bCs/>
                <w:sz w:val="16"/>
                <w:szCs w:val="16"/>
              </w:rPr>
              <w:t>/2021) RECONHECIDO NAS DFS DE 2020</w:t>
            </w:r>
          </w:p>
        </w:tc>
        <w:tc>
          <w:tcPr>
            <w:tcW w:w="339" w:type="pct"/>
            <w:tcBorders>
              <w:left w:val="nil"/>
              <w:bottom w:val="single" w:sz="4" w:space="0" w:color="auto"/>
              <w:right w:val="nil"/>
            </w:tcBorders>
            <w:shd w:val="clear" w:color="auto" w:fill="auto"/>
            <w:noWrap/>
            <w:vAlign w:val="bottom"/>
          </w:tcPr>
          <w:p w14:paraId="3A96F748" w14:textId="77777777" w:rsidR="00314D3C" w:rsidRPr="00887504" w:rsidRDefault="00314D3C" w:rsidP="00314D3C">
            <w:pPr>
              <w:spacing w:after="120"/>
              <w:rPr>
                <w:rFonts w:ascii="Calibri" w:hAnsi="Calibri" w:cs="Calibri"/>
                <w:bCs/>
                <w:sz w:val="16"/>
                <w:szCs w:val="16"/>
              </w:rPr>
            </w:pPr>
          </w:p>
        </w:tc>
        <w:tc>
          <w:tcPr>
            <w:tcW w:w="135" w:type="pct"/>
            <w:tcBorders>
              <w:left w:val="nil"/>
              <w:bottom w:val="single" w:sz="4" w:space="0" w:color="auto"/>
              <w:right w:val="nil"/>
            </w:tcBorders>
            <w:shd w:val="clear" w:color="auto" w:fill="auto"/>
            <w:noWrap/>
            <w:vAlign w:val="bottom"/>
          </w:tcPr>
          <w:p w14:paraId="4C99607E" w14:textId="77777777" w:rsidR="00314D3C" w:rsidRPr="00887504" w:rsidRDefault="00314D3C" w:rsidP="00314D3C">
            <w:pPr>
              <w:spacing w:after="120"/>
              <w:rPr>
                <w:rFonts w:ascii="Calibri" w:hAnsi="Calibri" w:cs="Calibri"/>
                <w:bCs/>
                <w:sz w:val="16"/>
                <w:szCs w:val="16"/>
              </w:rPr>
            </w:pPr>
          </w:p>
        </w:tc>
        <w:tc>
          <w:tcPr>
            <w:tcW w:w="876" w:type="pct"/>
            <w:tcBorders>
              <w:left w:val="nil"/>
              <w:bottom w:val="single" w:sz="4" w:space="0" w:color="auto"/>
              <w:right w:val="nil"/>
            </w:tcBorders>
            <w:vAlign w:val="bottom"/>
          </w:tcPr>
          <w:p w14:paraId="3317ABB9" w14:textId="77777777" w:rsidR="00314D3C" w:rsidRPr="00887504" w:rsidRDefault="00314D3C" w:rsidP="00314D3C">
            <w:pPr>
              <w:spacing w:after="120"/>
              <w:jc w:val="right"/>
              <w:rPr>
                <w:rFonts w:ascii="Calibri" w:hAnsi="Calibri" w:cs="Calibri"/>
                <w:bCs/>
                <w:sz w:val="16"/>
                <w:szCs w:val="16"/>
              </w:rPr>
            </w:pPr>
          </w:p>
        </w:tc>
        <w:tc>
          <w:tcPr>
            <w:tcW w:w="951" w:type="pct"/>
            <w:tcBorders>
              <w:left w:val="nil"/>
              <w:bottom w:val="single" w:sz="4" w:space="0" w:color="auto"/>
              <w:right w:val="nil"/>
            </w:tcBorders>
            <w:shd w:val="clear" w:color="auto" w:fill="auto"/>
            <w:noWrap/>
            <w:vAlign w:val="bottom"/>
          </w:tcPr>
          <w:p w14:paraId="2E23ABE7" w14:textId="77777777" w:rsidR="00314D3C" w:rsidRPr="00887504" w:rsidRDefault="00314D3C" w:rsidP="00314D3C">
            <w:pPr>
              <w:spacing w:after="120"/>
              <w:jc w:val="right"/>
              <w:rPr>
                <w:rFonts w:ascii="Calibri" w:hAnsi="Calibri" w:cs="Calibri"/>
                <w:bCs/>
                <w:sz w:val="16"/>
                <w:szCs w:val="16"/>
              </w:rPr>
            </w:pPr>
            <w:r w:rsidRPr="00887504">
              <w:rPr>
                <w:rFonts w:ascii="Calibri" w:hAnsi="Calibri" w:cs="Calibri"/>
                <w:bCs/>
                <w:sz w:val="16"/>
                <w:szCs w:val="16"/>
              </w:rPr>
              <w:t>(132.239)</w:t>
            </w:r>
          </w:p>
        </w:tc>
        <w:tc>
          <w:tcPr>
            <w:tcW w:w="85" w:type="pct"/>
            <w:tcBorders>
              <w:left w:val="nil"/>
              <w:bottom w:val="single" w:sz="4" w:space="0" w:color="auto"/>
              <w:right w:val="nil"/>
            </w:tcBorders>
            <w:shd w:val="clear" w:color="auto" w:fill="auto"/>
            <w:noWrap/>
            <w:vAlign w:val="bottom"/>
          </w:tcPr>
          <w:p w14:paraId="298692A3" w14:textId="77777777" w:rsidR="00314D3C" w:rsidRPr="002E2B5B" w:rsidRDefault="00314D3C" w:rsidP="00314D3C">
            <w:pPr>
              <w:spacing w:after="120"/>
              <w:rPr>
                <w:rFonts w:ascii="Calibri" w:hAnsi="Calibri" w:cs="Calibri"/>
                <w:b/>
                <w:sz w:val="16"/>
                <w:szCs w:val="16"/>
              </w:rPr>
            </w:pPr>
          </w:p>
        </w:tc>
      </w:tr>
      <w:tr w:rsidR="00314D3C" w:rsidRPr="002E2B5B" w14:paraId="03BD3B95" w14:textId="77777777" w:rsidTr="00987B82">
        <w:trPr>
          <w:trHeight w:val="255"/>
        </w:trPr>
        <w:tc>
          <w:tcPr>
            <w:tcW w:w="2613" w:type="pct"/>
            <w:tcBorders>
              <w:top w:val="single" w:sz="4" w:space="0" w:color="auto"/>
              <w:left w:val="nil"/>
              <w:bottom w:val="single" w:sz="4" w:space="0" w:color="auto"/>
              <w:right w:val="nil"/>
            </w:tcBorders>
            <w:shd w:val="clear" w:color="auto" w:fill="auto"/>
            <w:noWrap/>
            <w:vAlign w:val="bottom"/>
          </w:tcPr>
          <w:p w14:paraId="10AEAFA6" w14:textId="22A3EC4C" w:rsidR="00314D3C" w:rsidRPr="002E2B5B" w:rsidRDefault="00314D3C" w:rsidP="00314D3C">
            <w:pPr>
              <w:spacing w:after="120"/>
              <w:rPr>
                <w:rFonts w:ascii="Calibri" w:hAnsi="Calibri" w:cs="Calibri"/>
                <w:b/>
                <w:sz w:val="16"/>
                <w:szCs w:val="16"/>
              </w:rPr>
            </w:pPr>
            <w:r w:rsidRPr="002E2B5B">
              <w:rPr>
                <w:rFonts w:ascii="Calibri" w:hAnsi="Calibri" w:cs="Calibri"/>
                <w:b/>
                <w:sz w:val="16"/>
                <w:szCs w:val="16"/>
              </w:rPr>
              <w:t>SALDO DE CRÉDITO PREVIDENCIÁRIO EM 31/12/2020</w:t>
            </w:r>
          </w:p>
        </w:tc>
        <w:tc>
          <w:tcPr>
            <w:tcW w:w="339" w:type="pct"/>
            <w:tcBorders>
              <w:top w:val="single" w:sz="4" w:space="0" w:color="auto"/>
              <w:left w:val="nil"/>
              <w:bottom w:val="single" w:sz="4" w:space="0" w:color="auto"/>
              <w:right w:val="nil"/>
            </w:tcBorders>
            <w:shd w:val="clear" w:color="auto" w:fill="auto"/>
            <w:noWrap/>
            <w:vAlign w:val="bottom"/>
          </w:tcPr>
          <w:p w14:paraId="18953744" w14:textId="77777777" w:rsidR="00314D3C" w:rsidRPr="002E2B5B" w:rsidRDefault="00314D3C" w:rsidP="00314D3C">
            <w:pPr>
              <w:spacing w:after="120"/>
              <w:rPr>
                <w:rFonts w:ascii="Calibri" w:hAnsi="Calibri" w:cs="Calibri"/>
                <w:b/>
                <w:sz w:val="16"/>
                <w:szCs w:val="16"/>
              </w:rPr>
            </w:pPr>
          </w:p>
        </w:tc>
        <w:tc>
          <w:tcPr>
            <w:tcW w:w="135" w:type="pct"/>
            <w:tcBorders>
              <w:top w:val="single" w:sz="4" w:space="0" w:color="auto"/>
              <w:left w:val="nil"/>
              <w:bottom w:val="single" w:sz="4" w:space="0" w:color="auto"/>
              <w:right w:val="nil"/>
            </w:tcBorders>
            <w:shd w:val="clear" w:color="auto" w:fill="auto"/>
            <w:noWrap/>
            <w:vAlign w:val="bottom"/>
          </w:tcPr>
          <w:p w14:paraId="2F75FBE1" w14:textId="77777777" w:rsidR="00314D3C" w:rsidRPr="002E2B5B" w:rsidRDefault="00314D3C" w:rsidP="00314D3C">
            <w:pPr>
              <w:spacing w:after="120"/>
              <w:rPr>
                <w:rFonts w:ascii="Calibri" w:hAnsi="Calibri" w:cs="Calibri"/>
                <w:b/>
                <w:sz w:val="16"/>
                <w:szCs w:val="16"/>
              </w:rPr>
            </w:pPr>
          </w:p>
        </w:tc>
        <w:tc>
          <w:tcPr>
            <w:tcW w:w="876" w:type="pct"/>
            <w:tcBorders>
              <w:top w:val="single" w:sz="4" w:space="0" w:color="auto"/>
              <w:left w:val="nil"/>
              <w:bottom w:val="single" w:sz="4" w:space="0" w:color="auto"/>
              <w:right w:val="nil"/>
            </w:tcBorders>
            <w:vAlign w:val="bottom"/>
          </w:tcPr>
          <w:p w14:paraId="5C4CA7D9" w14:textId="77777777" w:rsidR="00314D3C" w:rsidRPr="002E2B5B" w:rsidRDefault="00314D3C" w:rsidP="00314D3C">
            <w:pPr>
              <w:spacing w:after="120"/>
              <w:jc w:val="right"/>
              <w:rPr>
                <w:rFonts w:ascii="Calibri" w:hAnsi="Calibri" w:cs="Calibri"/>
                <w:b/>
                <w:sz w:val="16"/>
                <w:szCs w:val="16"/>
              </w:rPr>
            </w:pPr>
          </w:p>
        </w:tc>
        <w:tc>
          <w:tcPr>
            <w:tcW w:w="951" w:type="pct"/>
            <w:tcBorders>
              <w:top w:val="single" w:sz="4" w:space="0" w:color="auto"/>
              <w:left w:val="nil"/>
              <w:bottom w:val="single" w:sz="4" w:space="0" w:color="auto"/>
              <w:right w:val="nil"/>
            </w:tcBorders>
            <w:shd w:val="clear" w:color="auto" w:fill="auto"/>
            <w:noWrap/>
            <w:vAlign w:val="bottom"/>
          </w:tcPr>
          <w:p w14:paraId="03D02A1E" w14:textId="25AD076D" w:rsidR="00314D3C" w:rsidRDefault="00314D3C" w:rsidP="00314D3C">
            <w:pPr>
              <w:spacing w:after="120"/>
              <w:jc w:val="right"/>
              <w:rPr>
                <w:rFonts w:ascii="Calibri" w:hAnsi="Calibri" w:cs="Calibri"/>
                <w:b/>
                <w:sz w:val="16"/>
                <w:szCs w:val="16"/>
              </w:rPr>
            </w:pPr>
            <w:r>
              <w:rPr>
                <w:rFonts w:ascii="Calibri" w:hAnsi="Calibri" w:cs="Calibri"/>
                <w:b/>
                <w:sz w:val="16"/>
                <w:szCs w:val="16"/>
              </w:rPr>
              <w:t>1.282.933</w:t>
            </w:r>
          </w:p>
        </w:tc>
        <w:tc>
          <w:tcPr>
            <w:tcW w:w="85" w:type="pct"/>
            <w:tcBorders>
              <w:top w:val="single" w:sz="4" w:space="0" w:color="auto"/>
              <w:left w:val="nil"/>
              <w:bottom w:val="single" w:sz="4" w:space="0" w:color="auto"/>
              <w:right w:val="nil"/>
            </w:tcBorders>
            <w:shd w:val="clear" w:color="auto" w:fill="auto"/>
            <w:noWrap/>
            <w:vAlign w:val="bottom"/>
          </w:tcPr>
          <w:p w14:paraId="63EC8528" w14:textId="77777777" w:rsidR="00314D3C" w:rsidRPr="002E2B5B" w:rsidRDefault="00314D3C" w:rsidP="00314D3C">
            <w:pPr>
              <w:spacing w:after="120"/>
              <w:rPr>
                <w:rFonts w:ascii="Calibri" w:hAnsi="Calibri" w:cs="Calibri"/>
                <w:b/>
                <w:sz w:val="16"/>
                <w:szCs w:val="16"/>
              </w:rPr>
            </w:pPr>
          </w:p>
        </w:tc>
      </w:tr>
      <w:tr w:rsidR="00314D3C" w:rsidRPr="002E2B5B" w14:paraId="0568FF60" w14:textId="77777777" w:rsidTr="00987B82">
        <w:trPr>
          <w:trHeight w:val="255"/>
        </w:trPr>
        <w:tc>
          <w:tcPr>
            <w:tcW w:w="2613" w:type="pct"/>
            <w:tcBorders>
              <w:top w:val="single" w:sz="4" w:space="0" w:color="auto"/>
              <w:left w:val="nil"/>
              <w:bottom w:val="single" w:sz="4" w:space="0" w:color="auto"/>
              <w:right w:val="nil"/>
            </w:tcBorders>
            <w:shd w:val="clear" w:color="auto" w:fill="auto"/>
            <w:noWrap/>
            <w:vAlign w:val="bottom"/>
          </w:tcPr>
          <w:p w14:paraId="6F216491" w14:textId="61C73936" w:rsidR="00314D3C" w:rsidRPr="00314D3C" w:rsidRDefault="00314D3C" w:rsidP="00314D3C">
            <w:pPr>
              <w:spacing w:after="120"/>
              <w:rPr>
                <w:rFonts w:ascii="Calibri" w:hAnsi="Calibri" w:cs="Calibri"/>
                <w:bCs/>
                <w:sz w:val="16"/>
                <w:szCs w:val="16"/>
              </w:rPr>
            </w:pPr>
            <w:r w:rsidRPr="00314D3C">
              <w:rPr>
                <w:rFonts w:ascii="Calibri" w:hAnsi="Calibri" w:cs="Calibri"/>
                <w:bCs/>
                <w:sz w:val="16"/>
                <w:szCs w:val="16"/>
              </w:rPr>
              <w:t>CRÉDITO PRESCRITO EM 2021 RECONHECIDO NAS DFS DE 2021</w:t>
            </w:r>
          </w:p>
        </w:tc>
        <w:tc>
          <w:tcPr>
            <w:tcW w:w="339" w:type="pct"/>
            <w:tcBorders>
              <w:top w:val="single" w:sz="4" w:space="0" w:color="auto"/>
              <w:left w:val="nil"/>
              <w:bottom w:val="single" w:sz="4" w:space="0" w:color="auto"/>
              <w:right w:val="nil"/>
            </w:tcBorders>
            <w:shd w:val="clear" w:color="auto" w:fill="auto"/>
            <w:noWrap/>
            <w:vAlign w:val="bottom"/>
          </w:tcPr>
          <w:p w14:paraId="6F1BFE2B" w14:textId="77777777" w:rsidR="00314D3C" w:rsidRPr="00314D3C" w:rsidRDefault="00314D3C" w:rsidP="00314D3C">
            <w:pPr>
              <w:spacing w:after="120"/>
              <w:rPr>
                <w:rFonts w:ascii="Calibri" w:hAnsi="Calibri" w:cs="Calibri"/>
                <w:bCs/>
                <w:sz w:val="16"/>
                <w:szCs w:val="16"/>
              </w:rPr>
            </w:pPr>
          </w:p>
        </w:tc>
        <w:tc>
          <w:tcPr>
            <w:tcW w:w="135" w:type="pct"/>
            <w:tcBorders>
              <w:top w:val="single" w:sz="4" w:space="0" w:color="auto"/>
              <w:left w:val="nil"/>
              <w:bottom w:val="single" w:sz="4" w:space="0" w:color="auto"/>
              <w:right w:val="nil"/>
            </w:tcBorders>
            <w:shd w:val="clear" w:color="auto" w:fill="auto"/>
            <w:noWrap/>
            <w:vAlign w:val="bottom"/>
          </w:tcPr>
          <w:p w14:paraId="1FF29C41" w14:textId="77777777" w:rsidR="00314D3C" w:rsidRPr="00314D3C" w:rsidRDefault="00314D3C" w:rsidP="00314D3C">
            <w:pPr>
              <w:spacing w:after="120"/>
              <w:rPr>
                <w:rFonts w:ascii="Calibri" w:hAnsi="Calibri" w:cs="Calibri"/>
                <w:bCs/>
                <w:sz w:val="16"/>
                <w:szCs w:val="16"/>
              </w:rPr>
            </w:pPr>
          </w:p>
        </w:tc>
        <w:tc>
          <w:tcPr>
            <w:tcW w:w="876" w:type="pct"/>
            <w:tcBorders>
              <w:top w:val="single" w:sz="4" w:space="0" w:color="auto"/>
              <w:left w:val="nil"/>
              <w:bottom w:val="single" w:sz="4" w:space="0" w:color="auto"/>
              <w:right w:val="nil"/>
            </w:tcBorders>
            <w:vAlign w:val="bottom"/>
          </w:tcPr>
          <w:p w14:paraId="39611AFE" w14:textId="77777777" w:rsidR="00314D3C" w:rsidRPr="00314D3C" w:rsidRDefault="00314D3C" w:rsidP="00314D3C">
            <w:pPr>
              <w:spacing w:after="120"/>
              <w:jc w:val="right"/>
              <w:rPr>
                <w:rFonts w:ascii="Calibri" w:hAnsi="Calibri" w:cs="Calibri"/>
                <w:bCs/>
                <w:sz w:val="16"/>
                <w:szCs w:val="16"/>
              </w:rPr>
            </w:pPr>
          </w:p>
        </w:tc>
        <w:tc>
          <w:tcPr>
            <w:tcW w:w="951" w:type="pct"/>
            <w:tcBorders>
              <w:top w:val="single" w:sz="4" w:space="0" w:color="auto"/>
              <w:left w:val="nil"/>
              <w:bottom w:val="single" w:sz="4" w:space="0" w:color="auto"/>
              <w:right w:val="nil"/>
            </w:tcBorders>
            <w:shd w:val="clear" w:color="auto" w:fill="auto"/>
            <w:noWrap/>
            <w:vAlign w:val="bottom"/>
          </w:tcPr>
          <w:p w14:paraId="5D5550A6" w14:textId="22277A92" w:rsidR="00314D3C" w:rsidRPr="00314D3C" w:rsidRDefault="00314D3C" w:rsidP="00314D3C">
            <w:pPr>
              <w:spacing w:after="120"/>
              <w:jc w:val="right"/>
              <w:rPr>
                <w:rFonts w:ascii="Calibri" w:hAnsi="Calibri" w:cs="Calibri"/>
                <w:bCs/>
                <w:sz w:val="16"/>
                <w:szCs w:val="16"/>
              </w:rPr>
            </w:pPr>
            <w:r w:rsidRPr="00314D3C">
              <w:rPr>
                <w:rFonts w:ascii="Calibri" w:hAnsi="Calibri" w:cs="Calibri"/>
                <w:bCs/>
                <w:sz w:val="16"/>
                <w:szCs w:val="16"/>
              </w:rPr>
              <w:t>(510.827)</w:t>
            </w:r>
          </w:p>
        </w:tc>
        <w:tc>
          <w:tcPr>
            <w:tcW w:w="85" w:type="pct"/>
            <w:tcBorders>
              <w:top w:val="single" w:sz="4" w:space="0" w:color="auto"/>
              <w:left w:val="nil"/>
              <w:bottom w:val="single" w:sz="4" w:space="0" w:color="auto"/>
              <w:right w:val="nil"/>
            </w:tcBorders>
            <w:shd w:val="clear" w:color="auto" w:fill="auto"/>
            <w:noWrap/>
            <w:vAlign w:val="bottom"/>
          </w:tcPr>
          <w:p w14:paraId="2D03C9FF" w14:textId="77777777" w:rsidR="00314D3C" w:rsidRPr="002E2B5B" w:rsidRDefault="00314D3C" w:rsidP="00314D3C">
            <w:pPr>
              <w:spacing w:after="120"/>
              <w:rPr>
                <w:rFonts w:ascii="Calibri" w:hAnsi="Calibri" w:cs="Calibri"/>
                <w:b/>
                <w:sz w:val="16"/>
                <w:szCs w:val="16"/>
              </w:rPr>
            </w:pPr>
          </w:p>
        </w:tc>
      </w:tr>
      <w:tr w:rsidR="00314D3C" w:rsidRPr="002E2B5B" w14:paraId="0E696F7E" w14:textId="77777777" w:rsidTr="00564A77">
        <w:trPr>
          <w:trHeight w:val="255"/>
        </w:trPr>
        <w:tc>
          <w:tcPr>
            <w:tcW w:w="2613" w:type="pct"/>
            <w:tcBorders>
              <w:top w:val="single" w:sz="4" w:space="0" w:color="auto"/>
              <w:left w:val="nil"/>
              <w:bottom w:val="single" w:sz="4" w:space="0" w:color="auto"/>
              <w:right w:val="nil"/>
            </w:tcBorders>
            <w:shd w:val="clear" w:color="auto" w:fill="auto"/>
            <w:noWrap/>
            <w:vAlign w:val="bottom"/>
          </w:tcPr>
          <w:p w14:paraId="317AE8AC" w14:textId="2CA8C992" w:rsidR="00314D3C" w:rsidRPr="002E2B5B" w:rsidRDefault="00314D3C" w:rsidP="00314D3C">
            <w:pPr>
              <w:spacing w:after="120"/>
              <w:rPr>
                <w:rFonts w:ascii="Calibri" w:hAnsi="Calibri" w:cs="Calibri"/>
                <w:b/>
                <w:sz w:val="16"/>
                <w:szCs w:val="16"/>
              </w:rPr>
            </w:pPr>
            <w:r w:rsidRPr="002E2B5B">
              <w:rPr>
                <w:rFonts w:ascii="Calibri" w:hAnsi="Calibri" w:cs="Calibri"/>
                <w:b/>
                <w:sz w:val="16"/>
                <w:szCs w:val="16"/>
              </w:rPr>
              <w:t xml:space="preserve">SALDO DE CRÉDITO PREVIDENCIÁRIO EM </w:t>
            </w:r>
            <w:r>
              <w:rPr>
                <w:rFonts w:ascii="Calibri" w:hAnsi="Calibri" w:cs="Calibri"/>
                <w:b/>
                <w:sz w:val="16"/>
                <w:szCs w:val="16"/>
              </w:rPr>
              <w:t>31/12</w:t>
            </w:r>
            <w:r w:rsidRPr="002E2B5B">
              <w:rPr>
                <w:rFonts w:ascii="Calibri" w:hAnsi="Calibri" w:cs="Calibri"/>
                <w:b/>
                <w:sz w:val="16"/>
                <w:szCs w:val="16"/>
              </w:rPr>
              <w:t>/2021</w:t>
            </w:r>
          </w:p>
        </w:tc>
        <w:tc>
          <w:tcPr>
            <w:tcW w:w="339" w:type="pct"/>
            <w:tcBorders>
              <w:top w:val="single" w:sz="4" w:space="0" w:color="auto"/>
              <w:left w:val="nil"/>
              <w:bottom w:val="single" w:sz="4" w:space="0" w:color="auto"/>
              <w:right w:val="nil"/>
            </w:tcBorders>
            <w:shd w:val="clear" w:color="auto" w:fill="auto"/>
            <w:noWrap/>
            <w:vAlign w:val="bottom"/>
          </w:tcPr>
          <w:p w14:paraId="533CE301" w14:textId="77777777" w:rsidR="00314D3C" w:rsidRPr="002E2B5B" w:rsidRDefault="00314D3C" w:rsidP="00314D3C">
            <w:pPr>
              <w:spacing w:after="120"/>
              <w:rPr>
                <w:rFonts w:ascii="Calibri" w:hAnsi="Calibri" w:cs="Calibri"/>
                <w:b/>
                <w:sz w:val="16"/>
                <w:szCs w:val="16"/>
              </w:rPr>
            </w:pPr>
          </w:p>
        </w:tc>
        <w:tc>
          <w:tcPr>
            <w:tcW w:w="135" w:type="pct"/>
            <w:tcBorders>
              <w:top w:val="single" w:sz="4" w:space="0" w:color="auto"/>
              <w:left w:val="nil"/>
              <w:bottom w:val="single" w:sz="4" w:space="0" w:color="auto"/>
              <w:right w:val="nil"/>
            </w:tcBorders>
            <w:shd w:val="clear" w:color="auto" w:fill="auto"/>
            <w:noWrap/>
            <w:vAlign w:val="bottom"/>
          </w:tcPr>
          <w:p w14:paraId="61DD7301" w14:textId="77777777" w:rsidR="00314D3C" w:rsidRPr="002E2B5B" w:rsidRDefault="00314D3C" w:rsidP="00314D3C">
            <w:pPr>
              <w:spacing w:after="120"/>
              <w:rPr>
                <w:rFonts w:ascii="Calibri" w:hAnsi="Calibri" w:cs="Calibri"/>
                <w:b/>
                <w:sz w:val="16"/>
                <w:szCs w:val="16"/>
              </w:rPr>
            </w:pPr>
          </w:p>
        </w:tc>
        <w:tc>
          <w:tcPr>
            <w:tcW w:w="876" w:type="pct"/>
            <w:tcBorders>
              <w:top w:val="single" w:sz="4" w:space="0" w:color="auto"/>
              <w:left w:val="nil"/>
              <w:bottom w:val="single" w:sz="4" w:space="0" w:color="auto"/>
              <w:right w:val="nil"/>
            </w:tcBorders>
            <w:vAlign w:val="bottom"/>
          </w:tcPr>
          <w:p w14:paraId="0791DECF" w14:textId="77777777" w:rsidR="00314D3C" w:rsidRPr="002E2B5B" w:rsidRDefault="00314D3C" w:rsidP="00314D3C">
            <w:pPr>
              <w:spacing w:after="120"/>
              <w:jc w:val="right"/>
              <w:rPr>
                <w:rFonts w:ascii="Calibri" w:hAnsi="Calibri" w:cs="Calibri"/>
                <w:b/>
                <w:sz w:val="16"/>
                <w:szCs w:val="16"/>
              </w:rPr>
            </w:pPr>
          </w:p>
        </w:tc>
        <w:tc>
          <w:tcPr>
            <w:tcW w:w="951" w:type="pct"/>
            <w:tcBorders>
              <w:top w:val="single" w:sz="4" w:space="0" w:color="auto"/>
              <w:left w:val="nil"/>
              <w:bottom w:val="single" w:sz="4" w:space="0" w:color="auto"/>
              <w:right w:val="nil"/>
            </w:tcBorders>
            <w:shd w:val="clear" w:color="auto" w:fill="auto"/>
            <w:noWrap/>
            <w:vAlign w:val="bottom"/>
          </w:tcPr>
          <w:p w14:paraId="021D5ED4" w14:textId="692D6561" w:rsidR="00314D3C" w:rsidRDefault="00314D3C" w:rsidP="00314D3C">
            <w:pPr>
              <w:spacing w:after="120"/>
              <w:jc w:val="right"/>
              <w:rPr>
                <w:rFonts w:ascii="Calibri" w:hAnsi="Calibri" w:cs="Calibri"/>
                <w:b/>
                <w:sz w:val="16"/>
                <w:szCs w:val="16"/>
              </w:rPr>
            </w:pPr>
            <w:r>
              <w:rPr>
                <w:rFonts w:ascii="Calibri" w:hAnsi="Calibri" w:cs="Calibri"/>
                <w:b/>
                <w:sz w:val="16"/>
                <w:szCs w:val="16"/>
              </w:rPr>
              <w:t>772.106</w:t>
            </w:r>
          </w:p>
        </w:tc>
        <w:tc>
          <w:tcPr>
            <w:tcW w:w="85" w:type="pct"/>
            <w:tcBorders>
              <w:top w:val="single" w:sz="4" w:space="0" w:color="auto"/>
              <w:left w:val="nil"/>
              <w:bottom w:val="single" w:sz="4" w:space="0" w:color="auto"/>
              <w:right w:val="nil"/>
            </w:tcBorders>
            <w:shd w:val="clear" w:color="auto" w:fill="auto"/>
            <w:noWrap/>
            <w:vAlign w:val="bottom"/>
          </w:tcPr>
          <w:p w14:paraId="3BCBA443" w14:textId="77777777" w:rsidR="00314D3C" w:rsidRPr="002E2B5B" w:rsidRDefault="00314D3C" w:rsidP="00314D3C">
            <w:pPr>
              <w:spacing w:after="120"/>
              <w:rPr>
                <w:rFonts w:ascii="Calibri" w:hAnsi="Calibri" w:cs="Calibri"/>
                <w:b/>
                <w:sz w:val="16"/>
                <w:szCs w:val="16"/>
              </w:rPr>
            </w:pPr>
          </w:p>
        </w:tc>
      </w:tr>
      <w:tr w:rsidR="00314D3C" w:rsidRPr="002E2B5B" w14:paraId="409FB105" w14:textId="77777777" w:rsidTr="00564A77">
        <w:trPr>
          <w:trHeight w:val="255"/>
        </w:trPr>
        <w:tc>
          <w:tcPr>
            <w:tcW w:w="2613" w:type="pct"/>
            <w:tcBorders>
              <w:top w:val="single" w:sz="4" w:space="0" w:color="auto"/>
              <w:left w:val="nil"/>
              <w:right w:val="nil"/>
            </w:tcBorders>
            <w:shd w:val="clear" w:color="auto" w:fill="auto"/>
            <w:noWrap/>
            <w:vAlign w:val="bottom"/>
          </w:tcPr>
          <w:p w14:paraId="4C5989C4" w14:textId="63AB8512" w:rsidR="00314D3C" w:rsidRPr="00314D3C" w:rsidRDefault="00314D3C" w:rsidP="00314D3C">
            <w:pPr>
              <w:spacing w:after="120"/>
              <w:rPr>
                <w:rFonts w:ascii="Calibri" w:hAnsi="Calibri" w:cs="Calibri"/>
                <w:bCs/>
                <w:sz w:val="16"/>
                <w:szCs w:val="16"/>
              </w:rPr>
            </w:pPr>
            <w:r w:rsidRPr="00314D3C">
              <w:rPr>
                <w:rFonts w:ascii="Calibri" w:hAnsi="Calibri" w:cs="Calibri"/>
                <w:bCs/>
                <w:sz w:val="16"/>
                <w:szCs w:val="16"/>
              </w:rPr>
              <w:t>CRÉDITO PRESCRITO 1º TRIMESTRE DE 2022</w:t>
            </w:r>
          </w:p>
        </w:tc>
        <w:tc>
          <w:tcPr>
            <w:tcW w:w="339" w:type="pct"/>
            <w:tcBorders>
              <w:top w:val="single" w:sz="4" w:space="0" w:color="auto"/>
              <w:left w:val="nil"/>
              <w:right w:val="nil"/>
            </w:tcBorders>
            <w:shd w:val="clear" w:color="auto" w:fill="auto"/>
            <w:noWrap/>
            <w:vAlign w:val="bottom"/>
          </w:tcPr>
          <w:p w14:paraId="22070B3B" w14:textId="77777777" w:rsidR="00314D3C" w:rsidRPr="00314D3C" w:rsidRDefault="00314D3C" w:rsidP="00314D3C">
            <w:pPr>
              <w:spacing w:after="120"/>
              <w:rPr>
                <w:rFonts w:ascii="Calibri" w:hAnsi="Calibri" w:cs="Calibri"/>
                <w:bCs/>
                <w:sz w:val="16"/>
                <w:szCs w:val="16"/>
              </w:rPr>
            </w:pPr>
          </w:p>
        </w:tc>
        <w:tc>
          <w:tcPr>
            <w:tcW w:w="135" w:type="pct"/>
            <w:tcBorders>
              <w:top w:val="single" w:sz="4" w:space="0" w:color="auto"/>
              <w:left w:val="nil"/>
              <w:right w:val="nil"/>
            </w:tcBorders>
            <w:shd w:val="clear" w:color="auto" w:fill="auto"/>
            <w:noWrap/>
            <w:vAlign w:val="bottom"/>
          </w:tcPr>
          <w:p w14:paraId="0346A6E9" w14:textId="77777777" w:rsidR="00314D3C" w:rsidRPr="00314D3C" w:rsidRDefault="00314D3C" w:rsidP="00314D3C">
            <w:pPr>
              <w:spacing w:after="120"/>
              <w:rPr>
                <w:rFonts w:ascii="Calibri" w:hAnsi="Calibri" w:cs="Calibri"/>
                <w:bCs/>
                <w:sz w:val="16"/>
                <w:szCs w:val="16"/>
              </w:rPr>
            </w:pPr>
          </w:p>
        </w:tc>
        <w:tc>
          <w:tcPr>
            <w:tcW w:w="876" w:type="pct"/>
            <w:tcBorders>
              <w:top w:val="single" w:sz="4" w:space="0" w:color="auto"/>
              <w:left w:val="nil"/>
              <w:right w:val="nil"/>
            </w:tcBorders>
            <w:vAlign w:val="bottom"/>
          </w:tcPr>
          <w:p w14:paraId="487DEF44" w14:textId="77777777" w:rsidR="00314D3C" w:rsidRPr="00314D3C" w:rsidRDefault="00314D3C" w:rsidP="00314D3C">
            <w:pPr>
              <w:spacing w:after="120"/>
              <w:jc w:val="right"/>
              <w:rPr>
                <w:rFonts w:ascii="Calibri" w:hAnsi="Calibri" w:cs="Calibri"/>
                <w:bCs/>
                <w:sz w:val="16"/>
                <w:szCs w:val="16"/>
              </w:rPr>
            </w:pPr>
          </w:p>
        </w:tc>
        <w:tc>
          <w:tcPr>
            <w:tcW w:w="951" w:type="pct"/>
            <w:tcBorders>
              <w:top w:val="single" w:sz="4" w:space="0" w:color="auto"/>
              <w:left w:val="nil"/>
              <w:right w:val="nil"/>
            </w:tcBorders>
            <w:shd w:val="clear" w:color="auto" w:fill="auto"/>
            <w:noWrap/>
            <w:vAlign w:val="bottom"/>
          </w:tcPr>
          <w:p w14:paraId="2250ED82" w14:textId="3A3909F1" w:rsidR="00314D3C" w:rsidRPr="00314D3C" w:rsidRDefault="00314D3C" w:rsidP="00314D3C">
            <w:pPr>
              <w:spacing w:after="120"/>
              <w:jc w:val="right"/>
              <w:rPr>
                <w:rFonts w:ascii="Calibri" w:hAnsi="Calibri" w:cs="Calibri"/>
                <w:bCs/>
                <w:sz w:val="16"/>
                <w:szCs w:val="16"/>
              </w:rPr>
            </w:pPr>
            <w:r w:rsidRPr="00314D3C">
              <w:rPr>
                <w:rFonts w:ascii="Calibri" w:hAnsi="Calibri" w:cs="Calibri"/>
                <w:bCs/>
                <w:sz w:val="16"/>
                <w:szCs w:val="16"/>
              </w:rPr>
              <w:t>(205.186)</w:t>
            </w:r>
          </w:p>
        </w:tc>
        <w:tc>
          <w:tcPr>
            <w:tcW w:w="85" w:type="pct"/>
            <w:tcBorders>
              <w:top w:val="single" w:sz="4" w:space="0" w:color="auto"/>
              <w:left w:val="nil"/>
              <w:right w:val="nil"/>
            </w:tcBorders>
            <w:shd w:val="clear" w:color="auto" w:fill="auto"/>
            <w:noWrap/>
            <w:vAlign w:val="bottom"/>
          </w:tcPr>
          <w:p w14:paraId="15B44AA1" w14:textId="77777777" w:rsidR="00314D3C" w:rsidRPr="002E2B5B" w:rsidRDefault="00314D3C" w:rsidP="00314D3C">
            <w:pPr>
              <w:spacing w:after="120"/>
              <w:rPr>
                <w:rFonts w:ascii="Calibri" w:hAnsi="Calibri" w:cs="Calibri"/>
                <w:b/>
                <w:sz w:val="16"/>
                <w:szCs w:val="16"/>
              </w:rPr>
            </w:pPr>
          </w:p>
        </w:tc>
      </w:tr>
      <w:tr w:rsidR="00564A77" w:rsidRPr="002E2B5B" w14:paraId="4867586A" w14:textId="77777777" w:rsidTr="00564A77">
        <w:trPr>
          <w:trHeight w:val="255"/>
        </w:trPr>
        <w:tc>
          <w:tcPr>
            <w:tcW w:w="2613" w:type="pct"/>
            <w:tcBorders>
              <w:left w:val="nil"/>
              <w:bottom w:val="single" w:sz="4" w:space="0" w:color="auto"/>
              <w:right w:val="nil"/>
            </w:tcBorders>
            <w:shd w:val="clear" w:color="auto" w:fill="auto"/>
            <w:noWrap/>
            <w:vAlign w:val="bottom"/>
          </w:tcPr>
          <w:p w14:paraId="2DA591CB" w14:textId="7BDBE9E5" w:rsidR="00564A77" w:rsidRPr="00314D3C" w:rsidRDefault="00564A77" w:rsidP="00314D3C">
            <w:pPr>
              <w:spacing w:after="120"/>
              <w:rPr>
                <w:rFonts w:ascii="Calibri" w:hAnsi="Calibri" w:cs="Calibri"/>
                <w:bCs/>
                <w:sz w:val="16"/>
                <w:szCs w:val="16"/>
              </w:rPr>
            </w:pPr>
            <w:r w:rsidRPr="00314D3C">
              <w:rPr>
                <w:rFonts w:ascii="Calibri" w:hAnsi="Calibri" w:cs="Calibri"/>
                <w:bCs/>
                <w:sz w:val="16"/>
                <w:szCs w:val="16"/>
              </w:rPr>
              <w:t xml:space="preserve">CRÉDITO PRESCRITO </w:t>
            </w:r>
            <w:r>
              <w:rPr>
                <w:rFonts w:ascii="Calibri" w:hAnsi="Calibri" w:cs="Calibri"/>
                <w:bCs/>
                <w:sz w:val="16"/>
                <w:szCs w:val="16"/>
              </w:rPr>
              <w:t>2</w:t>
            </w:r>
            <w:r w:rsidRPr="00314D3C">
              <w:rPr>
                <w:rFonts w:ascii="Calibri" w:hAnsi="Calibri" w:cs="Calibri"/>
                <w:bCs/>
                <w:sz w:val="16"/>
                <w:szCs w:val="16"/>
              </w:rPr>
              <w:t>º TRIMESTRE DE 2022</w:t>
            </w:r>
          </w:p>
        </w:tc>
        <w:tc>
          <w:tcPr>
            <w:tcW w:w="339" w:type="pct"/>
            <w:tcBorders>
              <w:left w:val="nil"/>
              <w:bottom w:val="single" w:sz="4" w:space="0" w:color="auto"/>
              <w:right w:val="nil"/>
            </w:tcBorders>
            <w:shd w:val="clear" w:color="auto" w:fill="auto"/>
            <w:noWrap/>
            <w:vAlign w:val="bottom"/>
          </w:tcPr>
          <w:p w14:paraId="43D6DE21" w14:textId="77777777" w:rsidR="00564A77" w:rsidRPr="00314D3C" w:rsidRDefault="00564A77" w:rsidP="00314D3C">
            <w:pPr>
              <w:spacing w:after="120"/>
              <w:rPr>
                <w:rFonts w:ascii="Calibri" w:hAnsi="Calibri" w:cs="Calibri"/>
                <w:bCs/>
                <w:sz w:val="16"/>
                <w:szCs w:val="16"/>
              </w:rPr>
            </w:pPr>
          </w:p>
        </w:tc>
        <w:tc>
          <w:tcPr>
            <w:tcW w:w="135" w:type="pct"/>
            <w:tcBorders>
              <w:left w:val="nil"/>
              <w:bottom w:val="single" w:sz="4" w:space="0" w:color="auto"/>
              <w:right w:val="nil"/>
            </w:tcBorders>
            <w:shd w:val="clear" w:color="auto" w:fill="auto"/>
            <w:noWrap/>
            <w:vAlign w:val="bottom"/>
          </w:tcPr>
          <w:p w14:paraId="25147979" w14:textId="77777777" w:rsidR="00564A77" w:rsidRPr="00314D3C" w:rsidRDefault="00564A77" w:rsidP="00314D3C">
            <w:pPr>
              <w:spacing w:after="120"/>
              <w:rPr>
                <w:rFonts w:ascii="Calibri" w:hAnsi="Calibri" w:cs="Calibri"/>
                <w:bCs/>
                <w:sz w:val="16"/>
                <w:szCs w:val="16"/>
              </w:rPr>
            </w:pPr>
          </w:p>
        </w:tc>
        <w:tc>
          <w:tcPr>
            <w:tcW w:w="876" w:type="pct"/>
            <w:tcBorders>
              <w:left w:val="nil"/>
              <w:bottom w:val="single" w:sz="4" w:space="0" w:color="auto"/>
              <w:right w:val="nil"/>
            </w:tcBorders>
            <w:vAlign w:val="bottom"/>
          </w:tcPr>
          <w:p w14:paraId="1D84D680" w14:textId="77777777" w:rsidR="00564A77" w:rsidRPr="00314D3C" w:rsidRDefault="00564A77" w:rsidP="00314D3C">
            <w:pPr>
              <w:spacing w:after="120"/>
              <w:jc w:val="right"/>
              <w:rPr>
                <w:rFonts w:ascii="Calibri" w:hAnsi="Calibri" w:cs="Calibri"/>
                <w:bCs/>
                <w:sz w:val="16"/>
                <w:szCs w:val="16"/>
              </w:rPr>
            </w:pPr>
          </w:p>
        </w:tc>
        <w:tc>
          <w:tcPr>
            <w:tcW w:w="951" w:type="pct"/>
            <w:tcBorders>
              <w:left w:val="nil"/>
              <w:bottom w:val="single" w:sz="4" w:space="0" w:color="auto"/>
              <w:right w:val="nil"/>
            </w:tcBorders>
            <w:shd w:val="clear" w:color="auto" w:fill="auto"/>
            <w:noWrap/>
            <w:vAlign w:val="bottom"/>
          </w:tcPr>
          <w:p w14:paraId="0C25A12E" w14:textId="5EE6EC11" w:rsidR="00564A77" w:rsidRPr="00314D3C" w:rsidRDefault="00564A77" w:rsidP="00314D3C">
            <w:pPr>
              <w:spacing w:after="120"/>
              <w:jc w:val="right"/>
              <w:rPr>
                <w:rFonts w:ascii="Calibri" w:hAnsi="Calibri" w:cs="Calibri"/>
                <w:bCs/>
                <w:sz w:val="16"/>
                <w:szCs w:val="16"/>
              </w:rPr>
            </w:pPr>
            <w:r>
              <w:rPr>
                <w:rFonts w:ascii="Calibri" w:hAnsi="Calibri" w:cs="Calibri"/>
                <w:bCs/>
                <w:sz w:val="16"/>
                <w:szCs w:val="16"/>
              </w:rPr>
              <w:t>(125.239)</w:t>
            </w:r>
          </w:p>
        </w:tc>
        <w:tc>
          <w:tcPr>
            <w:tcW w:w="85" w:type="pct"/>
            <w:tcBorders>
              <w:left w:val="nil"/>
              <w:bottom w:val="single" w:sz="4" w:space="0" w:color="auto"/>
              <w:right w:val="nil"/>
            </w:tcBorders>
            <w:shd w:val="clear" w:color="auto" w:fill="auto"/>
            <w:noWrap/>
            <w:vAlign w:val="bottom"/>
          </w:tcPr>
          <w:p w14:paraId="1AA5096D" w14:textId="77777777" w:rsidR="00564A77" w:rsidRPr="002E2B5B" w:rsidRDefault="00564A77" w:rsidP="00314D3C">
            <w:pPr>
              <w:spacing w:after="120"/>
              <w:rPr>
                <w:rFonts w:ascii="Calibri" w:hAnsi="Calibri" w:cs="Calibri"/>
                <w:b/>
                <w:sz w:val="16"/>
                <w:szCs w:val="16"/>
              </w:rPr>
            </w:pPr>
          </w:p>
        </w:tc>
      </w:tr>
      <w:tr w:rsidR="00314D3C" w:rsidRPr="002E2B5B" w14:paraId="465FE58D" w14:textId="77777777" w:rsidTr="00987B82">
        <w:trPr>
          <w:trHeight w:val="255"/>
        </w:trPr>
        <w:tc>
          <w:tcPr>
            <w:tcW w:w="2613" w:type="pct"/>
            <w:tcBorders>
              <w:top w:val="single" w:sz="4" w:space="0" w:color="auto"/>
              <w:left w:val="nil"/>
              <w:bottom w:val="single" w:sz="4" w:space="0" w:color="auto"/>
              <w:right w:val="nil"/>
            </w:tcBorders>
            <w:shd w:val="clear" w:color="auto" w:fill="auto"/>
            <w:noWrap/>
            <w:vAlign w:val="bottom"/>
          </w:tcPr>
          <w:p w14:paraId="616B6535" w14:textId="7BDF9385" w:rsidR="00314D3C" w:rsidRPr="002E2B5B" w:rsidRDefault="00314D3C" w:rsidP="00314D3C">
            <w:pPr>
              <w:spacing w:after="120"/>
              <w:rPr>
                <w:rFonts w:ascii="Calibri" w:hAnsi="Calibri" w:cs="Calibri"/>
                <w:b/>
                <w:sz w:val="16"/>
                <w:szCs w:val="16"/>
              </w:rPr>
            </w:pPr>
            <w:r w:rsidRPr="002E2B5B">
              <w:rPr>
                <w:rFonts w:ascii="Calibri" w:hAnsi="Calibri" w:cs="Calibri"/>
                <w:b/>
                <w:sz w:val="16"/>
                <w:szCs w:val="16"/>
              </w:rPr>
              <w:t xml:space="preserve">SALDO DE CRÉDITO PREVIDENCIÁRIO EM </w:t>
            </w:r>
            <w:r>
              <w:rPr>
                <w:rFonts w:ascii="Calibri" w:hAnsi="Calibri" w:cs="Calibri"/>
                <w:b/>
                <w:sz w:val="16"/>
                <w:szCs w:val="16"/>
              </w:rPr>
              <w:t>3</w:t>
            </w:r>
            <w:r w:rsidR="00564A77">
              <w:rPr>
                <w:rFonts w:ascii="Calibri" w:hAnsi="Calibri" w:cs="Calibri"/>
                <w:b/>
                <w:sz w:val="16"/>
                <w:szCs w:val="16"/>
              </w:rPr>
              <w:t>0</w:t>
            </w:r>
            <w:r>
              <w:rPr>
                <w:rFonts w:ascii="Calibri" w:hAnsi="Calibri" w:cs="Calibri"/>
                <w:b/>
                <w:sz w:val="16"/>
                <w:szCs w:val="16"/>
              </w:rPr>
              <w:t>/0</w:t>
            </w:r>
            <w:r w:rsidR="00564A77">
              <w:rPr>
                <w:rFonts w:ascii="Calibri" w:hAnsi="Calibri" w:cs="Calibri"/>
                <w:b/>
                <w:sz w:val="16"/>
                <w:szCs w:val="16"/>
              </w:rPr>
              <w:t>6</w:t>
            </w:r>
            <w:r w:rsidRPr="002E2B5B">
              <w:rPr>
                <w:rFonts w:ascii="Calibri" w:hAnsi="Calibri" w:cs="Calibri"/>
                <w:b/>
                <w:sz w:val="16"/>
                <w:szCs w:val="16"/>
              </w:rPr>
              <w:t>/202</w:t>
            </w:r>
            <w:r>
              <w:rPr>
                <w:rFonts w:ascii="Calibri" w:hAnsi="Calibri" w:cs="Calibri"/>
                <w:b/>
                <w:sz w:val="16"/>
                <w:szCs w:val="16"/>
              </w:rPr>
              <w:t>2</w:t>
            </w:r>
          </w:p>
        </w:tc>
        <w:tc>
          <w:tcPr>
            <w:tcW w:w="339" w:type="pct"/>
            <w:tcBorders>
              <w:top w:val="single" w:sz="4" w:space="0" w:color="auto"/>
              <w:left w:val="nil"/>
              <w:bottom w:val="single" w:sz="4" w:space="0" w:color="auto"/>
              <w:right w:val="nil"/>
            </w:tcBorders>
            <w:shd w:val="clear" w:color="auto" w:fill="auto"/>
            <w:noWrap/>
            <w:vAlign w:val="bottom"/>
          </w:tcPr>
          <w:p w14:paraId="7016823C" w14:textId="77777777" w:rsidR="00314D3C" w:rsidRPr="002E2B5B" w:rsidRDefault="00314D3C" w:rsidP="00314D3C">
            <w:pPr>
              <w:spacing w:after="120"/>
              <w:rPr>
                <w:rFonts w:ascii="Calibri" w:hAnsi="Calibri" w:cs="Calibri"/>
                <w:b/>
                <w:sz w:val="16"/>
                <w:szCs w:val="16"/>
              </w:rPr>
            </w:pPr>
          </w:p>
        </w:tc>
        <w:tc>
          <w:tcPr>
            <w:tcW w:w="135" w:type="pct"/>
            <w:tcBorders>
              <w:top w:val="single" w:sz="4" w:space="0" w:color="auto"/>
              <w:left w:val="nil"/>
              <w:bottom w:val="single" w:sz="4" w:space="0" w:color="auto"/>
              <w:right w:val="nil"/>
            </w:tcBorders>
            <w:shd w:val="clear" w:color="auto" w:fill="auto"/>
            <w:noWrap/>
            <w:vAlign w:val="bottom"/>
          </w:tcPr>
          <w:p w14:paraId="2A8F2BCA" w14:textId="77777777" w:rsidR="00314D3C" w:rsidRPr="002E2B5B" w:rsidRDefault="00314D3C" w:rsidP="00314D3C">
            <w:pPr>
              <w:spacing w:after="120"/>
              <w:rPr>
                <w:rFonts w:ascii="Calibri" w:hAnsi="Calibri" w:cs="Calibri"/>
                <w:b/>
                <w:sz w:val="16"/>
                <w:szCs w:val="16"/>
              </w:rPr>
            </w:pPr>
          </w:p>
        </w:tc>
        <w:tc>
          <w:tcPr>
            <w:tcW w:w="876" w:type="pct"/>
            <w:tcBorders>
              <w:top w:val="single" w:sz="4" w:space="0" w:color="auto"/>
              <w:left w:val="nil"/>
              <w:bottom w:val="single" w:sz="4" w:space="0" w:color="auto"/>
              <w:right w:val="nil"/>
            </w:tcBorders>
            <w:vAlign w:val="bottom"/>
          </w:tcPr>
          <w:p w14:paraId="518F9EC0" w14:textId="77777777" w:rsidR="00314D3C" w:rsidRPr="002E2B5B" w:rsidRDefault="00314D3C" w:rsidP="00314D3C">
            <w:pPr>
              <w:spacing w:after="120"/>
              <w:jc w:val="right"/>
              <w:rPr>
                <w:rFonts w:ascii="Calibri" w:hAnsi="Calibri" w:cs="Calibri"/>
                <w:b/>
                <w:sz w:val="16"/>
                <w:szCs w:val="16"/>
              </w:rPr>
            </w:pPr>
          </w:p>
        </w:tc>
        <w:tc>
          <w:tcPr>
            <w:tcW w:w="951" w:type="pct"/>
            <w:tcBorders>
              <w:top w:val="single" w:sz="4" w:space="0" w:color="auto"/>
              <w:left w:val="nil"/>
              <w:bottom w:val="single" w:sz="4" w:space="0" w:color="auto"/>
              <w:right w:val="nil"/>
            </w:tcBorders>
            <w:shd w:val="clear" w:color="auto" w:fill="auto"/>
            <w:noWrap/>
            <w:vAlign w:val="bottom"/>
          </w:tcPr>
          <w:p w14:paraId="0DCA18B3" w14:textId="7B9927D3" w:rsidR="00314D3C" w:rsidRPr="002E2B5B" w:rsidRDefault="00564A77" w:rsidP="00314D3C">
            <w:pPr>
              <w:spacing w:after="120"/>
              <w:jc w:val="right"/>
              <w:rPr>
                <w:rFonts w:ascii="Calibri" w:hAnsi="Calibri" w:cs="Calibri"/>
                <w:b/>
                <w:sz w:val="16"/>
                <w:szCs w:val="16"/>
              </w:rPr>
            </w:pPr>
            <w:r>
              <w:rPr>
                <w:rFonts w:ascii="Calibri" w:hAnsi="Calibri" w:cs="Calibri"/>
                <w:b/>
                <w:sz w:val="16"/>
                <w:szCs w:val="16"/>
              </w:rPr>
              <w:t>441.681</w:t>
            </w:r>
          </w:p>
        </w:tc>
        <w:tc>
          <w:tcPr>
            <w:tcW w:w="85" w:type="pct"/>
            <w:tcBorders>
              <w:top w:val="single" w:sz="4" w:space="0" w:color="auto"/>
              <w:left w:val="nil"/>
              <w:bottom w:val="single" w:sz="4" w:space="0" w:color="auto"/>
              <w:right w:val="nil"/>
            </w:tcBorders>
            <w:shd w:val="clear" w:color="auto" w:fill="auto"/>
            <w:noWrap/>
            <w:vAlign w:val="bottom"/>
          </w:tcPr>
          <w:p w14:paraId="1D22428D" w14:textId="77777777" w:rsidR="00314D3C" w:rsidRPr="002E2B5B" w:rsidRDefault="00314D3C" w:rsidP="00314D3C">
            <w:pPr>
              <w:spacing w:after="120"/>
              <w:rPr>
                <w:rFonts w:ascii="Calibri" w:hAnsi="Calibri" w:cs="Calibri"/>
                <w:b/>
                <w:sz w:val="16"/>
                <w:szCs w:val="16"/>
              </w:rPr>
            </w:pPr>
          </w:p>
        </w:tc>
      </w:tr>
    </w:tbl>
    <w:p w14:paraId="4C29FD13" w14:textId="68EA2773" w:rsidR="00D52821" w:rsidRPr="002E2B5B" w:rsidRDefault="00404FDE" w:rsidP="000B3A75">
      <w:pPr>
        <w:spacing w:before="120" w:after="120"/>
        <w:jc w:val="both"/>
        <w:rPr>
          <w:rFonts w:ascii="Calibri" w:hAnsi="Calibri" w:cs="Calibri"/>
          <w:sz w:val="22"/>
          <w:szCs w:val="22"/>
        </w:rPr>
      </w:pPr>
      <w:r w:rsidRPr="002E2B5B">
        <w:rPr>
          <w:rFonts w:ascii="Calibri" w:hAnsi="Calibri" w:cs="Calibri"/>
          <w:sz w:val="22"/>
          <w:szCs w:val="22"/>
        </w:rPr>
        <w:lastRenderedPageBreak/>
        <w:t>Os créditos previdenciários est</w:t>
      </w:r>
      <w:r w:rsidR="009D7492">
        <w:rPr>
          <w:rFonts w:ascii="Calibri" w:hAnsi="Calibri" w:cs="Calibri"/>
          <w:sz w:val="22"/>
          <w:szCs w:val="22"/>
        </w:rPr>
        <w:t>avam</w:t>
      </w:r>
      <w:r w:rsidR="00C535B0" w:rsidRPr="002E2B5B">
        <w:rPr>
          <w:rFonts w:ascii="Calibri" w:hAnsi="Calibri" w:cs="Calibri"/>
          <w:sz w:val="22"/>
          <w:szCs w:val="22"/>
        </w:rPr>
        <w:t xml:space="preserve"> </w:t>
      </w:r>
      <w:r w:rsidRPr="002E2B5B">
        <w:rPr>
          <w:rFonts w:ascii="Calibri" w:hAnsi="Calibri" w:cs="Calibri"/>
          <w:sz w:val="22"/>
          <w:szCs w:val="22"/>
        </w:rPr>
        <w:t>sendo compensados nas guias de pagamentos do INSS referentes às folhas de pagamentos da VALEC e das extintas empresas Rede Ferroviária Federal S/A – RFFSA e Empresa Brasileira de Planejamento de Transportes – GEIPOT</w:t>
      </w:r>
      <w:r w:rsidR="0052637A" w:rsidRPr="002E2B5B">
        <w:rPr>
          <w:rFonts w:ascii="Calibri" w:hAnsi="Calibri" w:cs="Calibri"/>
          <w:sz w:val="22"/>
          <w:szCs w:val="22"/>
        </w:rPr>
        <w:t>.</w:t>
      </w:r>
    </w:p>
    <w:p w14:paraId="5C350B96" w14:textId="574EF09A" w:rsidR="00F0767F" w:rsidRPr="002E2B5B" w:rsidRDefault="005D16F5" w:rsidP="00937ED9">
      <w:pPr>
        <w:spacing w:after="120"/>
        <w:jc w:val="both"/>
        <w:rPr>
          <w:rFonts w:ascii="Calibri" w:hAnsi="Calibri" w:cs="Calibri"/>
          <w:sz w:val="22"/>
          <w:szCs w:val="22"/>
        </w:rPr>
      </w:pPr>
      <w:r w:rsidRPr="002E2B5B">
        <w:rPr>
          <w:rFonts w:ascii="Calibri" w:hAnsi="Calibri" w:cs="Calibri"/>
          <w:sz w:val="22"/>
          <w:szCs w:val="22"/>
        </w:rPr>
        <w:t xml:space="preserve">No final do segundo trimestre de 2019, </w:t>
      </w:r>
      <w:r w:rsidR="0034767A" w:rsidRPr="002E2B5B">
        <w:rPr>
          <w:rFonts w:ascii="Calibri" w:hAnsi="Calibri" w:cs="Calibri"/>
          <w:sz w:val="22"/>
          <w:szCs w:val="22"/>
        </w:rPr>
        <w:t>houve a suspensão das compensações de créditos previdenciários</w:t>
      </w:r>
      <w:r w:rsidR="009D7492">
        <w:rPr>
          <w:rFonts w:ascii="Calibri" w:hAnsi="Calibri" w:cs="Calibri"/>
          <w:sz w:val="22"/>
          <w:szCs w:val="22"/>
        </w:rPr>
        <w:t xml:space="preserve"> </w:t>
      </w:r>
      <w:r w:rsidR="009D7492" w:rsidRPr="009D7492">
        <w:rPr>
          <w:rFonts w:ascii="Calibri" w:hAnsi="Calibri" w:cs="Calibri"/>
          <w:sz w:val="22"/>
          <w:szCs w:val="22"/>
        </w:rPr>
        <w:t>aguardando posicionamento da Receita Federal do Brasil quanto à legalidade desse crédito.</w:t>
      </w:r>
    </w:p>
    <w:p w14:paraId="0A067ADF" w14:textId="7F90C77C" w:rsidR="009D7492" w:rsidRPr="009D7492" w:rsidRDefault="009D7492" w:rsidP="009D7492">
      <w:pPr>
        <w:spacing w:after="120"/>
        <w:jc w:val="both"/>
        <w:rPr>
          <w:rFonts w:ascii="Calibri" w:hAnsi="Calibri" w:cs="Calibri"/>
          <w:sz w:val="22"/>
          <w:szCs w:val="22"/>
        </w:rPr>
      </w:pPr>
      <w:r w:rsidRPr="009D7492">
        <w:rPr>
          <w:rFonts w:ascii="Calibri" w:hAnsi="Calibri" w:cs="Calibri"/>
          <w:sz w:val="22"/>
          <w:szCs w:val="22"/>
        </w:rPr>
        <w:t>Por esses motivos o cronograma então vigente não foi observado, assim, em dezembro de 2020, após consulta à Superintendência de Gestão de Pessoas (SUGEP), verificou-se que seria necessário realizar uma baixa por prescrição do direito a recuperar no valor de R$ 16 milhões do saldo de INSS A COMPENSAR, restando como saldo a compensar o valor de R$ 1,6 milhão</w:t>
      </w:r>
      <w:r w:rsidR="003058AD">
        <w:rPr>
          <w:rFonts w:ascii="Calibri" w:hAnsi="Calibri" w:cs="Calibri"/>
          <w:sz w:val="22"/>
          <w:szCs w:val="22"/>
        </w:rPr>
        <w:t xml:space="preserve">, </w:t>
      </w:r>
      <w:r w:rsidR="003058AD" w:rsidRPr="002E2B5B">
        <w:rPr>
          <w:rFonts w:ascii="Calibri" w:hAnsi="Calibri" w:cs="Calibri"/>
          <w:sz w:val="22"/>
          <w:szCs w:val="22"/>
        </w:rPr>
        <w:t>o qua</w:t>
      </w:r>
      <w:r w:rsidR="003058AD">
        <w:rPr>
          <w:rFonts w:ascii="Calibri" w:hAnsi="Calibri" w:cs="Calibri"/>
          <w:sz w:val="22"/>
          <w:szCs w:val="22"/>
        </w:rPr>
        <w:t xml:space="preserve">l </w:t>
      </w:r>
      <w:r w:rsidR="003058AD" w:rsidRPr="00233E70">
        <w:rPr>
          <w:rFonts w:ascii="Calibri" w:hAnsi="Calibri" w:cs="Calibri"/>
          <w:sz w:val="22"/>
          <w:szCs w:val="22"/>
        </w:rPr>
        <w:t>está sendo baixado proporcionalmente à medida que os créditos prescrevem.</w:t>
      </w:r>
    </w:p>
    <w:p w14:paraId="33B5557B" w14:textId="3387101A" w:rsidR="009D7492" w:rsidRDefault="00461767" w:rsidP="009D7492">
      <w:pPr>
        <w:spacing w:after="120"/>
        <w:jc w:val="both"/>
        <w:rPr>
          <w:rFonts w:ascii="Calibri" w:hAnsi="Calibri" w:cs="Calibri"/>
          <w:sz w:val="22"/>
          <w:szCs w:val="22"/>
        </w:rPr>
      </w:pPr>
      <w:r>
        <w:rPr>
          <w:rFonts w:ascii="Calibri" w:hAnsi="Calibri" w:cs="Calibri"/>
          <w:sz w:val="22"/>
          <w:szCs w:val="22"/>
        </w:rPr>
        <w:t>Até o 2</w:t>
      </w:r>
      <w:r w:rsidR="00314D3C">
        <w:rPr>
          <w:rFonts w:ascii="Calibri" w:hAnsi="Calibri" w:cs="Calibri"/>
          <w:sz w:val="22"/>
          <w:szCs w:val="22"/>
        </w:rPr>
        <w:t>º</w:t>
      </w:r>
      <w:r w:rsidR="009D7492" w:rsidRPr="009D7492">
        <w:rPr>
          <w:rFonts w:ascii="Calibri" w:hAnsi="Calibri" w:cs="Calibri"/>
          <w:sz w:val="22"/>
          <w:szCs w:val="22"/>
        </w:rPr>
        <w:t xml:space="preserve"> trimestre de 2022, foi prescrito o valor de </w:t>
      </w:r>
      <w:r w:rsidR="00314D3C">
        <w:rPr>
          <w:rFonts w:ascii="Calibri" w:hAnsi="Calibri" w:cs="Calibri"/>
          <w:sz w:val="22"/>
          <w:szCs w:val="22"/>
        </w:rPr>
        <w:t xml:space="preserve">R$ </w:t>
      </w:r>
      <w:r>
        <w:rPr>
          <w:rFonts w:ascii="Calibri" w:hAnsi="Calibri" w:cs="Calibri"/>
          <w:sz w:val="22"/>
          <w:szCs w:val="22"/>
        </w:rPr>
        <w:t>330</w:t>
      </w:r>
      <w:r w:rsidR="00314D3C">
        <w:rPr>
          <w:rFonts w:ascii="Calibri" w:hAnsi="Calibri" w:cs="Calibri"/>
          <w:sz w:val="22"/>
          <w:szCs w:val="22"/>
        </w:rPr>
        <w:t xml:space="preserve"> mil</w:t>
      </w:r>
      <w:r w:rsidR="009D7492" w:rsidRPr="009D7492">
        <w:rPr>
          <w:rFonts w:ascii="Calibri" w:hAnsi="Calibri" w:cs="Calibri"/>
          <w:sz w:val="22"/>
          <w:szCs w:val="22"/>
        </w:rPr>
        <w:t xml:space="preserve"> e deduzido do saldo de INSS a Compensar, restando como saldo a compensar o valor de R$ </w:t>
      </w:r>
      <w:r>
        <w:rPr>
          <w:rFonts w:ascii="Calibri" w:hAnsi="Calibri" w:cs="Calibri"/>
          <w:sz w:val="22"/>
          <w:szCs w:val="22"/>
        </w:rPr>
        <w:t>441</w:t>
      </w:r>
      <w:r w:rsidR="009D7492" w:rsidRPr="009D7492">
        <w:rPr>
          <w:rFonts w:ascii="Calibri" w:hAnsi="Calibri" w:cs="Calibri"/>
          <w:sz w:val="22"/>
          <w:szCs w:val="22"/>
        </w:rPr>
        <w:t xml:space="preserve"> mil em 3</w:t>
      </w:r>
      <w:r>
        <w:rPr>
          <w:rFonts w:ascii="Calibri" w:hAnsi="Calibri" w:cs="Calibri"/>
          <w:sz w:val="22"/>
          <w:szCs w:val="22"/>
        </w:rPr>
        <w:t>0</w:t>
      </w:r>
      <w:r w:rsidR="009D7492" w:rsidRPr="009D7492">
        <w:rPr>
          <w:rFonts w:ascii="Calibri" w:hAnsi="Calibri" w:cs="Calibri"/>
          <w:sz w:val="22"/>
          <w:szCs w:val="22"/>
        </w:rPr>
        <w:t xml:space="preserve"> de </w:t>
      </w:r>
      <w:r>
        <w:rPr>
          <w:rFonts w:ascii="Calibri" w:hAnsi="Calibri" w:cs="Calibri"/>
          <w:sz w:val="22"/>
          <w:szCs w:val="22"/>
        </w:rPr>
        <w:t>junh</w:t>
      </w:r>
      <w:r w:rsidR="009D7492" w:rsidRPr="009D7492">
        <w:rPr>
          <w:rFonts w:ascii="Calibri" w:hAnsi="Calibri" w:cs="Calibri"/>
          <w:sz w:val="22"/>
          <w:szCs w:val="22"/>
        </w:rPr>
        <w:t>o de 2022.</w:t>
      </w:r>
    </w:p>
    <w:p w14:paraId="5F818D69" w14:textId="77777777" w:rsidR="00CB6173" w:rsidRDefault="00CB6173" w:rsidP="009D7492">
      <w:pPr>
        <w:spacing w:after="120"/>
        <w:jc w:val="both"/>
        <w:rPr>
          <w:rFonts w:ascii="Calibri" w:hAnsi="Calibri" w:cs="Calibri"/>
          <w:sz w:val="22"/>
          <w:szCs w:val="22"/>
        </w:rPr>
      </w:pPr>
    </w:p>
    <w:p w14:paraId="7C1E00B9" w14:textId="77777777" w:rsidR="002D346E" w:rsidRPr="002E2B5B" w:rsidRDefault="0002316D" w:rsidP="00937ED9">
      <w:pPr>
        <w:numPr>
          <w:ilvl w:val="0"/>
          <w:numId w:val="10"/>
        </w:numPr>
        <w:spacing w:after="120"/>
        <w:ind w:left="284" w:hanging="284"/>
        <w:rPr>
          <w:rFonts w:ascii="Calibri" w:hAnsi="Calibri" w:cs="Calibri"/>
          <w:b/>
          <w:sz w:val="22"/>
          <w:szCs w:val="22"/>
        </w:rPr>
      </w:pPr>
      <w:r w:rsidRPr="002E2B5B">
        <w:rPr>
          <w:rFonts w:ascii="Calibri" w:hAnsi="Calibri" w:cs="Calibri"/>
          <w:b/>
          <w:sz w:val="22"/>
          <w:szCs w:val="22"/>
        </w:rPr>
        <w:t xml:space="preserve">Outros </w:t>
      </w:r>
      <w:r w:rsidR="007D119D" w:rsidRPr="002E2B5B">
        <w:rPr>
          <w:rFonts w:ascii="Calibri" w:hAnsi="Calibri" w:cs="Calibri"/>
          <w:b/>
          <w:sz w:val="22"/>
          <w:szCs w:val="22"/>
        </w:rPr>
        <w:t>Créditos</w:t>
      </w:r>
      <w:r w:rsidR="00580D61" w:rsidRPr="002E2B5B">
        <w:rPr>
          <w:rFonts w:ascii="Calibri" w:hAnsi="Calibri" w:cs="Calibri"/>
          <w:b/>
          <w:sz w:val="22"/>
          <w:szCs w:val="22"/>
        </w:rPr>
        <w:t xml:space="preserve"> a receber</w:t>
      </w:r>
    </w:p>
    <w:p w14:paraId="28EC8953" w14:textId="21BB9F4A" w:rsidR="009165D8" w:rsidRDefault="007D119D" w:rsidP="00937ED9">
      <w:pPr>
        <w:spacing w:after="120"/>
        <w:jc w:val="both"/>
        <w:rPr>
          <w:rFonts w:ascii="Calibri" w:hAnsi="Calibri" w:cs="Calibri"/>
          <w:sz w:val="22"/>
          <w:szCs w:val="22"/>
        </w:rPr>
      </w:pPr>
      <w:r w:rsidRPr="002E2B5B">
        <w:rPr>
          <w:rFonts w:ascii="Calibri" w:hAnsi="Calibri" w:cs="Calibri"/>
          <w:sz w:val="22"/>
          <w:szCs w:val="22"/>
        </w:rPr>
        <w:t xml:space="preserve">Outros créditos compreendem </w:t>
      </w:r>
      <w:r w:rsidR="005D27D4" w:rsidRPr="002E2B5B">
        <w:rPr>
          <w:rFonts w:ascii="Calibri" w:hAnsi="Calibri" w:cs="Calibri"/>
          <w:sz w:val="22"/>
          <w:szCs w:val="22"/>
        </w:rPr>
        <w:t xml:space="preserve">os </w:t>
      </w:r>
      <w:r w:rsidRPr="002E2B5B">
        <w:rPr>
          <w:rFonts w:ascii="Calibri" w:hAnsi="Calibri" w:cs="Calibri"/>
          <w:sz w:val="22"/>
          <w:szCs w:val="22"/>
        </w:rPr>
        <w:t>Termos de</w:t>
      </w:r>
      <w:r w:rsidR="003771D4" w:rsidRPr="002E2B5B">
        <w:rPr>
          <w:rFonts w:ascii="Calibri" w:hAnsi="Calibri" w:cs="Calibri"/>
          <w:sz w:val="22"/>
          <w:szCs w:val="22"/>
        </w:rPr>
        <w:t xml:space="preserve"> Execução Descentralizada</w:t>
      </w:r>
      <w:r w:rsidR="00580D61" w:rsidRPr="002E2B5B">
        <w:rPr>
          <w:rFonts w:ascii="Calibri" w:hAnsi="Calibri" w:cs="Calibri"/>
          <w:sz w:val="22"/>
          <w:szCs w:val="22"/>
        </w:rPr>
        <w:t xml:space="preserve"> a comprovar</w:t>
      </w:r>
      <w:r w:rsidR="00887504">
        <w:rPr>
          <w:rFonts w:ascii="Calibri" w:hAnsi="Calibri" w:cs="Calibri"/>
          <w:sz w:val="22"/>
          <w:szCs w:val="22"/>
        </w:rPr>
        <w:t>,</w:t>
      </w:r>
      <w:r w:rsidR="005D27D4" w:rsidRPr="002E2B5B">
        <w:rPr>
          <w:rFonts w:ascii="Calibri" w:hAnsi="Calibri" w:cs="Calibri"/>
          <w:sz w:val="22"/>
          <w:szCs w:val="22"/>
        </w:rPr>
        <w:t xml:space="preserve"> </w:t>
      </w:r>
      <w:r w:rsidR="0002316D" w:rsidRPr="002E2B5B">
        <w:rPr>
          <w:rFonts w:ascii="Calibri" w:hAnsi="Calibri" w:cs="Calibri"/>
          <w:sz w:val="22"/>
          <w:szCs w:val="22"/>
        </w:rPr>
        <w:t xml:space="preserve">os </w:t>
      </w:r>
      <w:r w:rsidR="005D27D4" w:rsidRPr="002E2B5B">
        <w:rPr>
          <w:rFonts w:ascii="Calibri" w:hAnsi="Calibri" w:cs="Calibri"/>
          <w:sz w:val="22"/>
          <w:szCs w:val="22"/>
        </w:rPr>
        <w:t>créditos a receber de fornecedores</w:t>
      </w:r>
      <w:r w:rsidR="00887504">
        <w:rPr>
          <w:rFonts w:ascii="Calibri" w:hAnsi="Calibri" w:cs="Calibri"/>
          <w:sz w:val="22"/>
          <w:szCs w:val="22"/>
        </w:rPr>
        <w:t xml:space="preserve"> e créditos sobre salário maternidade.</w:t>
      </w:r>
    </w:p>
    <w:p w14:paraId="4AD83B51" w14:textId="155CF90A" w:rsidR="00B22FF7" w:rsidRPr="002E2B5B" w:rsidRDefault="002339ED" w:rsidP="00937ED9">
      <w:pPr>
        <w:spacing w:after="120"/>
        <w:jc w:val="both"/>
        <w:rPr>
          <w:rFonts w:ascii="Calibri" w:hAnsi="Calibri" w:cs="Calibri"/>
          <w:b/>
          <w:sz w:val="22"/>
          <w:szCs w:val="22"/>
        </w:rPr>
      </w:pPr>
      <w:r w:rsidRPr="002E2B5B">
        <w:rPr>
          <w:rFonts w:ascii="Calibri" w:hAnsi="Calibri" w:cs="Calibri"/>
          <w:b/>
          <w:sz w:val="22"/>
          <w:szCs w:val="22"/>
        </w:rPr>
        <w:t>c</w:t>
      </w:r>
      <w:r w:rsidR="0002316D" w:rsidRPr="002E2B5B">
        <w:rPr>
          <w:rFonts w:ascii="Calibri" w:hAnsi="Calibri" w:cs="Calibri"/>
          <w:b/>
          <w:sz w:val="22"/>
          <w:szCs w:val="22"/>
        </w:rPr>
        <w:t>.1</w:t>
      </w:r>
      <w:r w:rsidR="007D119D" w:rsidRPr="002E2B5B">
        <w:rPr>
          <w:rFonts w:ascii="Calibri" w:hAnsi="Calibri" w:cs="Calibri"/>
          <w:b/>
          <w:sz w:val="22"/>
          <w:szCs w:val="22"/>
        </w:rPr>
        <w:t xml:space="preserve">) Termos de </w:t>
      </w:r>
      <w:r w:rsidR="00B22FF7" w:rsidRPr="002E2B5B">
        <w:rPr>
          <w:rFonts w:ascii="Calibri" w:hAnsi="Calibri" w:cs="Calibri"/>
          <w:b/>
          <w:sz w:val="22"/>
          <w:szCs w:val="22"/>
        </w:rPr>
        <w:t xml:space="preserve">Execução Descentralizada </w:t>
      </w:r>
      <w:r w:rsidR="007D119D" w:rsidRPr="002E2B5B">
        <w:rPr>
          <w:rFonts w:ascii="Calibri" w:hAnsi="Calibri" w:cs="Calibri"/>
          <w:b/>
          <w:sz w:val="22"/>
          <w:szCs w:val="22"/>
        </w:rPr>
        <w:t>a comprovar:</w:t>
      </w:r>
    </w:p>
    <w:p w14:paraId="646874A8" w14:textId="3477CEB8" w:rsidR="003771D4" w:rsidRDefault="009705E6" w:rsidP="00937ED9">
      <w:pPr>
        <w:spacing w:after="120"/>
        <w:jc w:val="both"/>
        <w:rPr>
          <w:rFonts w:ascii="Calibri" w:hAnsi="Calibri" w:cs="Calibri"/>
          <w:sz w:val="22"/>
          <w:szCs w:val="22"/>
        </w:rPr>
      </w:pPr>
      <w:r w:rsidRPr="002E2B5B">
        <w:rPr>
          <w:rFonts w:ascii="Calibri" w:hAnsi="Calibri" w:cs="Calibri"/>
          <w:sz w:val="22"/>
          <w:szCs w:val="22"/>
        </w:rPr>
        <w:t xml:space="preserve">Os </w:t>
      </w:r>
      <w:r w:rsidR="003771D4" w:rsidRPr="002E2B5B">
        <w:rPr>
          <w:rFonts w:ascii="Calibri" w:hAnsi="Calibri" w:cs="Calibri"/>
          <w:sz w:val="22"/>
          <w:szCs w:val="22"/>
        </w:rPr>
        <w:t xml:space="preserve">Termos </w:t>
      </w:r>
      <w:r w:rsidRPr="002E2B5B">
        <w:rPr>
          <w:rFonts w:ascii="Calibri" w:hAnsi="Calibri" w:cs="Calibri"/>
          <w:sz w:val="22"/>
          <w:szCs w:val="22"/>
        </w:rPr>
        <w:t xml:space="preserve">de Execução Descentralizada </w:t>
      </w:r>
      <w:r w:rsidR="003771D4" w:rsidRPr="002E2B5B">
        <w:rPr>
          <w:rFonts w:ascii="Calibri" w:hAnsi="Calibri" w:cs="Calibri"/>
          <w:sz w:val="22"/>
          <w:szCs w:val="22"/>
        </w:rPr>
        <w:t>celebrados entre a VALEC e órgãos vinculados à União para execução de serviços de interesse desta empresa</w:t>
      </w:r>
      <w:r w:rsidRPr="002E2B5B">
        <w:rPr>
          <w:rFonts w:ascii="Calibri" w:hAnsi="Calibri" w:cs="Calibri"/>
          <w:sz w:val="22"/>
          <w:szCs w:val="22"/>
        </w:rPr>
        <w:t xml:space="preserve">, com valor a comprovar em </w:t>
      </w:r>
      <w:r w:rsidR="008227CE">
        <w:rPr>
          <w:rFonts w:ascii="Calibri" w:hAnsi="Calibri" w:cs="Calibri"/>
          <w:sz w:val="22"/>
          <w:szCs w:val="22"/>
        </w:rPr>
        <w:t>3</w:t>
      </w:r>
      <w:r w:rsidR="002338DB">
        <w:rPr>
          <w:rFonts w:ascii="Calibri" w:hAnsi="Calibri" w:cs="Calibri"/>
          <w:sz w:val="22"/>
          <w:szCs w:val="22"/>
        </w:rPr>
        <w:t>0</w:t>
      </w:r>
      <w:r w:rsidR="008227CE">
        <w:rPr>
          <w:rFonts w:ascii="Calibri" w:hAnsi="Calibri" w:cs="Calibri"/>
          <w:sz w:val="22"/>
          <w:szCs w:val="22"/>
        </w:rPr>
        <w:t xml:space="preserve"> de </w:t>
      </w:r>
      <w:r w:rsidR="002338DB">
        <w:rPr>
          <w:rFonts w:ascii="Calibri" w:hAnsi="Calibri" w:cs="Calibri"/>
          <w:sz w:val="22"/>
          <w:szCs w:val="22"/>
        </w:rPr>
        <w:t>junh</w:t>
      </w:r>
      <w:r w:rsidR="00066B19">
        <w:rPr>
          <w:rFonts w:ascii="Calibri" w:hAnsi="Calibri" w:cs="Calibri"/>
          <w:sz w:val="22"/>
          <w:szCs w:val="22"/>
        </w:rPr>
        <w:t xml:space="preserve">o </w:t>
      </w:r>
      <w:r w:rsidRPr="002E2B5B">
        <w:rPr>
          <w:rFonts w:ascii="Calibri" w:hAnsi="Calibri" w:cs="Calibri"/>
          <w:sz w:val="22"/>
          <w:szCs w:val="22"/>
        </w:rPr>
        <w:t>de 202</w:t>
      </w:r>
      <w:r w:rsidR="00066B19">
        <w:rPr>
          <w:rFonts w:ascii="Calibri" w:hAnsi="Calibri" w:cs="Calibri"/>
          <w:sz w:val="22"/>
          <w:szCs w:val="22"/>
        </w:rPr>
        <w:t>2</w:t>
      </w:r>
      <w:r w:rsidRPr="002E2B5B">
        <w:rPr>
          <w:rFonts w:ascii="Calibri" w:hAnsi="Calibri" w:cs="Calibri"/>
          <w:sz w:val="22"/>
          <w:szCs w:val="22"/>
        </w:rPr>
        <w:t>, são:</w:t>
      </w:r>
    </w:p>
    <w:tbl>
      <w:tblPr>
        <w:tblW w:w="5000" w:type="pct"/>
        <w:shd w:val="clear" w:color="auto" w:fill="FFFFFF"/>
        <w:tblCellMar>
          <w:left w:w="0" w:type="dxa"/>
          <w:right w:w="0" w:type="dxa"/>
        </w:tblCellMar>
        <w:tblLook w:val="04A0" w:firstRow="1" w:lastRow="0" w:firstColumn="1" w:lastColumn="0" w:noHBand="0" w:noVBand="1"/>
      </w:tblPr>
      <w:tblGrid>
        <w:gridCol w:w="2172"/>
        <w:gridCol w:w="1842"/>
        <w:gridCol w:w="2347"/>
        <w:gridCol w:w="2054"/>
        <w:gridCol w:w="2052"/>
      </w:tblGrid>
      <w:tr w:rsidR="000F149C" w:rsidRPr="002E2B5B" w14:paraId="2CC5B25F" w14:textId="77777777" w:rsidTr="00B23D01">
        <w:trPr>
          <w:trHeight w:hRule="exact" w:val="227"/>
        </w:trPr>
        <w:tc>
          <w:tcPr>
            <w:tcW w:w="1038" w:type="pct"/>
            <w:tcBorders>
              <w:bottom w:val="single" w:sz="8" w:space="0" w:color="000000"/>
            </w:tcBorders>
            <w:shd w:val="clear" w:color="auto" w:fill="FFFFFF"/>
            <w:noWrap/>
            <w:tcMar>
              <w:top w:w="15" w:type="dxa"/>
              <w:left w:w="15" w:type="dxa"/>
              <w:bottom w:w="0" w:type="dxa"/>
              <w:right w:w="15" w:type="dxa"/>
            </w:tcMar>
            <w:vAlign w:val="bottom"/>
            <w:hideMark/>
          </w:tcPr>
          <w:p w14:paraId="1D4A1605" w14:textId="77777777" w:rsidR="000F149C" w:rsidRPr="002E2B5B" w:rsidRDefault="000F149C" w:rsidP="00937ED9">
            <w:pPr>
              <w:spacing w:after="120"/>
              <w:jc w:val="center"/>
              <w:rPr>
                <w:rFonts w:ascii="Calibri" w:hAnsi="Calibri" w:cs="Calibri"/>
                <w:b/>
                <w:bCs/>
                <w:sz w:val="16"/>
                <w:szCs w:val="16"/>
              </w:rPr>
            </w:pPr>
            <w:r w:rsidRPr="002E2B5B">
              <w:rPr>
                <w:rFonts w:ascii="Calibri" w:hAnsi="Calibri" w:cs="Calibri"/>
                <w:b/>
                <w:bCs/>
                <w:sz w:val="16"/>
                <w:szCs w:val="16"/>
              </w:rPr>
              <w:t>N° TED</w:t>
            </w:r>
          </w:p>
        </w:tc>
        <w:tc>
          <w:tcPr>
            <w:tcW w:w="880" w:type="pct"/>
            <w:tcBorders>
              <w:bottom w:val="single" w:sz="8" w:space="0" w:color="000000"/>
            </w:tcBorders>
            <w:shd w:val="clear" w:color="auto" w:fill="FFFFFF"/>
            <w:noWrap/>
            <w:tcMar>
              <w:top w:w="15" w:type="dxa"/>
              <w:left w:w="15" w:type="dxa"/>
              <w:bottom w:w="0" w:type="dxa"/>
              <w:right w:w="15" w:type="dxa"/>
            </w:tcMar>
            <w:vAlign w:val="bottom"/>
            <w:hideMark/>
          </w:tcPr>
          <w:p w14:paraId="3E3B8FA3" w14:textId="77777777" w:rsidR="000F149C" w:rsidRPr="002E2B5B" w:rsidRDefault="000F149C" w:rsidP="00937ED9">
            <w:pPr>
              <w:spacing w:after="120"/>
              <w:jc w:val="center"/>
              <w:rPr>
                <w:rFonts w:ascii="Calibri" w:hAnsi="Calibri" w:cs="Calibri"/>
                <w:b/>
                <w:bCs/>
                <w:sz w:val="16"/>
                <w:szCs w:val="16"/>
              </w:rPr>
            </w:pPr>
            <w:r w:rsidRPr="002E2B5B">
              <w:rPr>
                <w:rFonts w:ascii="Calibri" w:hAnsi="Calibri" w:cs="Calibri"/>
                <w:b/>
                <w:bCs/>
                <w:sz w:val="16"/>
                <w:szCs w:val="16"/>
              </w:rPr>
              <w:t>SIAFI</w:t>
            </w:r>
          </w:p>
        </w:tc>
        <w:tc>
          <w:tcPr>
            <w:tcW w:w="1121" w:type="pct"/>
            <w:tcBorders>
              <w:bottom w:val="single" w:sz="8" w:space="0" w:color="000000"/>
            </w:tcBorders>
            <w:shd w:val="clear" w:color="auto" w:fill="FFFFFF"/>
            <w:noWrap/>
            <w:tcMar>
              <w:top w:w="15" w:type="dxa"/>
              <w:left w:w="15" w:type="dxa"/>
              <w:bottom w:w="0" w:type="dxa"/>
              <w:right w:w="15" w:type="dxa"/>
            </w:tcMar>
            <w:vAlign w:val="bottom"/>
            <w:hideMark/>
          </w:tcPr>
          <w:p w14:paraId="0E02478B" w14:textId="77777777" w:rsidR="000F149C" w:rsidRPr="002E2B5B" w:rsidRDefault="000F149C" w:rsidP="00937ED9">
            <w:pPr>
              <w:spacing w:after="120"/>
              <w:jc w:val="center"/>
              <w:rPr>
                <w:rFonts w:ascii="Calibri" w:hAnsi="Calibri" w:cs="Calibri"/>
                <w:b/>
                <w:bCs/>
                <w:sz w:val="16"/>
                <w:szCs w:val="16"/>
              </w:rPr>
            </w:pPr>
            <w:r w:rsidRPr="002E2B5B">
              <w:rPr>
                <w:rFonts w:ascii="Calibri" w:hAnsi="Calibri" w:cs="Calibri"/>
                <w:b/>
                <w:bCs/>
                <w:sz w:val="16"/>
                <w:szCs w:val="16"/>
              </w:rPr>
              <w:t>ÓRGÃO</w:t>
            </w:r>
          </w:p>
        </w:tc>
        <w:tc>
          <w:tcPr>
            <w:tcW w:w="981" w:type="pct"/>
            <w:tcBorders>
              <w:bottom w:val="single" w:sz="8" w:space="0" w:color="000000"/>
            </w:tcBorders>
            <w:shd w:val="clear" w:color="auto" w:fill="FFFFFF"/>
            <w:vAlign w:val="bottom"/>
          </w:tcPr>
          <w:p w14:paraId="087F657C" w14:textId="77777777" w:rsidR="000F149C" w:rsidRPr="002E2B5B" w:rsidRDefault="000F149C" w:rsidP="00937ED9">
            <w:pPr>
              <w:spacing w:after="120"/>
              <w:jc w:val="center"/>
              <w:rPr>
                <w:rFonts w:ascii="Calibri" w:hAnsi="Calibri" w:cs="Calibri"/>
                <w:b/>
                <w:bCs/>
                <w:sz w:val="16"/>
                <w:szCs w:val="16"/>
              </w:rPr>
            </w:pPr>
            <w:r w:rsidRPr="002E2B5B">
              <w:rPr>
                <w:rFonts w:ascii="Calibri" w:hAnsi="Calibri" w:cs="Calibri"/>
                <w:b/>
                <w:bCs/>
                <w:sz w:val="16"/>
                <w:szCs w:val="16"/>
              </w:rPr>
              <w:t>VIGÊNCIA</w:t>
            </w:r>
          </w:p>
        </w:tc>
        <w:tc>
          <w:tcPr>
            <w:tcW w:w="980" w:type="pct"/>
            <w:tcBorders>
              <w:bottom w:val="single" w:sz="8" w:space="0" w:color="000000"/>
            </w:tcBorders>
            <w:shd w:val="clear" w:color="auto" w:fill="FFFFFF"/>
            <w:noWrap/>
            <w:tcMar>
              <w:top w:w="15" w:type="dxa"/>
              <w:left w:w="15" w:type="dxa"/>
              <w:bottom w:w="0" w:type="dxa"/>
              <w:right w:w="15" w:type="dxa"/>
            </w:tcMar>
            <w:vAlign w:val="bottom"/>
            <w:hideMark/>
          </w:tcPr>
          <w:p w14:paraId="1A64EC30" w14:textId="77777777" w:rsidR="000F149C" w:rsidRPr="002E2B5B" w:rsidRDefault="000F149C" w:rsidP="00937ED9">
            <w:pPr>
              <w:spacing w:after="120"/>
              <w:jc w:val="right"/>
              <w:rPr>
                <w:rFonts w:ascii="Calibri" w:hAnsi="Calibri" w:cs="Calibri"/>
                <w:b/>
                <w:bCs/>
                <w:sz w:val="16"/>
                <w:szCs w:val="16"/>
              </w:rPr>
            </w:pPr>
            <w:r w:rsidRPr="002E2B5B">
              <w:rPr>
                <w:rFonts w:ascii="Calibri" w:hAnsi="Calibri" w:cs="Calibri"/>
                <w:b/>
                <w:bCs/>
                <w:sz w:val="16"/>
                <w:szCs w:val="16"/>
              </w:rPr>
              <w:t>VALOR</w:t>
            </w:r>
            <w:r w:rsidR="009705E6" w:rsidRPr="002E2B5B">
              <w:rPr>
                <w:rFonts w:ascii="Calibri" w:hAnsi="Calibri" w:cs="Calibri"/>
                <w:b/>
                <w:bCs/>
                <w:sz w:val="16"/>
                <w:szCs w:val="16"/>
              </w:rPr>
              <w:t xml:space="preserve"> A COMPROVAR</w:t>
            </w:r>
          </w:p>
        </w:tc>
      </w:tr>
      <w:tr w:rsidR="00FF00FD" w:rsidRPr="002E2B5B" w14:paraId="749B781F" w14:textId="77777777" w:rsidTr="00B23D01">
        <w:trPr>
          <w:trHeight w:hRule="exact" w:val="227"/>
        </w:trPr>
        <w:tc>
          <w:tcPr>
            <w:tcW w:w="1038" w:type="pct"/>
            <w:shd w:val="clear" w:color="auto" w:fill="FFFFFF"/>
            <w:noWrap/>
            <w:tcMar>
              <w:top w:w="15" w:type="dxa"/>
              <w:left w:w="15" w:type="dxa"/>
              <w:bottom w:w="0" w:type="dxa"/>
              <w:right w:w="15" w:type="dxa"/>
            </w:tcMar>
            <w:vAlign w:val="bottom"/>
          </w:tcPr>
          <w:p w14:paraId="4312F9AF" w14:textId="77777777" w:rsidR="00FF00FD" w:rsidRPr="00214011" w:rsidRDefault="00FF00FD" w:rsidP="00937ED9">
            <w:pPr>
              <w:spacing w:after="120"/>
              <w:jc w:val="center"/>
              <w:rPr>
                <w:rFonts w:ascii="Calibri" w:hAnsi="Calibri" w:cs="Calibri"/>
                <w:sz w:val="16"/>
                <w:szCs w:val="16"/>
              </w:rPr>
            </w:pPr>
            <w:r w:rsidRPr="00214011">
              <w:rPr>
                <w:rFonts w:ascii="Calibri" w:hAnsi="Calibri" w:cs="Calibri"/>
                <w:sz w:val="16"/>
                <w:szCs w:val="16"/>
              </w:rPr>
              <w:t>003/2013</w:t>
            </w:r>
          </w:p>
        </w:tc>
        <w:tc>
          <w:tcPr>
            <w:tcW w:w="880" w:type="pct"/>
            <w:shd w:val="clear" w:color="auto" w:fill="FFFFFF"/>
            <w:noWrap/>
            <w:tcMar>
              <w:top w:w="15" w:type="dxa"/>
              <w:left w:w="15" w:type="dxa"/>
              <w:bottom w:w="0" w:type="dxa"/>
              <w:right w:w="15" w:type="dxa"/>
            </w:tcMar>
            <w:vAlign w:val="bottom"/>
          </w:tcPr>
          <w:p w14:paraId="4A018E7B" w14:textId="77777777" w:rsidR="00FF00FD" w:rsidRPr="00214011" w:rsidRDefault="00FF00FD" w:rsidP="00937ED9">
            <w:pPr>
              <w:spacing w:after="120"/>
              <w:jc w:val="center"/>
              <w:rPr>
                <w:rFonts w:ascii="Calibri" w:hAnsi="Calibri" w:cs="Calibri"/>
                <w:sz w:val="16"/>
                <w:szCs w:val="16"/>
              </w:rPr>
            </w:pPr>
            <w:r w:rsidRPr="00214011">
              <w:rPr>
                <w:rFonts w:ascii="Calibri" w:hAnsi="Calibri" w:cs="Calibri"/>
                <w:sz w:val="16"/>
                <w:szCs w:val="16"/>
              </w:rPr>
              <w:t>690654</w:t>
            </w:r>
          </w:p>
        </w:tc>
        <w:tc>
          <w:tcPr>
            <w:tcW w:w="1121" w:type="pct"/>
            <w:shd w:val="clear" w:color="auto" w:fill="FFFFFF"/>
            <w:noWrap/>
            <w:tcMar>
              <w:top w:w="15" w:type="dxa"/>
              <w:left w:w="15" w:type="dxa"/>
              <w:bottom w:w="0" w:type="dxa"/>
              <w:right w:w="15" w:type="dxa"/>
            </w:tcMar>
            <w:vAlign w:val="bottom"/>
          </w:tcPr>
          <w:p w14:paraId="38C3F1B4" w14:textId="77777777" w:rsidR="00FF00FD" w:rsidRPr="00214011" w:rsidRDefault="00FF00FD" w:rsidP="00937ED9">
            <w:pPr>
              <w:spacing w:after="120"/>
              <w:jc w:val="center"/>
              <w:rPr>
                <w:rFonts w:ascii="Calibri" w:hAnsi="Calibri" w:cs="Calibri"/>
                <w:sz w:val="16"/>
                <w:szCs w:val="16"/>
              </w:rPr>
            </w:pPr>
            <w:r w:rsidRPr="00214011">
              <w:rPr>
                <w:rFonts w:ascii="Calibri" w:hAnsi="Calibri" w:cs="Calibri"/>
                <w:sz w:val="16"/>
                <w:szCs w:val="16"/>
              </w:rPr>
              <w:t>CBTU</w:t>
            </w:r>
          </w:p>
        </w:tc>
        <w:tc>
          <w:tcPr>
            <w:tcW w:w="981" w:type="pct"/>
            <w:shd w:val="clear" w:color="auto" w:fill="FFFFFF"/>
            <w:vAlign w:val="bottom"/>
          </w:tcPr>
          <w:p w14:paraId="501C6B3E" w14:textId="77777777" w:rsidR="00FF00FD" w:rsidRPr="00214011" w:rsidRDefault="00FF00FD" w:rsidP="00937ED9">
            <w:pPr>
              <w:spacing w:after="120"/>
              <w:jc w:val="center"/>
              <w:rPr>
                <w:rFonts w:ascii="Calibri" w:hAnsi="Calibri" w:cs="Calibri"/>
                <w:sz w:val="16"/>
                <w:szCs w:val="16"/>
              </w:rPr>
            </w:pPr>
            <w:r w:rsidRPr="00214011">
              <w:rPr>
                <w:rFonts w:ascii="Calibri" w:hAnsi="Calibri" w:cs="Calibri"/>
                <w:sz w:val="16"/>
                <w:szCs w:val="16"/>
              </w:rPr>
              <w:t>28.03.2021</w:t>
            </w:r>
          </w:p>
        </w:tc>
        <w:tc>
          <w:tcPr>
            <w:tcW w:w="980" w:type="pct"/>
            <w:shd w:val="clear" w:color="auto" w:fill="FFFFFF"/>
            <w:noWrap/>
            <w:tcMar>
              <w:top w:w="15" w:type="dxa"/>
              <w:left w:w="15" w:type="dxa"/>
              <w:bottom w:w="0" w:type="dxa"/>
              <w:right w:w="15" w:type="dxa"/>
            </w:tcMar>
            <w:vAlign w:val="bottom"/>
          </w:tcPr>
          <w:p w14:paraId="6D4B1618" w14:textId="77777777" w:rsidR="00FF00FD" w:rsidRPr="00214011" w:rsidRDefault="00FF00FD" w:rsidP="00937ED9">
            <w:pPr>
              <w:spacing w:after="120"/>
              <w:jc w:val="right"/>
              <w:rPr>
                <w:rFonts w:ascii="Calibri" w:hAnsi="Calibri" w:cs="Calibri"/>
                <w:sz w:val="16"/>
                <w:szCs w:val="16"/>
              </w:rPr>
            </w:pPr>
            <w:r w:rsidRPr="00214011">
              <w:rPr>
                <w:rFonts w:ascii="Calibri" w:hAnsi="Calibri" w:cs="Calibri"/>
                <w:sz w:val="16"/>
                <w:szCs w:val="16"/>
              </w:rPr>
              <w:t>71.948</w:t>
            </w:r>
          </w:p>
        </w:tc>
      </w:tr>
      <w:tr w:rsidR="00B91EDB" w:rsidRPr="002E2B5B" w14:paraId="29BB2DBF" w14:textId="77777777" w:rsidTr="00B23D01">
        <w:trPr>
          <w:trHeight w:hRule="exact" w:val="227"/>
        </w:trPr>
        <w:tc>
          <w:tcPr>
            <w:tcW w:w="1038" w:type="pct"/>
            <w:shd w:val="clear" w:color="auto" w:fill="FFFFFF"/>
            <w:noWrap/>
            <w:tcMar>
              <w:top w:w="15" w:type="dxa"/>
              <w:left w:w="15" w:type="dxa"/>
              <w:bottom w:w="0" w:type="dxa"/>
              <w:right w:w="15" w:type="dxa"/>
            </w:tcMar>
            <w:vAlign w:val="bottom"/>
            <w:hideMark/>
          </w:tcPr>
          <w:p w14:paraId="3EC9C9F9" w14:textId="77777777" w:rsidR="00B91EDB" w:rsidRPr="002E2B5B" w:rsidRDefault="00B91EDB" w:rsidP="00937ED9">
            <w:pPr>
              <w:spacing w:after="120"/>
              <w:jc w:val="center"/>
              <w:rPr>
                <w:rFonts w:ascii="Calibri" w:hAnsi="Calibri" w:cs="Calibri"/>
                <w:sz w:val="16"/>
                <w:szCs w:val="16"/>
              </w:rPr>
            </w:pPr>
            <w:r w:rsidRPr="002E2B5B">
              <w:rPr>
                <w:rFonts w:ascii="Calibri" w:hAnsi="Calibri" w:cs="Calibri"/>
                <w:sz w:val="16"/>
                <w:szCs w:val="16"/>
              </w:rPr>
              <w:t>001/2020</w:t>
            </w:r>
          </w:p>
        </w:tc>
        <w:tc>
          <w:tcPr>
            <w:tcW w:w="880" w:type="pct"/>
            <w:shd w:val="clear" w:color="auto" w:fill="FFFFFF"/>
            <w:noWrap/>
            <w:tcMar>
              <w:top w:w="15" w:type="dxa"/>
              <w:left w:w="15" w:type="dxa"/>
              <w:bottom w:w="0" w:type="dxa"/>
              <w:right w:w="15" w:type="dxa"/>
            </w:tcMar>
            <w:vAlign w:val="bottom"/>
            <w:hideMark/>
          </w:tcPr>
          <w:p w14:paraId="5E562148" w14:textId="77777777" w:rsidR="00B91EDB" w:rsidRPr="002E2B5B" w:rsidRDefault="00B91EDB" w:rsidP="00937ED9">
            <w:pPr>
              <w:spacing w:after="120"/>
              <w:jc w:val="center"/>
              <w:rPr>
                <w:rFonts w:ascii="Calibri" w:hAnsi="Calibri" w:cs="Calibri"/>
                <w:sz w:val="16"/>
                <w:szCs w:val="16"/>
              </w:rPr>
            </w:pPr>
            <w:r w:rsidRPr="002E2B5B">
              <w:rPr>
                <w:rFonts w:ascii="Calibri" w:hAnsi="Calibri" w:cs="Calibri"/>
                <w:sz w:val="16"/>
                <w:szCs w:val="16"/>
              </w:rPr>
              <w:t>1AABOM</w:t>
            </w:r>
          </w:p>
        </w:tc>
        <w:tc>
          <w:tcPr>
            <w:tcW w:w="1121" w:type="pct"/>
            <w:shd w:val="clear" w:color="auto" w:fill="FFFFFF"/>
            <w:noWrap/>
            <w:tcMar>
              <w:top w:w="15" w:type="dxa"/>
              <w:left w:w="15" w:type="dxa"/>
              <w:bottom w:w="0" w:type="dxa"/>
              <w:right w:w="15" w:type="dxa"/>
            </w:tcMar>
            <w:vAlign w:val="bottom"/>
            <w:hideMark/>
          </w:tcPr>
          <w:p w14:paraId="2947C078" w14:textId="77777777" w:rsidR="00B91EDB" w:rsidRPr="002E2B5B" w:rsidRDefault="00B91EDB" w:rsidP="00937ED9">
            <w:pPr>
              <w:spacing w:after="120"/>
              <w:jc w:val="center"/>
              <w:rPr>
                <w:rFonts w:ascii="Calibri" w:hAnsi="Calibri" w:cs="Calibri"/>
                <w:sz w:val="16"/>
                <w:szCs w:val="16"/>
              </w:rPr>
            </w:pPr>
            <w:r w:rsidRPr="002E2B5B">
              <w:rPr>
                <w:rFonts w:ascii="Calibri" w:hAnsi="Calibri" w:cs="Calibri"/>
                <w:sz w:val="16"/>
                <w:szCs w:val="16"/>
              </w:rPr>
              <w:t>EXÉRCITO</w:t>
            </w:r>
          </w:p>
        </w:tc>
        <w:tc>
          <w:tcPr>
            <w:tcW w:w="981" w:type="pct"/>
            <w:shd w:val="clear" w:color="auto" w:fill="FFFFFF"/>
            <w:vAlign w:val="bottom"/>
          </w:tcPr>
          <w:p w14:paraId="40AF71FE" w14:textId="238164C7" w:rsidR="00B91EDB" w:rsidRPr="002E2B5B" w:rsidRDefault="002338DB" w:rsidP="00937ED9">
            <w:pPr>
              <w:spacing w:after="120"/>
              <w:jc w:val="center"/>
              <w:rPr>
                <w:rFonts w:ascii="Calibri" w:hAnsi="Calibri" w:cs="Calibri"/>
                <w:sz w:val="16"/>
                <w:szCs w:val="16"/>
              </w:rPr>
            </w:pPr>
            <w:r>
              <w:rPr>
                <w:rFonts w:ascii="Calibri" w:hAnsi="Calibri" w:cs="Calibri"/>
                <w:sz w:val="16"/>
                <w:szCs w:val="16"/>
              </w:rPr>
              <w:t>08</w:t>
            </w:r>
            <w:r w:rsidR="00B91EDB" w:rsidRPr="002E2B5B">
              <w:rPr>
                <w:rFonts w:ascii="Calibri" w:hAnsi="Calibri" w:cs="Calibri"/>
                <w:sz w:val="16"/>
                <w:szCs w:val="16"/>
              </w:rPr>
              <w:t>.09.2023</w:t>
            </w:r>
          </w:p>
        </w:tc>
        <w:tc>
          <w:tcPr>
            <w:tcW w:w="980" w:type="pct"/>
            <w:shd w:val="clear" w:color="auto" w:fill="FFFFFF"/>
            <w:noWrap/>
            <w:tcMar>
              <w:top w:w="15" w:type="dxa"/>
              <w:left w:w="15" w:type="dxa"/>
              <w:bottom w:w="0" w:type="dxa"/>
              <w:right w:w="15" w:type="dxa"/>
            </w:tcMar>
            <w:vAlign w:val="bottom"/>
            <w:hideMark/>
          </w:tcPr>
          <w:p w14:paraId="25B4F22B" w14:textId="12D0B89F" w:rsidR="00B91EDB" w:rsidRPr="002E2B5B" w:rsidRDefault="00B91EDB" w:rsidP="00937ED9">
            <w:pPr>
              <w:spacing w:after="120"/>
              <w:jc w:val="right"/>
              <w:rPr>
                <w:rFonts w:ascii="Calibri" w:hAnsi="Calibri" w:cs="Calibri"/>
                <w:sz w:val="16"/>
                <w:szCs w:val="16"/>
              </w:rPr>
            </w:pPr>
            <w:r>
              <w:rPr>
                <w:rFonts w:ascii="Calibri" w:hAnsi="Calibri" w:cs="Calibri"/>
                <w:sz w:val="16"/>
                <w:szCs w:val="16"/>
              </w:rPr>
              <w:t>12.546.825</w:t>
            </w:r>
          </w:p>
        </w:tc>
      </w:tr>
      <w:tr w:rsidR="00B91EDB" w:rsidRPr="002E2B5B" w14:paraId="237FD0DD" w14:textId="77777777" w:rsidTr="00B23D01">
        <w:trPr>
          <w:trHeight w:hRule="exact" w:val="227"/>
        </w:trPr>
        <w:tc>
          <w:tcPr>
            <w:tcW w:w="1038" w:type="pct"/>
            <w:shd w:val="clear" w:color="auto" w:fill="FFFFFF"/>
            <w:noWrap/>
            <w:tcMar>
              <w:top w:w="15" w:type="dxa"/>
              <w:left w:w="15" w:type="dxa"/>
              <w:bottom w:w="0" w:type="dxa"/>
              <w:right w:w="15" w:type="dxa"/>
            </w:tcMar>
            <w:vAlign w:val="bottom"/>
          </w:tcPr>
          <w:p w14:paraId="0CD6AEDD" w14:textId="77777777" w:rsidR="00B91EDB" w:rsidRPr="002E2B5B" w:rsidRDefault="00B91EDB" w:rsidP="00937ED9">
            <w:pPr>
              <w:spacing w:after="120"/>
              <w:jc w:val="center"/>
              <w:rPr>
                <w:rFonts w:ascii="Calibri" w:hAnsi="Calibri" w:cs="Calibri"/>
                <w:sz w:val="16"/>
                <w:szCs w:val="16"/>
              </w:rPr>
            </w:pPr>
            <w:r w:rsidRPr="002E2B5B">
              <w:rPr>
                <w:rFonts w:ascii="Calibri" w:hAnsi="Calibri" w:cs="Calibri"/>
                <w:sz w:val="16"/>
                <w:szCs w:val="16"/>
              </w:rPr>
              <w:t>002/2020</w:t>
            </w:r>
          </w:p>
        </w:tc>
        <w:tc>
          <w:tcPr>
            <w:tcW w:w="880" w:type="pct"/>
            <w:shd w:val="clear" w:color="auto" w:fill="FFFFFF"/>
            <w:noWrap/>
            <w:tcMar>
              <w:top w:w="15" w:type="dxa"/>
              <w:left w:w="15" w:type="dxa"/>
              <w:bottom w:w="0" w:type="dxa"/>
              <w:right w:w="15" w:type="dxa"/>
            </w:tcMar>
            <w:vAlign w:val="bottom"/>
          </w:tcPr>
          <w:p w14:paraId="22FF09C9" w14:textId="77777777" w:rsidR="00B91EDB" w:rsidRPr="002E2B5B" w:rsidRDefault="00B91EDB" w:rsidP="00937ED9">
            <w:pPr>
              <w:spacing w:after="120"/>
              <w:jc w:val="center"/>
              <w:rPr>
                <w:rFonts w:ascii="Calibri" w:hAnsi="Calibri" w:cs="Calibri"/>
                <w:sz w:val="16"/>
                <w:szCs w:val="16"/>
              </w:rPr>
            </w:pPr>
            <w:r w:rsidRPr="002E2B5B">
              <w:rPr>
                <w:rFonts w:ascii="Calibri" w:hAnsi="Calibri" w:cs="Calibri"/>
                <w:sz w:val="16"/>
                <w:szCs w:val="16"/>
              </w:rPr>
              <w:t>1AADXR</w:t>
            </w:r>
          </w:p>
        </w:tc>
        <w:tc>
          <w:tcPr>
            <w:tcW w:w="1121" w:type="pct"/>
            <w:shd w:val="clear" w:color="auto" w:fill="FFFFFF"/>
            <w:noWrap/>
            <w:tcMar>
              <w:top w:w="15" w:type="dxa"/>
              <w:left w:w="15" w:type="dxa"/>
              <w:bottom w:w="0" w:type="dxa"/>
              <w:right w:w="15" w:type="dxa"/>
            </w:tcMar>
            <w:vAlign w:val="bottom"/>
          </w:tcPr>
          <w:p w14:paraId="2D273205" w14:textId="77777777" w:rsidR="00B91EDB" w:rsidRPr="002E2B5B" w:rsidRDefault="00B91EDB" w:rsidP="00937ED9">
            <w:pPr>
              <w:spacing w:after="120"/>
              <w:jc w:val="center"/>
              <w:rPr>
                <w:rFonts w:ascii="Calibri" w:hAnsi="Calibri" w:cs="Calibri"/>
                <w:sz w:val="16"/>
                <w:szCs w:val="16"/>
              </w:rPr>
            </w:pPr>
            <w:r w:rsidRPr="002E2B5B">
              <w:rPr>
                <w:rFonts w:ascii="Calibri" w:hAnsi="Calibri" w:cs="Calibri"/>
                <w:sz w:val="16"/>
                <w:szCs w:val="16"/>
              </w:rPr>
              <w:t>UnB</w:t>
            </w:r>
          </w:p>
        </w:tc>
        <w:tc>
          <w:tcPr>
            <w:tcW w:w="981" w:type="pct"/>
            <w:shd w:val="clear" w:color="auto" w:fill="FFFFFF"/>
            <w:vAlign w:val="bottom"/>
          </w:tcPr>
          <w:p w14:paraId="53B6C707" w14:textId="3C4C9E79" w:rsidR="00B91EDB" w:rsidRPr="002E2B5B" w:rsidRDefault="003B2ACE" w:rsidP="00937ED9">
            <w:pPr>
              <w:spacing w:after="120"/>
              <w:jc w:val="center"/>
              <w:rPr>
                <w:rFonts w:ascii="Calibri" w:hAnsi="Calibri" w:cs="Calibri"/>
                <w:sz w:val="16"/>
                <w:szCs w:val="16"/>
              </w:rPr>
            </w:pPr>
            <w:r>
              <w:rPr>
                <w:rFonts w:ascii="Calibri" w:hAnsi="Calibri" w:cs="Calibri"/>
                <w:sz w:val="16"/>
                <w:szCs w:val="16"/>
              </w:rPr>
              <w:t>19.08.2022</w:t>
            </w:r>
          </w:p>
        </w:tc>
        <w:tc>
          <w:tcPr>
            <w:tcW w:w="980" w:type="pct"/>
            <w:shd w:val="clear" w:color="auto" w:fill="FFFFFF"/>
            <w:noWrap/>
            <w:tcMar>
              <w:top w:w="15" w:type="dxa"/>
              <w:left w:w="15" w:type="dxa"/>
              <w:bottom w:w="0" w:type="dxa"/>
              <w:right w:w="15" w:type="dxa"/>
            </w:tcMar>
            <w:vAlign w:val="bottom"/>
          </w:tcPr>
          <w:p w14:paraId="25FE2FE3" w14:textId="2AFCF514" w:rsidR="00B91EDB" w:rsidRPr="002E2B5B" w:rsidRDefault="009F3F8D" w:rsidP="00937ED9">
            <w:pPr>
              <w:spacing w:after="120"/>
              <w:jc w:val="right"/>
              <w:rPr>
                <w:rFonts w:ascii="Calibri" w:hAnsi="Calibri" w:cs="Calibri"/>
                <w:sz w:val="16"/>
                <w:szCs w:val="16"/>
              </w:rPr>
            </w:pPr>
            <w:r>
              <w:rPr>
                <w:rFonts w:ascii="Calibri" w:hAnsi="Calibri" w:cs="Calibri"/>
                <w:sz w:val="16"/>
                <w:szCs w:val="16"/>
              </w:rPr>
              <w:t>400.000</w:t>
            </w:r>
          </w:p>
        </w:tc>
      </w:tr>
      <w:tr w:rsidR="00B91EDB" w:rsidRPr="002E2B5B" w14:paraId="6ED3B5B9" w14:textId="77777777" w:rsidTr="00AA3D29">
        <w:trPr>
          <w:trHeight w:hRule="exact" w:val="227"/>
        </w:trPr>
        <w:tc>
          <w:tcPr>
            <w:tcW w:w="1038" w:type="pct"/>
            <w:shd w:val="clear" w:color="auto" w:fill="FFFFFF"/>
            <w:noWrap/>
            <w:tcMar>
              <w:top w:w="15" w:type="dxa"/>
              <w:left w:w="15" w:type="dxa"/>
              <w:bottom w:w="0" w:type="dxa"/>
              <w:right w:w="15" w:type="dxa"/>
            </w:tcMar>
            <w:vAlign w:val="bottom"/>
          </w:tcPr>
          <w:p w14:paraId="797C6701" w14:textId="77777777" w:rsidR="00B91EDB" w:rsidRPr="002E2B5B" w:rsidRDefault="00B91EDB" w:rsidP="00937ED9">
            <w:pPr>
              <w:spacing w:after="120"/>
              <w:jc w:val="center"/>
              <w:rPr>
                <w:rFonts w:ascii="Calibri" w:hAnsi="Calibri" w:cs="Calibri"/>
                <w:sz w:val="16"/>
                <w:szCs w:val="16"/>
              </w:rPr>
            </w:pPr>
            <w:r w:rsidRPr="002E2B5B">
              <w:rPr>
                <w:rFonts w:ascii="Calibri" w:hAnsi="Calibri" w:cs="Calibri"/>
                <w:sz w:val="16"/>
                <w:szCs w:val="16"/>
              </w:rPr>
              <w:t>003/2020</w:t>
            </w:r>
          </w:p>
        </w:tc>
        <w:tc>
          <w:tcPr>
            <w:tcW w:w="880" w:type="pct"/>
            <w:shd w:val="clear" w:color="auto" w:fill="FFFFFF"/>
            <w:noWrap/>
            <w:tcMar>
              <w:top w:w="15" w:type="dxa"/>
              <w:left w:w="15" w:type="dxa"/>
              <w:bottom w:w="0" w:type="dxa"/>
              <w:right w:w="15" w:type="dxa"/>
            </w:tcMar>
            <w:vAlign w:val="bottom"/>
          </w:tcPr>
          <w:p w14:paraId="34887E76" w14:textId="77777777" w:rsidR="00B91EDB" w:rsidRPr="002E2B5B" w:rsidRDefault="00B91EDB" w:rsidP="00937ED9">
            <w:pPr>
              <w:spacing w:after="120"/>
              <w:jc w:val="center"/>
              <w:rPr>
                <w:rFonts w:ascii="Calibri" w:hAnsi="Calibri" w:cs="Calibri"/>
                <w:sz w:val="16"/>
                <w:szCs w:val="16"/>
              </w:rPr>
            </w:pPr>
            <w:r w:rsidRPr="002E2B5B">
              <w:rPr>
                <w:rFonts w:ascii="Calibri" w:hAnsi="Calibri" w:cs="Calibri"/>
                <w:sz w:val="16"/>
                <w:szCs w:val="16"/>
              </w:rPr>
              <w:t>1AADXS</w:t>
            </w:r>
          </w:p>
        </w:tc>
        <w:tc>
          <w:tcPr>
            <w:tcW w:w="1121" w:type="pct"/>
            <w:shd w:val="clear" w:color="auto" w:fill="FFFFFF"/>
            <w:noWrap/>
            <w:tcMar>
              <w:top w:w="15" w:type="dxa"/>
              <w:left w:w="15" w:type="dxa"/>
              <w:bottom w:w="0" w:type="dxa"/>
              <w:right w:w="15" w:type="dxa"/>
            </w:tcMar>
            <w:vAlign w:val="bottom"/>
          </w:tcPr>
          <w:p w14:paraId="73683A53" w14:textId="77777777" w:rsidR="00B91EDB" w:rsidRPr="002E2B5B" w:rsidRDefault="00B91EDB" w:rsidP="00937ED9">
            <w:pPr>
              <w:spacing w:after="120"/>
              <w:jc w:val="center"/>
              <w:rPr>
                <w:rFonts w:ascii="Calibri" w:hAnsi="Calibri" w:cs="Calibri"/>
                <w:sz w:val="16"/>
                <w:szCs w:val="16"/>
              </w:rPr>
            </w:pPr>
            <w:r w:rsidRPr="002E2B5B">
              <w:rPr>
                <w:rFonts w:ascii="Calibri" w:hAnsi="Calibri" w:cs="Calibri"/>
                <w:sz w:val="16"/>
                <w:szCs w:val="16"/>
              </w:rPr>
              <w:t>UnB</w:t>
            </w:r>
          </w:p>
        </w:tc>
        <w:tc>
          <w:tcPr>
            <w:tcW w:w="981" w:type="pct"/>
            <w:shd w:val="clear" w:color="auto" w:fill="FFFFFF"/>
            <w:vAlign w:val="bottom"/>
          </w:tcPr>
          <w:p w14:paraId="00926A9B" w14:textId="7A04E011" w:rsidR="00B91EDB" w:rsidRPr="002E2B5B" w:rsidRDefault="003B2ACE" w:rsidP="00937ED9">
            <w:pPr>
              <w:spacing w:after="120"/>
              <w:jc w:val="center"/>
              <w:rPr>
                <w:rFonts w:ascii="Calibri" w:hAnsi="Calibri" w:cs="Calibri"/>
                <w:sz w:val="16"/>
                <w:szCs w:val="16"/>
              </w:rPr>
            </w:pPr>
            <w:r>
              <w:rPr>
                <w:rFonts w:ascii="Calibri" w:hAnsi="Calibri" w:cs="Calibri"/>
                <w:sz w:val="16"/>
                <w:szCs w:val="16"/>
              </w:rPr>
              <w:t>18.12</w:t>
            </w:r>
            <w:r w:rsidR="00B91EDB" w:rsidRPr="002E2B5B">
              <w:rPr>
                <w:rFonts w:ascii="Calibri" w:hAnsi="Calibri" w:cs="Calibri"/>
                <w:sz w:val="16"/>
                <w:szCs w:val="16"/>
              </w:rPr>
              <w:t>.2022</w:t>
            </w:r>
          </w:p>
        </w:tc>
        <w:tc>
          <w:tcPr>
            <w:tcW w:w="980" w:type="pct"/>
            <w:shd w:val="clear" w:color="auto" w:fill="FFFFFF"/>
            <w:noWrap/>
            <w:tcMar>
              <w:top w:w="15" w:type="dxa"/>
              <w:left w:w="15" w:type="dxa"/>
              <w:bottom w:w="0" w:type="dxa"/>
              <w:right w:w="15" w:type="dxa"/>
            </w:tcMar>
            <w:vAlign w:val="bottom"/>
          </w:tcPr>
          <w:p w14:paraId="0C1077E1" w14:textId="461C0FCB" w:rsidR="00B91EDB" w:rsidRPr="002E2B5B" w:rsidRDefault="009F3F8D" w:rsidP="00937ED9">
            <w:pPr>
              <w:spacing w:after="120"/>
              <w:jc w:val="right"/>
              <w:rPr>
                <w:rFonts w:ascii="Calibri" w:hAnsi="Calibri" w:cs="Calibri"/>
                <w:sz w:val="16"/>
                <w:szCs w:val="16"/>
              </w:rPr>
            </w:pPr>
            <w:r>
              <w:rPr>
                <w:rFonts w:ascii="Calibri" w:hAnsi="Calibri" w:cs="Calibri"/>
                <w:sz w:val="16"/>
                <w:szCs w:val="16"/>
              </w:rPr>
              <w:t>509.262</w:t>
            </w:r>
          </w:p>
        </w:tc>
      </w:tr>
      <w:tr w:rsidR="00B91EDB" w:rsidRPr="002E2B5B" w14:paraId="7557F6AD" w14:textId="77777777" w:rsidTr="00AA3D29">
        <w:trPr>
          <w:trHeight w:hRule="exact" w:val="227"/>
        </w:trPr>
        <w:tc>
          <w:tcPr>
            <w:tcW w:w="1038" w:type="pct"/>
            <w:tcBorders>
              <w:bottom w:val="single" w:sz="4" w:space="0" w:color="auto"/>
            </w:tcBorders>
            <w:shd w:val="clear" w:color="auto" w:fill="FFFFFF"/>
            <w:noWrap/>
            <w:tcMar>
              <w:top w:w="15" w:type="dxa"/>
              <w:left w:w="15" w:type="dxa"/>
              <w:bottom w:w="0" w:type="dxa"/>
              <w:right w:w="15" w:type="dxa"/>
            </w:tcMar>
            <w:vAlign w:val="bottom"/>
          </w:tcPr>
          <w:p w14:paraId="2FEA0E1A" w14:textId="67AE4987" w:rsidR="00B91EDB" w:rsidRPr="002E2B5B" w:rsidRDefault="00B91EDB" w:rsidP="00937ED9">
            <w:pPr>
              <w:spacing w:after="120"/>
              <w:jc w:val="center"/>
              <w:rPr>
                <w:rFonts w:ascii="Calibri" w:hAnsi="Calibri" w:cs="Calibri"/>
                <w:sz w:val="16"/>
                <w:szCs w:val="16"/>
              </w:rPr>
            </w:pPr>
            <w:r>
              <w:rPr>
                <w:rFonts w:ascii="Calibri" w:hAnsi="Calibri" w:cs="Calibri"/>
                <w:sz w:val="16"/>
                <w:szCs w:val="16"/>
              </w:rPr>
              <w:t>001/2021</w:t>
            </w:r>
          </w:p>
        </w:tc>
        <w:tc>
          <w:tcPr>
            <w:tcW w:w="880" w:type="pct"/>
            <w:tcBorders>
              <w:bottom w:val="single" w:sz="4" w:space="0" w:color="auto"/>
            </w:tcBorders>
            <w:shd w:val="clear" w:color="auto" w:fill="FFFFFF"/>
            <w:noWrap/>
            <w:tcMar>
              <w:top w:w="15" w:type="dxa"/>
              <w:left w:w="15" w:type="dxa"/>
              <w:bottom w:w="0" w:type="dxa"/>
              <w:right w:w="15" w:type="dxa"/>
            </w:tcMar>
            <w:vAlign w:val="bottom"/>
          </w:tcPr>
          <w:p w14:paraId="412BD07D" w14:textId="770EC374" w:rsidR="00B91EDB" w:rsidRPr="002E2B5B" w:rsidRDefault="00B91EDB" w:rsidP="00937ED9">
            <w:pPr>
              <w:spacing w:after="120"/>
              <w:jc w:val="center"/>
              <w:rPr>
                <w:rFonts w:ascii="Calibri" w:hAnsi="Calibri" w:cs="Calibri"/>
                <w:sz w:val="16"/>
                <w:szCs w:val="16"/>
              </w:rPr>
            </w:pPr>
            <w:r>
              <w:rPr>
                <w:rFonts w:ascii="Calibri" w:hAnsi="Calibri" w:cs="Calibri"/>
                <w:sz w:val="16"/>
                <w:szCs w:val="16"/>
              </w:rPr>
              <w:t>1AAETV</w:t>
            </w:r>
          </w:p>
        </w:tc>
        <w:tc>
          <w:tcPr>
            <w:tcW w:w="1121" w:type="pct"/>
            <w:tcBorders>
              <w:bottom w:val="single" w:sz="4" w:space="0" w:color="auto"/>
            </w:tcBorders>
            <w:shd w:val="clear" w:color="auto" w:fill="FFFFFF"/>
            <w:noWrap/>
            <w:tcMar>
              <w:top w:w="15" w:type="dxa"/>
              <w:left w:w="15" w:type="dxa"/>
              <w:bottom w:w="0" w:type="dxa"/>
              <w:right w:w="15" w:type="dxa"/>
            </w:tcMar>
            <w:vAlign w:val="bottom"/>
          </w:tcPr>
          <w:p w14:paraId="48EA2B78" w14:textId="61D82F7D" w:rsidR="00B91EDB" w:rsidRPr="002E2B5B" w:rsidRDefault="00B91EDB" w:rsidP="00937ED9">
            <w:pPr>
              <w:spacing w:after="120"/>
              <w:jc w:val="center"/>
              <w:rPr>
                <w:rFonts w:ascii="Calibri" w:hAnsi="Calibri" w:cs="Calibri"/>
                <w:sz w:val="16"/>
                <w:szCs w:val="16"/>
              </w:rPr>
            </w:pPr>
            <w:r>
              <w:rPr>
                <w:rFonts w:ascii="Calibri" w:hAnsi="Calibri" w:cs="Calibri"/>
                <w:sz w:val="16"/>
                <w:szCs w:val="16"/>
              </w:rPr>
              <w:t>MCTI</w:t>
            </w:r>
          </w:p>
        </w:tc>
        <w:tc>
          <w:tcPr>
            <w:tcW w:w="981" w:type="pct"/>
            <w:tcBorders>
              <w:bottom w:val="single" w:sz="4" w:space="0" w:color="auto"/>
            </w:tcBorders>
            <w:shd w:val="clear" w:color="auto" w:fill="FFFFFF"/>
            <w:vAlign w:val="bottom"/>
          </w:tcPr>
          <w:p w14:paraId="5A926F30" w14:textId="6E19501B" w:rsidR="00B91EDB" w:rsidRPr="002E2B5B" w:rsidRDefault="00B91EDB" w:rsidP="00937ED9">
            <w:pPr>
              <w:spacing w:after="120"/>
              <w:jc w:val="center"/>
              <w:rPr>
                <w:rFonts w:ascii="Calibri" w:hAnsi="Calibri" w:cs="Calibri"/>
                <w:sz w:val="16"/>
                <w:szCs w:val="16"/>
              </w:rPr>
            </w:pPr>
            <w:r>
              <w:rPr>
                <w:rFonts w:ascii="Calibri" w:hAnsi="Calibri" w:cs="Calibri"/>
                <w:sz w:val="16"/>
                <w:szCs w:val="16"/>
              </w:rPr>
              <w:t>24.06.2022</w:t>
            </w:r>
          </w:p>
        </w:tc>
        <w:tc>
          <w:tcPr>
            <w:tcW w:w="980" w:type="pct"/>
            <w:tcBorders>
              <w:bottom w:val="single" w:sz="4" w:space="0" w:color="auto"/>
            </w:tcBorders>
            <w:shd w:val="clear" w:color="auto" w:fill="FFFFFF"/>
            <w:noWrap/>
            <w:tcMar>
              <w:top w:w="15" w:type="dxa"/>
              <w:left w:w="15" w:type="dxa"/>
              <w:bottom w:w="0" w:type="dxa"/>
              <w:right w:w="15" w:type="dxa"/>
            </w:tcMar>
            <w:vAlign w:val="bottom"/>
          </w:tcPr>
          <w:p w14:paraId="3EC0610D" w14:textId="12676DAD" w:rsidR="00B91EDB" w:rsidRDefault="002338DB" w:rsidP="00937ED9">
            <w:pPr>
              <w:spacing w:after="120"/>
              <w:jc w:val="right"/>
              <w:rPr>
                <w:rFonts w:ascii="Calibri" w:hAnsi="Calibri" w:cs="Calibri"/>
                <w:sz w:val="16"/>
                <w:szCs w:val="16"/>
              </w:rPr>
            </w:pPr>
            <w:r>
              <w:rPr>
                <w:rFonts w:ascii="Calibri" w:hAnsi="Calibri" w:cs="Calibri"/>
                <w:sz w:val="16"/>
                <w:szCs w:val="16"/>
              </w:rPr>
              <w:t>1.488.605</w:t>
            </w:r>
          </w:p>
        </w:tc>
      </w:tr>
      <w:tr w:rsidR="00B91EDB" w:rsidRPr="002E2B5B" w14:paraId="1D27B4C9" w14:textId="77777777" w:rsidTr="00AA3D29">
        <w:trPr>
          <w:trHeight w:hRule="exact" w:val="227"/>
        </w:trPr>
        <w:tc>
          <w:tcPr>
            <w:tcW w:w="1038" w:type="pct"/>
            <w:tcBorders>
              <w:top w:val="single" w:sz="4" w:space="0" w:color="auto"/>
              <w:bottom w:val="single" w:sz="8" w:space="0" w:color="000000"/>
            </w:tcBorders>
            <w:shd w:val="clear" w:color="auto" w:fill="FFFFFF"/>
            <w:noWrap/>
            <w:tcMar>
              <w:top w:w="15" w:type="dxa"/>
              <w:left w:w="15" w:type="dxa"/>
              <w:bottom w:w="0" w:type="dxa"/>
              <w:right w:w="15" w:type="dxa"/>
            </w:tcMar>
            <w:vAlign w:val="bottom"/>
          </w:tcPr>
          <w:p w14:paraId="4AEF6E62" w14:textId="06B1C89E" w:rsidR="00B91EDB" w:rsidRPr="002E2B5B" w:rsidRDefault="00B91EDB" w:rsidP="00937ED9">
            <w:pPr>
              <w:spacing w:after="120"/>
              <w:jc w:val="center"/>
              <w:rPr>
                <w:rFonts w:ascii="Calibri" w:hAnsi="Calibri" w:cs="Calibri"/>
                <w:b/>
                <w:sz w:val="16"/>
                <w:szCs w:val="16"/>
              </w:rPr>
            </w:pPr>
            <w:r w:rsidRPr="002E2B5B">
              <w:rPr>
                <w:rFonts w:ascii="Calibri" w:hAnsi="Calibri" w:cs="Calibri"/>
                <w:b/>
                <w:sz w:val="16"/>
                <w:szCs w:val="16"/>
              </w:rPr>
              <w:t xml:space="preserve">TOTAL EM </w:t>
            </w:r>
            <w:r>
              <w:rPr>
                <w:rFonts w:ascii="Calibri" w:hAnsi="Calibri" w:cs="Calibri"/>
                <w:b/>
                <w:sz w:val="16"/>
                <w:szCs w:val="16"/>
              </w:rPr>
              <w:t>3</w:t>
            </w:r>
            <w:r w:rsidR="002338DB">
              <w:rPr>
                <w:rFonts w:ascii="Calibri" w:hAnsi="Calibri" w:cs="Calibri"/>
                <w:b/>
                <w:sz w:val="16"/>
                <w:szCs w:val="16"/>
              </w:rPr>
              <w:t>0</w:t>
            </w:r>
            <w:r>
              <w:rPr>
                <w:rFonts w:ascii="Calibri" w:hAnsi="Calibri" w:cs="Calibri"/>
                <w:b/>
                <w:sz w:val="16"/>
                <w:szCs w:val="16"/>
              </w:rPr>
              <w:t>/</w:t>
            </w:r>
            <w:r w:rsidR="00066B19">
              <w:rPr>
                <w:rFonts w:ascii="Calibri" w:hAnsi="Calibri" w:cs="Calibri"/>
                <w:b/>
                <w:sz w:val="16"/>
                <w:szCs w:val="16"/>
              </w:rPr>
              <w:t>0</w:t>
            </w:r>
            <w:r w:rsidR="002338DB">
              <w:rPr>
                <w:rFonts w:ascii="Calibri" w:hAnsi="Calibri" w:cs="Calibri"/>
                <w:b/>
                <w:sz w:val="16"/>
                <w:szCs w:val="16"/>
              </w:rPr>
              <w:t>6</w:t>
            </w:r>
            <w:r>
              <w:rPr>
                <w:rFonts w:ascii="Calibri" w:hAnsi="Calibri" w:cs="Calibri"/>
                <w:b/>
                <w:sz w:val="16"/>
                <w:szCs w:val="16"/>
              </w:rPr>
              <w:t>/</w:t>
            </w:r>
            <w:r w:rsidRPr="002E2B5B">
              <w:rPr>
                <w:rFonts w:ascii="Calibri" w:hAnsi="Calibri" w:cs="Calibri"/>
                <w:b/>
                <w:sz w:val="16"/>
                <w:szCs w:val="16"/>
              </w:rPr>
              <w:t>202</w:t>
            </w:r>
            <w:r w:rsidR="00066B19">
              <w:rPr>
                <w:rFonts w:ascii="Calibri" w:hAnsi="Calibri" w:cs="Calibri"/>
                <w:b/>
                <w:sz w:val="16"/>
                <w:szCs w:val="16"/>
              </w:rPr>
              <w:t>2</w:t>
            </w:r>
          </w:p>
        </w:tc>
        <w:tc>
          <w:tcPr>
            <w:tcW w:w="880" w:type="pct"/>
            <w:tcBorders>
              <w:top w:val="single" w:sz="4" w:space="0" w:color="auto"/>
              <w:bottom w:val="single" w:sz="8" w:space="0" w:color="000000"/>
            </w:tcBorders>
            <w:shd w:val="clear" w:color="auto" w:fill="FFFFFF"/>
            <w:noWrap/>
            <w:tcMar>
              <w:top w:w="15" w:type="dxa"/>
              <w:left w:w="15" w:type="dxa"/>
              <w:bottom w:w="0" w:type="dxa"/>
              <w:right w:w="15" w:type="dxa"/>
            </w:tcMar>
            <w:vAlign w:val="bottom"/>
          </w:tcPr>
          <w:p w14:paraId="5E6A84AF" w14:textId="77777777" w:rsidR="00B91EDB" w:rsidRPr="002E2B5B" w:rsidRDefault="00B91EDB" w:rsidP="00937ED9">
            <w:pPr>
              <w:spacing w:after="120"/>
              <w:jc w:val="center"/>
              <w:rPr>
                <w:rFonts w:ascii="Calibri" w:hAnsi="Calibri" w:cs="Calibri"/>
                <w:b/>
                <w:sz w:val="16"/>
                <w:szCs w:val="16"/>
              </w:rPr>
            </w:pPr>
          </w:p>
        </w:tc>
        <w:tc>
          <w:tcPr>
            <w:tcW w:w="1121" w:type="pct"/>
            <w:tcBorders>
              <w:top w:val="single" w:sz="4" w:space="0" w:color="auto"/>
              <w:bottom w:val="single" w:sz="8" w:space="0" w:color="000000"/>
            </w:tcBorders>
            <w:shd w:val="clear" w:color="auto" w:fill="FFFFFF"/>
            <w:noWrap/>
            <w:tcMar>
              <w:top w:w="15" w:type="dxa"/>
              <w:left w:w="15" w:type="dxa"/>
              <w:bottom w:w="0" w:type="dxa"/>
              <w:right w:w="15" w:type="dxa"/>
            </w:tcMar>
            <w:vAlign w:val="bottom"/>
          </w:tcPr>
          <w:p w14:paraId="37711AAC" w14:textId="77777777" w:rsidR="00B91EDB" w:rsidRPr="002E2B5B" w:rsidRDefault="00B91EDB" w:rsidP="00937ED9">
            <w:pPr>
              <w:spacing w:after="120"/>
              <w:jc w:val="center"/>
              <w:rPr>
                <w:rFonts w:ascii="Calibri" w:hAnsi="Calibri" w:cs="Calibri"/>
                <w:b/>
                <w:sz w:val="16"/>
                <w:szCs w:val="16"/>
              </w:rPr>
            </w:pPr>
          </w:p>
        </w:tc>
        <w:tc>
          <w:tcPr>
            <w:tcW w:w="981" w:type="pct"/>
            <w:tcBorders>
              <w:top w:val="single" w:sz="4" w:space="0" w:color="auto"/>
              <w:bottom w:val="single" w:sz="4" w:space="0" w:color="auto"/>
            </w:tcBorders>
            <w:shd w:val="clear" w:color="auto" w:fill="FFFFFF"/>
          </w:tcPr>
          <w:p w14:paraId="0918FDF2" w14:textId="77777777" w:rsidR="00B91EDB" w:rsidRPr="002E2B5B" w:rsidRDefault="00B91EDB" w:rsidP="00937ED9">
            <w:pPr>
              <w:spacing w:after="120"/>
              <w:jc w:val="center"/>
              <w:rPr>
                <w:rFonts w:ascii="Calibri" w:hAnsi="Calibri" w:cs="Calibri"/>
                <w:b/>
                <w:sz w:val="16"/>
                <w:szCs w:val="16"/>
              </w:rPr>
            </w:pPr>
          </w:p>
        </w:tc>
        <w:tc>
          <w:tcPr>
            <w:tcW w:w="980" w:type="pct"/>
            <w:tcBorders>
              <w:top w:val="single" w:sz="4" w:space="0" w:color="auto"/>
              <w:bottom w:val="single" w:sz="4" w:space="0" w:color="auto"/>
            </w:tcBorders>
            <w:shd w:val="clear" w:color="auto" w:fill="FFFFFF"/>
            <w:noWrap/>
            <w:tcMar>
              <w:top w:w="15" w:type="dxa"/>
              <w:left w:w="15" w:type="dxa"/>
              <w:bottom w:w="0" w:type="dxa"/>
              <w:right w:w="15" w:type="dxa"/>
            </w:tcMar>
            <w:vAlign w:val="bottom"/>
          </w:tcPr>
          <w:p w14:paraId="1ED2EF01" w14:textId="4B8286FC" w:rsidR="00B91EDB" w:rsidRPr="002E2B5B" w:rsidRDefault="009F3F8D" w:rsidP="00066B19">
            <w:pPr>
              <w:spacing w:after="160"/>
              <w:jc w:val="right"/>
              <w:rPr>
                <w:rFonts w:ascii="Calibri" w:hAnsi="Calibri" w:cs="Calibri"/>
                <w:b/>
                <w:sz w:val="16"/>
                <w:szCs w:val="16"/>
              </w:rPr>
            </w:pPr>
            <w:r>
              <w:rPr>
                <w:rFonts w:ascii="Calibri" w:hAnsi="Calibri" w:cs="Calibri"/>
                <w:b/>
                <w:sz w:val="16"/>
                <w:szCs w:val="16"/>
              </w:rPr>
              <w:t>1</w:t>
            </w:r>
            <w:r w:rsidR="002338DB">
              <w:rPr>
                <w:rFonts w:ascii="Calibri" w:hAnsi="Calibri" w:cs="Calibri"/>
                <w:b/>
                <w:sz w:val="16"/>
                <w:szCs w:val="16"/>
              </w:rPr>
              <w:t>5</w:t>
            </w:r>
            <w:r>
              <w:rPr>
                <w:rFonts w:ascii="Calibri" w:hAnsi="Calibri" w:cs="Calibri"/>
                <w:b/>
                <w:sz w:val="16"/>
                <w:szCs w:val="16"/>
              </w:rPr>
              <w:t>.</w:t>
            </w:r>
            <w:r w:rsidR="002338DB">
              <w:rPr>
                <w:rFonts w:ascii="Calibri" w:hAnsi="Calibri" w:cs="Calibri"/>
                <w:b/>
                <w:sz w:val="16"/>
                <w:szCs w:val="16"/>
              </w:rPr>
              <w:t>0</w:t>
            </w:r>
            <w:r>
              <w:rPr>
                <w:rFonts w:ascii="Calibri" w:hAnsi="Calibri" w:cs="Calibri"/>
                <w:b/>
                <w:sz w:val="16"/>
                <w:szCs w:val="16"/>
              </w:rPr>
              <w:t>1</w:t>
            </w:r>
            <w:r w:rsidR="002338DB">
              <w:rPr>
                <w:rFonts w:ascii="Calibri" w:hAnsi="Calibri" w:cs="Calibri"/>
                <w:b/>
                <w:sz w:val="16"/>
                <w:szCs w:val="16"/>
              </w:rPr>
              <w:t>6</w:t>
            </w:r>
            <w:r>
              <w:rPr>
                <w:rFonts w:ascii="Calibri" w:hAnsi="Calibri" w:cs="Calibri"/>
                <w:b/>
                <w:sz w:val="16"/>
                <w:szCs w:val="16"/>
              </w:rPr>
              <w:t>.</w:t>
            </w:r>
            <w:r w:rsidR="002338DB">
              <w:rPr>
                <w:rFonts w:ascii="Calibri" w:hAnsi="Calibri" w:cs="Calibri"/>
                <w:b/>
                <w:sz w:val="16"/>
                <w:szCs w:val="16"/>
              </w:rPr>
              <w:t>640</w:t>
            </w:r>
          </w:p>
        </w:tc>
      </w:tr>
    </w:tbl>
    <w:p w14:paraId="4DC9C94B" w14:textId="6F6618A1" w:rsidR="00FF00FD" w:rsidRPr="00214011" w:rsidRDefault="00FF00FD" w:rsidP="00066B19">
      <w:pPr>
        <w:pStyle w:val="PargrafodaLista"/>
        <w:widowControl w:val="0"/>
        <w:numPr>
          <w:ilvl w:val="0"/>
          <w:numId w:val="33"/>
        </w:numPr>
        <w:tabs>
          <w:tab w:val="left" w:pos="709"/>
        </w:tabs>
        <w:spacing w:before="240" w:after="120" w:line="276" w:lineRule="auto"/>
        <w:ind w:left="714" w:hanging="357"/>
        <w:jc w:val="both"/>
        <w:rPr>
          <w:rFonts w:ascii="Calibri" w:hAnsi="Calibri" w:cs="Calibri"/>
          <w:color w:val="201F1E"/>
          <w:sz w:val="22"/>
          <w:szCs w:val="22"/>
        </w:rPr>
      </w:pPr>
      <w:r w:rsidRPr="00214011">
        <w:rPr>
          <w:rFonts w:ascii="Calibri" w:hAnsi="Calibri" w:cs="Calibri"/>
          <w:color w:val="201F1E"/>
          <w:sz w:val="22"/>
          <w:szCs w:val="22"/>
        </w:rPr>
        <w:t>Termo de Execução Descentralizada n°. 003/2013, celebrado entre a VALEC e a CIA Brasileira de Trens Urbanos-CBTU, cujo objeto é o disciplinamento do uso compartilhado das áreas de uso comum voltadas à administração, segurança, controle e fiscalização do Edifício Renato Azevedo Feio, situado na praça Procópio Ferreira-RJ, bem como o rateio das correlatas despesas. Compartilha</w:t>
      </w:r>
      <w:r w:rsidR="00E70FA9" w:rsidRPr="00214011">
        <w:rPr>
          <w:rFonts w:ascii="Calibri" w:hAnsi="Calibri" w:cs="Calibri"/>
          <w:color w:val="201F1E"/>
          <w:sz w:val="22"/>
          <w:szCs w:val="22"/>
        </w:rPr>
        <w:t>m</w:t>
      </w:r>
      <w:r w:rsidRPr="00214011">
        <w:rPr>
          <w:rFonts w:ascii="Calibri" w:hAnsi="Calibri" w:cs="Calibri"/>
          <w:color w:val="201F1E"/>
          <w:sz w:val="22"/>
          <w:szCs w:val="22"/>
        </w:rPr>
        <w:t xml:space="preserve"> o uso das dependências os seguintes órgãos e entidades partícipes: Inventariança-RFFSA, CBTU, VALEC e AGU, que são representados, oportunamente, nas assembleias por servidores formalmente nomeados pelas respectivas direções. </w:t>
      </w:r>
      <w:r w:rsidR="00AA3D29">
        <w:rPr>
          <w:rFonts w:ascii="Calibri" w:hAnsi="Calibri" w:cs="Calibri"/>
          <w:color w:val="201F1E"/>
          <w:sz w:val="22"/>
          <w:szCs w:val="22"/>
        </w:rPr>
        <w:t xml:space="preserve">Teve a </w:t>
      </w:r>
      <w:r w:rsidRPr="00214011">
        <w:rPr>
          <w:rFonts w:ascii="Calibri" w:hAnsi="Calibri" w:cs="Calibri"/>
          <w:color w:val="201F1E"/>
          <w:sz w:val="22"/>
          <w:szCs w:val="22"/>
        </w:rPr>
        <w:t>vigência até 28 de março de 2021</w:t>
      </w:r>
      <w:r w:rsidR="00214011" w:rsidRPr="00214011">
        <w:rPr>
          <w:rFonts w:ascii="Calibri" w:hAnsi="Calibri" w:cs="Calibri"/>
          <w:color w:val="201F1E"/>
          <w:sz w:val="22"/>
          <w:szCs w:val="22"/>
        </w:rPr>
        <w:t>, e</w:t>
      </w:r>
      <w:r w:rsidR="00AA3D29">
        <w:rPr>
          <w:rFonts w:ascii="Calibri" w:hAnsi="Calibri" w:cs="Calibri"/>
          <w:color w:val="201F1E"/>
          <w:sz w:val="22"/>
          <w:szCs w:val="22"/>
        </w:rPr>
        <w:t xml:space="preserve"> encontra-se com a </w:t>
      </w:r>
      <w:r w:rsidR="00214011" w:rsidRPr="00214011">
        <w:rPr>
          <w:rFonts w:ascii="Calibri" w:hAnsi="Calibri" w:cs="Calibri"/>
          <w:color w:val="201F1E"/>
          <w:sz w:val="22"/>
          <w:szCs w:val="22"/>
        </w:rPr>
        <w:t>prestação de contas em andamento;</w:t>
      </w:r>
    </w:p>
    <w:p w14:paraId="740A0635" w14:textId="6C21147D" w:rsidR="00FF00FD" w:rsidRPr="002E2B5B" w:rsidRDefault="00FF00FD" w:rsidP="00937ED9">
      <w:pPr>
        <w:pStyle w:val="PargrafodaLista"/>
        <w:widowControl w:val="0"/>
        <w:numPr>
          <w:ilvl w:val="0"/>
          <w:numId w:val="33"/>
        </w:numPr>
        <w:tabs>
          <w:tab w:val="left" w:pos="709"/>
        </w:tabs>
        <w:spacing w:after="120" w:line="276" w:lineRule="auto"/>
        <w:ind w:left="714" w:hanging="357"/>
        <w:jc w:val="both"/>
        <w:rPr>
          <w:rFonts w:ascii="Calibri" w:hAnsi="Calibri" w:cs="Calibri"/>
          <w:color w:val="201F1E"/>
          <w:sz w:val="22"/>
          <w:szCs w:val="22"/>
        </w:rPr>
      </w:pPr>
      <w:r w:rsidRPr="002E2B5B">
        <w:rPr>
          <w:rFonts w:ascii="Calibri" w:hAnsi="Calibri" w:cs="Calibri"/>
          <w:color w:val="201F1E"/>
          <w:sz w:val="22"/>
          <w:szCs w:val="22"/>
        </w:rPr>
        <w:t>Termo de Execução Descentralizada n°. 001/2020 celebrado entre a V</w:t>
      </w:r>
      <w:r w:rsidR="009705E6" w:rsidRPr="002E2B5B">
        <w:rPr>
          <w:rFonts w:ascii="Calibri" w:hAnsi="Calibri" w:cs="Calibri"/>
          <w:color w:val="201F1E"/>
          <w:sz w:val="22"/>
          <w:szCs w:val="22"/>
        </w:rPr>
        <w:t>ALEC</w:t>
      </w:r>
      <w:r w:rsidRPr="002E2B5B">
        <w:rPr>
          <w:rFonts w:ascii="Calibri" w:hAnsi="Calibri" w:cs="Calibri"/>
          <w:color w:val="201F1E"/>
          <w:sz w:val="22"/>
          <w:szCs w:val="22"/>
        </w:rPr>
        <w:t xml:space="preserve"> e o Exército Brasileiro, cujo objeto é a execução de obras remanescentes do </w:t>
      </w:r>
      <w:r w:rsidR="00D219D5" w:rsidRPr="002E2B5B">
        <w:rPr>
          <w:rFonts w:ascii="Calibri" w:hAnsi="Calibri" w:cs="Calibri"/>
          <w:color w:val="201F1E"/>
          <w:sz w:val="22"/>
          <w:szCs w:val="22"/>
        </w:rPr>
        <w:t>subtrecho</w:t>
      </w:r>
      <w:r w:rsidRPr="002E2B5B">
        <w:rPr>
          <w:rFonts w:ascii="Calibri" w:hAnsi="Calibri" w:cs="Calibri"/>
          <w:color w:val="201F1E"/>
          <w:sz w:val="22"/>
          <w:szCs w:val="22"/>
        </w:rPr>
        <w:t xml:space="preserve"> da Ferrovia de Integração Oeste Leste - FIOL, compreendido entre Ilhéus/BA a Barreiras/BA </w:t>
      </w:r>
      <w:r w:rsidR="00D219D5" w:rsidRPr="002E2B5B">
        <w:rPr>
          <w:rFonts w:ascii="Calibri" w:hAnsi="Calibri" w:cs="Calibri"/>
          <w:color w:val="201F1E"/>
          <w:sz w:val="22"/>
          <w:szCs w:val="22"/>
        </w:rPr>
        <w:t>subtrecho</w:t>
      </w:r>
      <w:r w:rsidRPr="002E2B5B">
        <w:rPr>
          <w:rFonts w:ascii="Calibri" w:hAnsi="Calibri" w:cs="Calibri"/>
          <w:color w:val="201F1E"/>
          <w:sz w:val="22"/>
          <w:szCs w:val="22"/>
        </w:rPr>
        <w:t xml:space="preserve"> Caetité/BA e Barreiras-BA, referente ao lote 06f - até o início da ponte sobre o rio São Francisco, numa extensão de 18,34km. Com vigência até 08 de setembro de 2023</w:t>
      </w:r>
      <w:r w:rsidR="00D219D5">
        <w:rPr>
          <w:rFonts w:ascii="Calibri" w:hAnsi="Calibri" w:cs="Calibri"/>
          <w:color w:val="201F1E"/>
          <w:sz w:val="22"/>
          <w:szCs w:val="22"/>
        </w:rPr>
        <w:t>. O valor relativo ao TED em questão será incorporado ao Ativo Imobilizado da VALEC por ocasião da prestação de contas</w:t>
      </w:r>
      <w:r w:rsidR="006912C4" w:rsidRPr="002E2B5B">
        <w:rPr>
          <w:rFonts w:ascii="Calibri" w:hAnsi="Calibri" w:cs="Calibri"/>
          <w:color w:val="201F1E"/>
          <w:sz w:val="22"/>
          <w:szCs w:val="22"/>
        </w:rPr>
        <w:t>;</w:t>
      </w:r>
    </w:p>
    <w:p w14:paraId="3F9D0C20" w14:textId="6AA3804C" w:rsidR="00FF00FD" w:rsidRPr="002E2B5B" w:rsidRDefault="00FF00FD" w:rsidP="00937ED9">
      <w:pPr>
        <w:pStyle w:val="PargrafodaLista"/>
        <w:widowControl w:val="0"/>
        <w:numPr>
          <w:ilvl w:val="0"/>
          <w:numId w:val="33"/>
        </w:numPr>
        <w:tabs>
          <w:tab w:val="left" w:pos="709"/>
        </w:tabs>
        <w:spacing w:after="120" w:line="276" w:lineRule="auto"/>
        <w:ind w:left="714" w:hanging="357"/>
        <w:jc w:val="both"/>
        <w:rPr>
          <w:rFonts w:ascii="Calibri" w:hAnsi="Calibri" w:cs="Calibri"/>
          <w:color w:val="201F1E"/>
          <w:sz w:val="22"/>
          <w:szCs w:val="22"/>
        </w:rPr>
      </w:pPr>
      <w:r w:rsidRPr="002E2B5B">
        <w:rPr>
          <w:rFonts w:ascii="Calibri" w:hAnsi="Calibri" w:cs="Calibri"/>
          <w:color w:val="201F1E"/>
          <w:sz w:val="22"/>
          <w:szCs w:val="22"/>
        </w:rPr>
        <w:t xml:space="preserve">Termo de Execução Descentralizada n°. 002/2020, celebrado entre a VALEC e a Universidade de Brasília, cujo objeto é a avaliação de metodologias desenvolvidas pela VALEC por meio das Notas técnicas Nº 57/2019 (Metodologia de Ensaio de Deformação Permanente do Lastro do Lote 5S da Ferrovia Norte Sul Extensão Sul) e Nº58/2019 (Metodologia de Ensaio de Deformação Permanente do Lastro do Lote 4S da Ferrovia Norte Sul Extensão Sul), bem como, estudar e compreender a vida útil de britas de lastros por meio de ensaios e por </w:t>
      </w:r>
      <w:r w:rsidRPr="002E2B5B">
        <w:rPr>
          <w:rFonts w:ascii="Calibri" w:hAnsi="Calibri" w:cs="Calibri"/>
          <w:color w:val="201F1E"/>
          <w:sz w:val="22"/>
          <w:szCs w:val="22"/>
        </w:rPr>
        <w:lastRenderedPageBreak/>
        <w:t xml:space="preserve">avaliações mediante métodos numéricos avançados. </w:t>
      </w:r>
      <w:r w:rsidR="007564FA">
        <w:rPr>
          <w:rFonts w:ascii="Calibri" w:hAnsi="Calibri" w:cs="Calibri"/>
          <w:color w:val="201F1E"/>
          <w:sz w:val="22"/>
          <w:szCs w:val="22"/>
        </w:rPr>
        <w:t xml:space="preserve">Teve </w:t>
      </w:r>
      <w:r w:rsidR="003B2ACE">
        <w:rPr>
          <w:rFonts w:ascii="Calibri" w:hAnsi="Calibri" w:cs="Calibri"/>
          <w:color w:val="201F1E"/>
          <w:sz w:val="22"/>
          <w:szCs w:val="22"/>
        </w:rPr>
        <w:t>sua</w:t>
      </w:r>
      <w:r w:rsidRPr="002E2B5B">
        <w:rPr>
          <w:rFonts w:ascii="Calibri" w:hAnsi="Calibri" w:cs="Calibri"/>
          <w:color w:val="201F1E"/>
          <w:sz w:val="22"/>
          <w:szCs w:val="22"/>
        </w:rPr>
        <w:t xml:space="preserve"> vigência </w:t>
      </w:r>
      <w:r w:rsidR="003B2ACE">
        <w:rPr>
          <w:rFonts w:ascii="Calibri" w:hAnsi="Calibri" w:cs="Calibri"/>
          <w:color w:val="201F1E"/>
          <w:sz w:val="22"/>
          <w:szCs w:val="22"/>
        </w:rPr>
        <w:t xml:space="preserve">prorrogada </w:t>
      </w:r>
      <w:r w:rsidRPr="002E2B5B">
        <w:rPr>
          <w:rFonts w:ascii="Calibri" w:hAnsi="Calibri" w:cs="Calibri"/>
          <w:color w:val="201F1E"/>
          <w:sz w:val="22"/>
          <w:szCs w:val="22"/>
        </w:rPr>
        <w:t xml:space="preserve">até </w:t>
      </w:r>
      <w:r w:rsidR="003B2ACE">
        <w:rPr>
          <w:rFonts w:ascii="Calibri" w:hAnsi="Calibri" w:cs="Calibri"/>
          <w:color w:val="201F1E"/>
          <w:sz w:val="22"/>
          <w:szCs w:val="22"/>
        </w:rPr>
        <w:t>19 de agosto de 2022</w:t>
      </w:r>
      <w:r w:rsidR="007564FA">
        <w:rPr>
          <w:rFonts w:ascii="Calibri" w:hAnsi="Calibri" w:cs="Calibri"/>
          <w:color w:val="201F1E"/>
          <w:sz w:val="22"/>
          <w:szCs w:val="22"/>
        </w:rPr>
        <w:t xml:space="preserve">, </w:t>
      </w:r>
      <w:r w:rsidR="007564FA" w:rsidRPr="00214011">
        <w:rPr>
          <w:rFonts w:ascii="Calibri" w:hAnsi="Calibri" w:cs="Calibri"/>
          <w:color w:val="201F1E"/>
          <w:sz w:val="22"/>
          <w:szCs w:val="22"/>
        </w:rPr>
        <w:t>e</w:t>
      </w:r>
      <w:r w:rsidR="007564FA">
        <w:rPr>
          <w:rFonts w:ascii="Calibri" w:hAnsi="Calibri" w:cs="Calibri"/>
          <w:color w:val="201F1E"/>
          <w:sz w:val="22"/>
          <w:szCs w:val="22"/>
        </w:rPr>
        <w:t xml:space="preserve"> encontra-se com a </w:t>
      </w:r>
      <w:r w:rsidR="007564FA" w:rsidRPr="00214011">
        <w:rPr>
          <w:rFonts w:ascii="Calibri" w:hAnsi="Calibri" w:cs="Calibri"/>
          <w:color w:val="201F1E"/>
          <w:sz w:val="22"/>
          <w:szCs w:val="22"/>
        </w:rPr>
        <w:t>prestação de contas em andamento;</w:t>
      </w:r>
    </w:p>
    <w:p w14:paraId="38AD2FD9" w14:textId="35A2437C" w:rsidR="007564FA" w:rsidRPr="007564FA" w:rsidRDefault="00FF00FD" w:rsidP="00937ED9">
      <w:pPr>
        <w:pStyle w:val="PargrafodaLista"/>
        <w:widowControl w:val="0"/>
        <w:numPr>
          <w:ilvl w:val="0"/>
          <w:numId w:val="33"/>
        </w:numPr>
        <w:tabs>
          <w:tab w:val="left" w:pos="709"/>
        </w:tabs>
        <w:spacing w:after="120" w:line="276" w:lineRule="auto"/>
        <w:ind w:left="714" w:hanging="357"/>
        <w:jc w:val="both"/>
        <w:rPr>
          <w:rFonts w:ascii="Calibri" w:hAnsi="Calibri" w:cs="Calibri"/>
          <w:color w:val="201F1E"/>
          <w:sz w:val="22"/>
          <w:szCs w:val="22"/>
        </w:rPr>
      </w:pPr>
      <w:r w:rsidRPr="002E2B5B">
        <w:rPr>
          <w:rFonts w:ascii="Calibri" w:hAnsi="Calibri" w:cs="Calibri"/>
          <w:color w:val="201F1E"/>
          <w:sz w:val="22"/>
          <w:szCs w:val="22"/>
        </w:rPr>
        <w:t xml:space="preserve">Termo de Execução Descentralizada n°. 003/2020, celebrado entre a VALEC e a Universidade de Brasília, cujo objeto é o desenvolvimento do modelo mental BIM de forma que os profissionais e pessoas fiquem preparadas para trabalharem de maneira integrada junto com tecnologias GIS, onde todos interagem ao mesmo tempo, conectados, com a possibilidade de falar com qualquer membro da equipe quando necessário, trocando informações e compartilhando de forma ostensiva informações, com o desenvolvimento de novas metodologias de integração de softwares. Com vigência até </w:t>
      </w:r>
      <w:r w:rsidR="003B2ACE">
        <w:rPr>
          <w:rFonts w:ascii="Calibri" w:hAnsi="Calibri" w:cs="Calibri"/>
          <w:color w:val="201F1E"/>
          <w:sz w:val="22"/>
          <w:szCs w:val="22"/>
        </w:rPr>
        <w:t>18 de dezembro</w:t>
      </w:r>
      <w:r w:rsidRPr="002E2B5B">
        <w:rPr>
          <w:rFonts w:ascii="Calibri" w:hAnsi="Calibri" w:cs="Calibri"/>
          <w:color w:val="201F1E"/>
          <w:sz w:val="22"/>
          <w:szCs w:val="22"/>
        </w:rPr>
        <w:t xml:space="preserve"> de 2022</w:t>
      </w:r>
      <w:r w:rsidR="00D87A20">
        <w:rPr>
          <w:rFonts w:ascii="Calibri" w:hAnsi="Calibri" w:cs="Calibri"/>
          <w:color w:val="201F1E"/>
          <w:sz w:val="22"/>
          <w:szCs w:val="22"/>
        </w:rPr>
        <w:t>; e</w:t>
      </w:r>
    </w:p>
    <w:p w14:paraId="4B11500E" w14:textId="4C1BE191" w:rsidR="00790DCE" w:rsidRDefault="00B1211B" w:rsidP="00937ED9">
      <w:pPr>
        <w:pStyle w:val="PargrafodaLista"/>
        <w:widowControl w:val="0"/>
        <w:numPr>
          <w:ilvl w:val="0"/>
          <w:numId w:val="33"/>
        </w:numPr>
        <w:tabs>
          <w:tab w:val="left" w:pos="709"/>
        </w:tabs>
        <w:spacing w:after="120" w:line="276" w:lineRule="auto"/>
        <w:ind w:left="714" w:hanging="357"/>
        <w:jc w:val="both"/>
        <w:rPr>
          <w:rFonts w:ascii="Calibri" w:hAnsi="Calibri" w:cs="Calibri"/>
          <w:color w:val="201F1E"/>
          <w:sz w:val="22"/>
          <w:szCs w:val="22"/>
        </w:rPr>
      </w:pPr>
      <w:r w:rsidRPr="00B1211B">
        <w:rPr>
          <w:rFonts w:ascii="Calibri" w:hAnsi="Calibri" w:cs="Calibri"/>
          <w:color w:val="201F1E"/>
          <w:sz w:val="22"/>
          <w:szCs w:val="22"/>
        </w:rPr>
        <w:t>Termo de Execução Descentralizada nº 001/2021</w:t>
      </w:r>
      <w:r>
        <w:rPr>
          <w:rFonts w:ascii="Calibri" w:hAnsi="Calibri" w:cs="Calibri"/>
          <w:color w:val="201F1E"/>
          <w:sz w:val="22"/>
          <w:szCs w:val="22"/>
        </w:rPr>
        <w:t>,</w:t>
      </w:r>
      <w:r w:rsidRPr="00B1211B">
        <w:rPr>
          <w:rFonts w:ascii="Calibri" w:hAnsi="Calibri" w:cs="Calibri"/>
          <w:color w:val="201F1E"/>
          <w:sz w:val="22"/>
          <w:szCs w:val="22"/>
        </w:rPr>
        <w:t xml:space="preserve"> celebrado entre a VALEC e o Ministério da Ciência, Tecnologia e Inovações, cujo objeto é a </w:t>
      </w:r>
      <w:r>
        <w:rPr>
          <w:rFonts w:ascii="Calibri" w:hAnsi="Calibri" w:cs="Calibri"/>
          <w:color w:val="201F1E"/>
          <w:sz w:val="22"/>
          <w:szCs w:val="22"/>
        </w:rPr>
        <w:t>e</w:t>
      </w:r>
      <w:r w:rsidRPr="00B1211B">
        <w:rPr>
          <w:rFonts w:ascii="Calibri" w:hAnsi="Calibri" w:cs="Calibri"/>
          <w:color w:val="201F1E"/>
          <w:sz w:val="22"/>
          <w:szCs w:val="22"/>
        </w:rPr>
        <w:t>xecução de produtos e serviços de comunicação corporativa, no que trata de produção de conteúdo jornalístico, audiovisual e fotográfico, atendimento às demandas de imprensa, monitoramento de veículos online e mídias sociais</w:t>
      </w:r>
      <w:r>
        <w:rPr>
          <w:rFonts w:ascii="Calibri" w:hAnsi="Calibri" w:cs="Calibri"/>
          <w:color w:val="201F1E"/>
          <w:sz w:val="22"/>
          <w:szCs w:val="22"/>
        </w:rPr>
        <w:t>.</w:t>
      </w:r>
      <w:r w:rsidRPr="00B1211B">
        <w:rPr>
          <w:rFonts w:ascii="Calibri" w:hAnsi="Calibri" w:cs="Calibri"/>
          <w:color w:val="201F1E"/>
          <w:sz w:val="22"/>
          <w:szCs w:val="22"/>
        </w:rPr>
        <w:t xml:space="preserve"> Com vigência até </w:t>
      </w:r>
      <w:r>
        <w:rPr>
          <w:rFonts w:ascii="Calibri" w:hAnsi="Calibri" w:cs="Calibri"/>
          <w:color w:val="201F1E"/>
          <w:sz w:val="22"/>
          <w:szCs w:val="22"/>
        </w:rPr>
        <w:t xml:space="preserve">24 de junho de </w:t>
      </w:r>
      <w:r w:rsidRPr="00B1211B">
        <w:rPr>
          <w:rFonts w:ascii="Calibri" w:hAnsi="Calibri" w:cs="Calibri"/>
          <w:color w:val="201F1E"/>
          <w:sz w:val="22"/>
          <w:szCs w:val="22"/>
        </w:rPr>
        <w:t>2022</w:t>
      </w:r>
      <w:r>
        <w:rPr>
          <w:rFonts w:ascii="Calibri" w:hAnsi="Calibri" w:cs="Calibri"/>
          <w:color w:val="201F1E"/>
          <w:sz w:val="22"/>
          <w:szCs w:val="22"/>
        </w:rPr>
        <w:t>.</w:t>
      </w:r>
    </w:p>
    <w:p w14:paraId="3D965338" w14:textId="7F4EAE99" w:rsidR="00F30406" w:rsidRPr="002E2B5B" w:rsidRDefault="002339ED" w:rsidP="00937ED9">
      <w:pPr>
        <w:spacing w:after="120"/>
        <w:jc w:val="both"/>
        <w:rPr>
          <w:rFonts w:ascii="Calibri" w:hAnsi="Calibri" w:cs="Calibri"/>
          <w:b/>
          <w:sz w:val="22"/>
          <w:szCs w:val="22"/>
        </w:rPr>
      </w:pPr>
      <w:r w:rsidRPr="002E2B5B">
        <w:rPr>
          <w:rFonts w:ascii="Calibri" w:hAnsi="Calibri" w:cs="Calibri"/>
          <w:b/>
          <w:sz w:val="22"/>
          <w:szCs w:val="22"/>
        </w:rPr>
        <w:t>c</w:t>
      </w:r>
      <w:r w:rsidR="0002316D" w:rsidRPr="002E2B5B">
        <w:rPr>
          <w:rFonts w:ascii="Calibri" w:hAnsi="Calibri" w:cs="Calibri"/>
          <w:b/>
          <w:sz w:val="22"/>
          <w:szCs w:val="22"/>
        </w:rPr>
        <w:t>.2</w:t>
      </w:r>
      <w:r w:rsidR="005D27D4" w:rsidRPr="002E2B5B">
        <w:rPr>
          <w:rFonts w:ascii="Calibri" w:hAnsi="Calibri" w:cs="Calibri"/>
          <w:b/>
          <w:sz w:val="22"/>
          <w:szCs w:val="22"/>
        </w:rPr>
        <w:t>)</w:t>
      </w:r>
      <w:r w:rsidR="005D27D4" w:rsidRPr="002E2B5B">
        <w:rPr>
          <w:rFonts w:ascii="Calibri" w:hAnsi="Calibri" w:cs="Calibri"/>
          <w:sz w:val="22"/>
          <w:szCs w:val="22"/>
        </w:rPr>
        <w:t xml:space="preserve"> </w:t>
      </w:r>
      <w:r w:rsidR="005D27D4" w:rsidRPr="002E2B5B">
        <w:rPr>
          <w:rFonts w:ascii="Calibri" w:hAnsi="Calibri" w:cs="Calibri"/>
          <w:b/>
          <w:sz w:val="22"/>
          <w:szCs w:val="22"/>
        </w:rPr>
        <w:t xml:space="preserve">Créditos </w:t>
      </w:r>
      <w:r w:rsidR="0002316D" w:rsidRPr="002E2B5B">
        <w:rPr>
          <w:rFonts w:ascii="Calibri" w:hAnsi="Calibri" w:cs="Calibri"/>
          <w:b/>
          <w:sz w:val="22"/>
          <w:szCs w:val="22"/>
        </w:rPr>
        <w:t>a Receber</w:t>
      </w:r>
    </w:p>
    <w:p w14:paraId="5EAC0D9C" w14:textId="1B23F89E" w:rsidR="00B02177" w:rsidRDefault="00F30406" w:rsidP="00B02177">
      <w:pPr>
        <w:spacing w:after="120"/>
        <w:jc w:val="both"/>
        <w:rPr>
          <w:rFonts w:ascii="Calibri" w:hAnsi="Calibri" w:cs="Calibri"/>
          <w:sz w:val="22"/>
          <w:szCs w:val="22"/>
        </w:rPr>
      </w:pPr>
      <w:bookmarkStart w:id="1" w:name="_Hlk34327011"/>
      <w:r w:rsidRPr="002E2B5B">
        <w:rPr>
          <w:rFonts w:ascii="Calibri" w:hAnsi="Calibri" w:cs="Calibri"/>
          <w:sz w:val="22"/>
          <w:szCs w:val="22"/>
        </w:rPr>
        <w:t>Os créditos a receber referem-se à</w:t>
      </w:r>
      <w:r w:rsidR="00DD5B67" w:rsidRPr="002E2B5B">
        <w:rPr>
          <w:rFonts w:ascii="Calibri" w:hAnsi="Calibri" w:cs="Calibri"/>
          <w:sz w:val="22"/>
          <w:szCs w:val="22"/>
        </w:rPr>
        <w:t>s multas compensatórias previstas em contratos, as quais a V</w:t>
      </w:r>
      <w:r w:rsidR="00920ED9" w:rsidRPr="002E2B5B">
        <w:rPr>
          <w:rFonts w:ascii="Calibri" w:hAnsi="Calibri" w:cs="Calibri"/>
          <w:sz w:val="22"/>
          <w:szCs w:val="22"/>
        </w:rPr>
        <w:t>ALEC</w:t>
      </w:r>
      <w:r w:rsidR="00DD5B67" w:rsidRPr="002E2B5B">
        <w:rPr>
          <w:rFonts w:ascii="Calibri" w:hAnsi="Calibri" w:cs="Calibri"/>
          <w:sz w:val="22"/>
          <w:szCs w:val="22"/>
        </w:rPr>
        <w:t xml:space="preserve"> aplicou a contratos de fornecedores e que estão sendo cobradas por meio </w:t>
      </w:r>
      <w:r w:rsidRPr="002E2B5B">
        <w:rPr>
          <w:rFonts w:ascii="Calibri" w:hAnsi="Calibri" w:cs="Calibri"/>
          <w:sz w:val="22"/>
          <w:szCs w:val="22"/>
        </w:rPr>
        <w:t>de processos administrativos,</w:t>
      </w:r>
      <w:r w:rsidR="00475112" w:rsidRPr="002E2B5B">
        <w:rPr>
          <w:rFonts w:ascii="Calibri" w:hAnsi="Calibri" w:cs="Calibri"/>
          <w:sz w:val="22"/>
          <w:szCs w:val="22"/>
        </w:rPr>
        <w:t xml:space="preserve"> em decisões </w:t>
      </w:r>
      <w:r w:rsidR="001743C1" w:rsidRPr="002E2B5B">
        <w:rPr>
          <w:rFonts w:ascii="Calibri" w:hAnsi="Calibri" w:cs="Calibri"/>
          <w:sz w:val="22"/>
          <w:szCs w:val="22"/>
        </w:rPr>
        <w:t>originárias</w:t>
      </w:r>
      <w:r w:rsidR="00475112" w:rsidRPr="002E2B5B">
        <w:rPr>
          <w:rFonts w:ascii="Calibri" w:hAnsi="Calibri" w:cs="Calibri"/>
          <w:sz w:val="22"/>
          <w:szCs w:val="22"/>
        </w:rPr>
        <w:t xml:space="preserve"> das Diretoria</w:t>
      </w:r>
      <w:bookmarkEnd w:id="1"/>
      <w:r w:rsidR="00024A86" w:rsidRPr="002E2B5B">
        <w:rPr>
          <w:rFonts w:ascii="Calibri" w:hAnsi="Calibri" w:cs="Calibri"/>
          <w:sz w:val="22"/>
          <w:szCs w:val="22"/>
        </w:rPr>
        <w:t>.</w:t>
      </w:r>
    </w:p>
    <w:tbl>
      <w:tblPr>
        <w:tblW w:w="5000" w:type="pct"/>
        <w:tblCellMar>
          <w:left w:w="70" w:type="dxa"/>
          <w:right w:w="70" w:type="dxa"/>
        </w:tblCellMar>
        <w:tblLook w:val="04A0" w:firstRow="1" w:lastRow="0" w:firstColumn="1" w:lastColumn="0" w:noHBand="0" w:noVBand="1"/>
      </w:tblPr>
      <w:tblGrid>
        <w:gridCol w:w="4153"/>
        <w:gridCol w:w="950"/>
        <w:gridCol w:w="2062"/>
        <w:gridCol w:w="2181"/>
        <w:gridCol w:w="974"/>
        <w:gridCol w:w="147"/>
      </w:tblGrid>
      <w:tr w:rsidR="00B02177" w14:paraId="7A5556B4" w14:textId="77777777" w:rsidTr="00A955D3">
        <w:trPr>
          <w:gridAfter w:val="1"/>
          <w:wAfter w:w="70" w:type="pct"/>
          <w:trHeight w:val="690"/>
        </w:trPr>
        <w:tc>
          <w:tcPr>
            <w:tcW w:w="1984" w:type="pct"/>
            <w:vMerge w:val="restart"/>
            <w:tcBorders>
              <w:top w:val="nil"/>
              <w:left w:val="nil"/>
              <w:bottom w:val="single" w:sz="8" w:space="0" w:color="000000"/>
              <w:right w:val="nil"/>
            </w:tcBorders>
            <w:shd w:val="clear" w:color="auto" w:fill="auto"/>
            <w:noWrap/>
            <w:vAlign w:val="center"/>
            <w:hideMark/>
          </w:tcPr>
          <w:p w14:paraId="5082C5AC" w14:textId="77777777" w:rsidR="00B02177" w:rsidRDefault="00B02177">
            <w:pPr>
              <w:rPr>
                <w:rFonts w:ascii="Calibri" w:hAnsi="Calibri" w:cs="Calibri"/>
                <w:b/>
                <w:bCs/>
                <w:color w:val="000000"/>
                <w:sz w:val="16"/>
                <w:szCs w:val="16"/>
              </w:rPr>
            </w:pPr>
            <w:r>
              <w:rPr>
                <w:rFonts w:ascii="Calibri" w:hAnsi="Calibri" w:cs="Calibri"/>
                <w:b/>
                <w:bCs/>
                <w:color w:val="000000"/>
                <w:sz w:val="16"/>
                <w:szCs w:val="16"/>
              </w:rPr>
              <w:t>OUTROS CRÉDITOS A RECEBER</w:t>
            </w:r>
          </w:p>
        </w:tc>
        <w:tc>
          <w:tcPr>
            <w:tcW w:w="454" w:type="pct"/>
            <w:vMerge w:val="restart"/>
            <w:tcBorders>
              <w:top w:val="nil"/>
              <w:left w:val="nil"/>
              <w:bottom w:val="single" w:sz="8" w:space="0" w:color="000000"/>
              <w:right w:val="nil"/>
            </w:tcBorders>
            <w:shd w:val="clear" w:color="auto" w:fill="auto"/>
            <w:noWrap/>
            <w:vAlign w:val="center"/>
            <w:hideMark/>
          </w:tcPr>
          <w:p w14:paraId="43E6391E" w14:textId="77777777" w:rsidR="00B02177" w:rsidRDefault="00B02177">
            <w:pPr>
              <w:jc w:val="center"/>
              <w:rPr>
                <w:rFonts w:ascii="Calibri" w:hAnsi="Calibri" w:cs="Calibri"/>
                <w:b/>
                <w:bCs/>
                <w:color w:val="000000"/>
                <w:sz w:val="16"/>
                <w:szCs w:val="16"/>
              </w:rPr>
            </w:pPr>
            <w:r>
              <w:rPr>
                <w:rFonts w:ascii="Calibri" w:hAnsi="Calibri" w:cs="Calibri"/>
                <w:b/>
                <w:bCs/>
                <w:color w:val="000000"/>
                <w:sz w:val="16"/>
                <w:szCs w:val="16"/>
              </w:rPr>
              <w:t>CONTRATO</w:t>
            </w:r>
          </w:p>
        </w:tc>
        <w:tc>
          <w:tcPr>
            <w:tcW w:w="985" w:type="pct"/>
            <w:vMerge w:val="restart"/>
            <w:tcBorders>
              <w:top w:val="nil"/>
              <w:left w:val="nil"/>
              <w:bottom w:val="single" w:sz="8" w:space="0" w:color="000000"/>
              <w:right w:val="nil"/>
            </w:tcBorders>
            <w:shd w:val="clear" w:color="auto" w:fill="auto"/>
            <w:vAlign w:val="center"/>
            <w:hideMark/>
          </w:tcPr>
          <w:p w14:paraId="722A015F" w14:textId="77777777" w:rsidR="00B02177" w:rsidRDefault="00B02177" w:rsidP="00B02177">
            <w:pPr>
              <w:jc w:val="center"/>
              <w:rPr>
                <w:rFonts w:ascii="Calibri" w:hAnsi="Calibri" w:cs="Calibri"/>
                <w:b/>
                <w:bCs/>
                <w:color w:val="000000"/>
                <w:sz w:val="16"/>
                <w:szCs w:val="16"/>
              </w:rPr>
            </w:pPr>
            <w:r>
              <w:rPr>
                <w:rFonts w:ascii="Calibri" w:hAnsi="Calibri" w:cs="Calibri"/>
                <w:b/>
                <w:bCs/>
                <w:color w:val="000000"/>
                <w:sz w:val="16"/>
                <w:szCs w:val="16"/>
              </w:rPr>
              <w:t>PROCESSO ADMINISTRATIVO</w:t>
            </w:r>
          </w:p>
        </w:tc>
        <w:tc>
          <w:tcPr>
            <w:tcW w:w="1042" w:type="pct"/>
            <w:vMerge w:val="restart"/>
            <w:tcBorders>
              <w:top w:val="nil"/>
              <w:left w:val="nil"/>
              <w:bottom w:val="single" w:sz="8" w:space="0" w:color="000000"/>
              <w:right w:val="nil"/>
            </w:tcBorders>
            <w:shd w:val="clear" w:color="auto" w:fill="auto"/>
            <w:vAlign w:val="center"/>
            <w:hideMark/>
          </w:tcPr>
          <w:p w14:paraId="508392AC" w14:textId="6F2C0FF3" w:rsidR="00B02177" w:rsidRDefault="00B02177">
            <w:pPr>
              <w:jc w:val="center"/>
              <w:rPr>
                <w:rFonts w:ascii="Calibri" w:hAnsi="Calibri" w:cs="Calibri"/>
                <w:b/>
                <w:bCs/>
                <w:color w:val="000000"/>
                <w:sz w:val="16"/>
                <w:szCs w:val="16"/>
              </w:rPr>
            </w:pPr>
            <w:r>
              <w:rPr>
                <w:rFonts w:ascii="Calibri" w:hAnsi="Calibri" w:cs="Calibri"/>
                <w:b/>
                <w:bCs/>
                <w:color w:val="000000"/>
                <w:sz w:val="16"/>
                <w:szCs w:val="16"/>
              </w:rPr>
              <w:t>PROCESSO JUDICIAL</w:t>
            </w:r>
          </w:p>
        </w:tc>
        <w:tc>
          <w:tcPr>
            <w:tcW w:w="465" w:type="pct"/>
            <w:vMerge w:val="restart"/>
            <w:tcBorders>
              <w:top w:val="nil"/>
              <w:left w:val="nil"/>
              <w:bottom w:val="single" w:sz="8" w:space="0" w:color="000000"/>
              <w:right w:val="nil"/>
            </w:tcBorders>
            <w:shd w:val="clear" w:color="auto" w:fill="auto"/>
            <w:noWrap/>
            <w:vAlign w:val="center"/>
            <w:hideMark/>
          </w:tcPr>
          <w:p w14:paraId="629E9F62" w14:textId="77777777" w:rsidR="00B02177" w:rsidRDefault="00B02177">
            <w:pPr>
              <w:jc w:val="center"/>
              <w:rPr>
                <w:rFonts w:ascii="Calibri" w:hAnsi="Calibri" w:cs="Calibri"/>
                <w:b/>
                <w:bCs/>
                <w:color w:val="000000"/>
                <w:sz w:val="16"/>
                <w:szCs w:val="16"/>
              </w:rPr>
            </w:pPr>
            <w:r>
              <w:rPr>
                <w:rFonts w:ascii="Calibri" w:hAnsi="Calibri" w:cs="Calibri"/>
                <w:b/>
                <w:bCs/>
                <w:color w:val="000000"/>
                <w:sz w:val="16"/>
                <w:szCs w:val="16"/>
              </w:rPr>
              <w:t>VALOR</w:t>
            </w:r>
          </w:p>
        </w:tc>
      </w:tr>
      <w:tr w:rsidR="00B02177" w14:paraId="691688EF" w14:textId="77777777" w:rsidTr="00A955D3">
        <w:trPr>
          <w:trHeight w:val="44"/>
        </w:trPr>
        <w:tc>
          <w:tcPr>
            <w:tcW w:w="1984" w:type="pct"/>
            <w:vMerge/>
            <w:tcBorders>
              <w:top w:val="nil"/>
              <w:left w:val="nil"/>
              <w:bottom w:val="single" w:sz="8" w:space="0" w:color="000000"/>
              <w:right w:val="nil"/>
            </w:tcBorders>
            <w:vAlign w:val="center"/>
            <w:hideMark/>
          </w:tcPr>
          <w:p w14:paraId="36EC2B02" w14:textId="77777777" w:rsidR="00B02177" w:rsidRDefault="00B02177">
            <w:pPr>
              <w:rPr>
                <w:rFonts w:ascii="Calibri" w:hAnsi="Calibri" w:cs="Calibri"/>
                <w:b/>
                <w:bCs/>
                <w:color w:val="000000"/>
                <w:sz w:val="16"/>
                <w:szCs w:val="16"/>
              </w:rPr>
            </w:pPr>
          </w:p>
        </w:tc>
        <w:tc>
          <w:tcPr>
            <w:tcW w:w="454" w:type="pct"/>
            <w:vMerge/>
            <w:tcBorders>
              <w:top w:val="nil"/>
              <w:left w:val="nil"/>
              <w:bottom w:val="single" w:sz="8" w:space="0" w:color="000000"/>
              <w:right w:val="nil"/>
            </w:tcBorders>
            <w:vAlign w:val="center"/>
            <w:hideMark/>
          </w:tcPr>
          <w:p w14:paraId="1D3AA9B2" w14:textId="77777777" w:rsidR="00B02177" w:rsidRDefault="00B02177">
            <w:pPr>
              <w:rPr>
                <w:rFonts w:ascii="Calibri" w:hAnsi="Calibri" w:cs="Calibri"/>
                <w:b/>
                <w:bCs/>
                <w:color w:val="000000"/>
                <w:sz w:val="16"/>
                <w:szCs w:val="16"/>
              </w:rPr>
            </w:pPr>
          </w:p>
        </w:tc>
        <w:tc>
          <w:tcPr>
            <w:tcW w:w="985" w:type="pct"/>
            <w:vMerge/>
            <w:tcBorders>
              <w:top w:val="nil"/>
              <w:left w:val="nil"/>
              <w:bottom w:val="single" w:sz="8" w:space="0" w:color="000000"/>
              <w:right w:val="nil"/>
            </w:tcBorders>
            <w:vAlign w:val="center"/>
            <w:hideMark/>
          </w:tcPr>
          <w:p w14:paraId="6E8CCD74" w14:textId="77777777" w:rsidR="00B02177" w:rsidRDefault="00B02177">
            <w:pPr>
              <w:rPr>
                <w:rFonts w:ascii="Calibri" w:hAnsi="Calibri" w:cs="Calibri"/>
                <w:b/>
                <w:bCs/>
                <w:color w:val="000000"/>
                <w:sz w:val="16"/>
                <w:szCs w:val="16"/>
              </w:rPr>
            </w:pPr>
          </w:p>
        </w:tc>
        <w:tc>
          <w:tcPr>
            <w:tcW w:w="1042" w:type="pct"/>
            <w:vMerge/>
            <w:tcBorders>
              <w:top w:val="nil"/>
              <w:left w:val="nil"/>
              <w:bottom w:val="single" w:sz="8" w:space="0" w:color="000000"/>
              <w:right w:val="nil"/>
            </w:tcBorders>
            <w:vAlign w:val="center"/>
            <w:hideMark/>
          </w:tcPr>
          <w:p w14:paraId="2AB2D965" w14:textId="77777777" w:rsidR="00B02177" w:rsidRDefault="00B02177">
            <w:pPr>
              <w:rPr>
                <w:rFonts w:ascii="Calibri" w:hAnsi="Calibri" w:cs="Calibri"/>
                <w:b/>
                <w:bCs/>
                <w:color w:val="000000"/>
                <w:sz w:val="16"/>
                <w:szCs w:val="16"/>
              </w:rPr>
            </w:pPr>
          </w:p>
        </w:tc>
        <w:tc>
          <w:tcPr>
            <w:tcW w:w="465" w:type="pct"/>
            <w:vMerge/>
            <w:tcBorders>
              <w:top w:val="nil"/>
              <w:left w:val="nil"/>
              <w:bottom w:val="single" w:sz="8" w:space="0" w:color="000000"/>
              <w:right w:val="nil"/>
            </w:tcBorders>
            <w:vAlign w:val="center"/>
            <w:hideMark/>
          </w:tcPr>
          <w:p w14:paraId="2A4AD414" w14:textId="77777777" w:rsidR="00B02177" w:rsidRDefault="00B02177">
            <w:pPr>
              <w:rPr>
                <w:rFonts w:ascii="Calibri" w:hAnsi="Calibri" w:cs="Calibri"/>
                <w:b/>
                <w:bCs/>
                <w:color w:val="000000"/>
                <w:sz w:val="16"/>
                <w:szCs w:val="16"/>
              </w:rPr>
            </w:pPr>
          </w:p>
        </w:tc>
        <w:tc>
          <w:tcPr>
            <w:tcW w:w="70" w:type="pct"/>
            <w:tcBorders>
              <w:top w:val="nil"/>
              <w:left w:val="nil"/>
              <w:bottom w:val="nil"/>
              <w:right w:val="nil"/>
            </w:tcBorders>
            <w:shd w:val="clear" w:color="auto" w:fill="auto"/>
            <w:noWrap/>
            <w:vAlign w:val="bottom"/>
            <w:hideMark/>
          </w:tcPr>
          <w:p w14:paraId="13B6DBAF" w14:textId="77777777" w:rsidR="00B02177" w:rsidRDefault="00B02177">
            <w:pPr>
              <w:jc w:val="center"/>
              <w:rPr>
                <w:rFonts w:ascii="Calibri" w:hAnsi="Calibri" w:cs="Calibri"/>
                <w:b/>
                <w:bCs/>
                <w:color w:val="000000"/>
                <w:sz w:val="16"/>
                <w:szCs w:val="16"/>
              </w:rPr>
            </w:pPr>
          </w:p>
        </w:tc>
      </w:tr>
      <w:tr w:rsidR="00B02177" w14:paraId="73188C51" w14:textId="77777777" w:rsidTr="00A955D3">
        <w:trPr>
          <w:trHeight w:hRule="exact" w:val="300"/>
        </w:trPr>
        <w:tc>
          <w:tcPr>
            <w:tcW w:w="1984" w:type="pct"/>
            <w:tcBorders>
              <w:top w:val="nil"/>
              <w:left w:val="nil"/>
              <w:bottom w:val="nil"/>
              <w:right w:val="nil"/>
            </w:tcBorders>
            <w:shd w:val="clear" w:color="auto" w:fill="auto"/>
            <w:noWrap/>
            <w:vAlign w:val="center"/>
            <w:hideMark/>
          </w:tcPr>
          <w:p w14:paraId="20903A27" w14:textId="77777777" w:rsidR="00B02177" w:rsidRDefault="00B02177">
            <w:pPr>
              <w:rPr>
                <w:rFonts w:ascii="Calibri" w:hAnsi="Calibri" w:cs="Calibri"/>
                <w:b/>
                <w:bCs/>
                <w:color w:val="000000"/>
                <w:sz w:val="16"/>
                <w:szCs w:val="16"/>
              </w:rPr>
            </w:pPr>
            <w:r>
              <w:rPr>
                <w:rFonts w:ascii="Calibri" w:hAnsi="Calibri" w:cs="Calibri"/>
                <w:b/>
                <w:bCs/>
                <w:color w:val="000000"/>
                <w:sz w:val="16"/>
                <w:szCs w:val="16"/>
              </w:rPr>
              <w:t xml:space="preserve">Multas Compensatórias </w:t>
            </w:r>
          </w:p>
        </w:tc>
        <w:tc>
          <w:tcPr>
            <w:tcW w:w="454" w:type="pct"/>
            <w:tcBorders>
              <w:top w:val="nil"/>
              <w:left w:val="nil"/>
              <w:bottom w:val="nil"/>
              <w:right w:val="nil"/>
            </w:tcBorders>
            <w:shd w:val="clear" w:color="auto" w:fill="auto"/>
            <w:noWrap/>
            <w:vAlign w:val="center"/>
            <w:hideMark/>
          </w:tcPr>
          <w:p w14:paraId="5813B146" w14:textId="77777777" w:rsidR="00B02177" w:rsidRDefault="00B02177">
            <w:pPr>
              <w:rPr>
                <w:rFonts w:ascii="Calibri" w:hAnsi="Calibri" w:cs="Calibri"/>
                <w:b/>
                <w:bCs/>
                <w:color w:val="000000"/>
                <w:sz w:val="16"/>
                <w:szCs w:val="16"/>
              </w:rPr>
            </w:pPr>
          </w:p>
        </w:tc>
        <w:tc>
          <w:tcPr>
            <w:tcW w:w="985" w:type="pct"/>
            <w:tcBorders>
              <w:top w:val="single" w:sz="8" w:space="0" w:color="auto"/>
              <w:left w:val="nil"/>
              <w:bottom w:val="nil"/>
              <w:right w:val="nil"/>
            </w:tcBorders>
            <w:shd w:val="clear" w:color="auto" w:fill="auto"/>
            <w:vAlign w:val="center"/>
            <w:hideMark/>
          </w:tcPr>
          <w:p w14:paraId="0684B2BC" w14:textId="77777777" w:rsidR="00B02177" w:rsidRDefault="00B02177">
            <w:pPr>
              <w:rPr>
                <w:rFonts w:ascii="Calibri" w:hAnsi="Calibri" w:cs="Calibri"/>
                <w:color w:val="000000"/>
                <w:sz w:val="16"/>
                <w:szCs w:val="16"/>
              </w:rPr>
            </w:pPr>
            <w:r>
              <w:rPr>
                <w:rFonts w:ascii="Calibri" w:hAnsi="Calibri" w:cs="Calibri"/>
                <w:color w:val="000000"/>
                <w:sz w:val="16"/>
                <w:szCs w:val="16"/>
              </w:rPr>
              <w:t> </w:t>
            </w:r>
          </w:p>
        </w:tc>
        <w:tc>
          <w:tcPr>
            <w:tcW w:w="1042" w:type="pct"/>
            <w:tcBorders>
              <w:top w:val="nil"/>
              <w:left w:val="nil"/>
              <w:bottom w:val="nil"/>
              <w:right w:val="nil"/>
            </w:tcBorders>
            <w:shd w:val="clear" w:color="auto" w:fill="auto"/>
            <w:vAlign w:val="center"/>
            <w:hideMark/>
          </w:tcPr>
          <w:p w14:paraId="2BC983C8" w14:textId="77777777" w:rsidR="00B02177" w:rsidRDefault="00B02177">
            <w:pPr>
              <w:rPr>
                <w:rFonts w:ascii="Calibri" w:hAnsi="Calibri" w:cs="Calibri"/>
                <w:color w:val="000000"/>
                <w:sz w:val="16"/>
                <w:szCs w:val="16"/>
              </w:rPr>
            </w:pPr>
          </w:p>
        </w:tc>
        <w:tc>
          <w:tcPr>
            <w:tcW w:w="465" w:type="pct"/>
            <w:tcBorders>
              <w:top w:val="nil"/>
              <w:left w:val="nil"/>
              <w:bottom w:val="nil"/>
              <w:right w:val="nil"/>
            </w:tcBorders>
            <w:shd w:val="clear" w:color="auto" w:fill="auto"/>
            <w:noWrap/>
            <w:vAlign w:val="center"/>
            <w:hideMark/>
          </w:tcPr>
          <w:p w14:paraId="6CD14CF2" w14:textId="77777777" w:rsidR="00B02177" w:rsidRDefault="00B02177">
            <w:pPr>
              <w:jc w:val="right"/>
              <w:rPr>
                <w:sz w:val="20"/>
                <w:szCs w:val="20"/>
              </w:rPr>
            </w:pPr>
          </w:p>
        </w:tc>
        <w:tc>
          <w:tcPr>
            <w:tcW w:w="70" w:type="pct"/>
            <w:vAlign w:val="center"/>
            <w:hideMark/>
          </w:tcPr>
          <w:p w14:paraId="3481D015" w14:textId="77777777" w:rsidR="00B02177" w:rsidRDefault="00B02177">
            <w:pPr>
              <w:rPr>
                <w:sz w:val="20"/>
                <w:szCs w:val="20"/>
              </w:rPr>
            </w:pPr>
          </w:p>
        </w:tc>
      </w:tr>
      <w:tr w:rsidR="00B02177" w14:paraId="02A79B7C" w14:textId="77777777" w:rsidTr="00A955D3">
        <w:trPr>
          <w:trHeight w:val="300"/>
        </w:trPr>
        <w:tc>
          <w:tcPr>
            <w:tcW w:w="1984" w:type="pct"/>
            <w:tcBorders>
              <w:top w:val="nil"/>
              <w:left w:val="nil"/>
              <w:bottom w:val="nil"/>
              <w:right w:val="nil"/>
            </w:tcBorders>
            <w:shd w:val="clear" w:color="auto" w:fill="auto"/>
            <w:noWrap/>
            <w:vAlign w:val="center"/>
            <w:hideMark/>
          </w:tcPr>
          <w:p w14:paraId="0FCC05B3" w14:textId="77777777" w:rsidR="00B02177" w:rsidRDefault="00B02177">
            <w:pPr>
              <w:rPr>
                <w:rFonts w:ascii="Calibri" w:hAnsi="Calibri" w:cs="Calibri"/>
                <w:color w:val="000000"/>
                <w:sz w:val="16"/>
                <w:szCs w:val="16"/>
              </w:rPr>
            </w:pPr>
            <w:r>
              <w:rPr>
                <w:rFonts w:ascii="Calibri" w:hAnsi="Calibri" w:cs="Calibri"/>
                <w:color w:val="000000"/>
                <w:sz w:val="16"/>
                <w:szCs w:val="16"/>
              </w:rPr>
              <w:t>A C CORREA CIA LTDA</w:t>
            </w:r>
          </w:p>
        </w:tc>
        <w:tc>
          <w:tcPr>
            <w:tcW w:w="454" w:type="pct"/>
            <w:tcBorders>
              <w:top w:val="nil"/>
              <w:left w:val="nil"/>
              <w:bottom w:val="nil"/>
              <w:right w:val="nil"/>
            </w:tcBorders>
            <w:shd w:val="clear" w:color="auto" w:fill="auto"/>
            <w:noWrap/>
            <w:vAlign w:val="center"/>
            <w:hideMark/>
          </w:tcPr>
          <w:p w14:paraId="21036AB0" w14:textId="77777777" w:rsidR="00B02177" w:rsidRDefault="00B02177">
            <w:pPr>
              <w:jc w:val="right"/>
              <w:rPr>
                <w:rFonts w:ascii="Calibri" w:hAnsi="Calibri" w:cs="Calibri"/>
                <w:color w:val="000000"/>
                <w:sz w:val="16"/>
                <w:szCs w:val="16"/>
              </w:rPr>
            </w:pPr>
            <w:r>
              <w:rPr>
                <w:rFonts w:ascii="Calibri" w:hAnsi="Calibri" w:cs="Calibri"/>
                <w:color w:val="000000"/>
                <w:sz w:val="16"/>
                <w:szCs w:val="16"/>
              </w:rPr>
              <w:t>004/2017</w:t>
            </w:r>
          </w:p>
        </w:tc>
        <w:tc>
          <w:tcPr>
            <w:tcW w:w="985" w:type="pct"/>
            <w:tcBorders>
              <w:top w:val="nil"/>
              <w:left w:val="nil"/>
              <w:bottom w:val="nil"/>
              <w:right w:val="nil"/>
            </w:tcBorders>
            <w:shd w:val="clear" w:color="auto" w:fill="auto"/>
            <w:vAlign w:val="center"/>
            <w:hideMark/>
          </w:tcPr>
          <w:p w14:paraId="1B20A06E" w14:textId="77777777" w:rsidR="00B02177" w:rsidRDefault="00B02177">
            <w:pPr>
              <w:jc w:val="right"/>
              <w:rPr>
                <w:rFonts w:ascii="Calibri" w:hAnsi="Calibri" w:cs="Calibri"/>
                <w:color w:val="000000"/>
                <w:sz w:val="16"/>
                <w:szCs w:val="16"/>
              </w:rPr>
            </w:pPr>
            <w:r>
              <w:rPr>
                <w:rFonts w:ascii="Calibri" w:hAnsi="Calibri" w:cs="Calibri"/>
                <w:color w:val="000000"/>
                <w:sz w:val="16"/>
                <w:szCs w:val="16"/>
              </w:rPr>
              <w:t xml:space="preserve">   51402.190111/2017-63</w:t>
            </w:r>
          </w:p>
        </w:tc>
        <w:tc>
          <w:tcPr>
            <w:tcW w:w="1042" w:type="pct"/>
            <w:tcBorders>
              <w:top w:val="nil"/>
              <w:left w:val="nil"/>
              <w:bottom w:val="nil"/>
              <w:right w:val="nil"/>
            </w:tcBorders>
            <w:shd w:val="clear" w:color="auto" w:fill="auto"/>
            <w:vAlign w:val="center"/>
            <w:hideMark/>
          </w:tcPr>
          <w:p w14:paraId="4DB7622B" w14:textId="77777777" w:rsidR="00B02177" w:rsidRDefault="00B02177">
            <w:pPr>
              <w:jc w:val="right"/>
              <w:rPr>
                <w:rFonts w:ascii="Calibri" w:hAnsi="Calibri" w:cs="Calibri"/>
                <w:color w:val="000000"/>
                <w:sz w:val="16"/>
                <w:szCs w:val="16"/>
              </w:rPr>
            </w:pPr>
          </w:p>
        </w:tc>
        <w:tc>
          <w:tcPr>
            <w:tcW w:w="465" w:type="pct"/>
            <w:tcBorders>
              <w:top w:val="nil"/>
              <w:left w:val="nil"/>
              <w:bottom w:val="nil"/>
              <w:right w:val="nil"/>
            </w:tcBorders>
            <w:shd w:val="clear" w:color="auto" w:fill="auto"/>
            <w:noWrap/>
            <w:vAlign w:val="center"/>
            <w:hideMark/>
          </w:tcPr>
          <w:p w14:paraId="0F3DED08" w14:textId="77777777" w:rsidR="00B02177" w:rsidRDefault="00B02177">
            <w:pPr>
              <w:jc w:val="right"/>
              <w:rPr>
                <w:rFonts w:ascii="Calibri" w:hAnsi="Calibri" w:cs="Calibri"/>
                <w:color w:val="000000"/>
                <w:sz w:val="16"/>
                <w:szCs w:val="16"/>
              </w:rPr>
            </w:pPr>
            <w:r>
              <w:rPr>
                <w:rFonts w:ascii="Calibri" w:hAnsi="Calibri" w:cs="Calibri"/>
                <w:color w:val="000000"/>
                <w:sz w:val="16"/>
                <w:szCs w:val="16"/>
              </w:rPr>
              <w:t>177.442</w:t>
            </w:r>
          </w:p>
        </w:tc>
        <w:tc>
          <w:tcPr>
            <w:tcW w:w="70" w:type="pct"/>
            <w:vAlign w:val="center"/>
            <w:hideMark/>
          </w:tcPr>
          <w:p w14:paraId="55BB047A" w14:textId="77777777" w:rsidR="00B02177" w:rsidRDefault="00B02177">
            <w:pPr>
              <w:rPr>
                <w:sz w:val="20"/>
                <w:szCs w:val="20"/>
              </w:rPr>
            </w:pPr>
          </w:p>
        </w:tc>
      </w:tr>
      <w:tr w:rsidR="00B02177" w14:paraId="396238F6" w14:textId="77777777" w:rsidTr="00A955D3">
        <w:trPr>
          <w:trHeight w:val="300"/>
        </w:trPr>
        <w:tc>
          <w:tcPr>
            <w:tcW w:w="1984" w:type="pct"/>
            <w:tcBorders>
              <w:top w:val="nil"/>
              <w:left w:val="nil"/>
              <w:bottom w:val="nil"/>
              <w:right w:val="nil"/>
            </w:tcBorders>
            <w:shd w:val="clear" w:color="auto" w:fill="auto"/>
            <w:noWrap/>
            <w:vAlign w:val="center"/>
            <w:hideMark/>
          </w:tcPr>
          <w:p w14:paraId="73048B62" w14:textId="77777777" w:rsidR="00B02177" w:rsidRDefault="00B02177">
            <w:pPr>
              <w:rPr>
                <w:rFonts w:ascii="Calibri" w:hAnsi="Calibri" w:cs="Calibri"/>
                <w:color w:val="000000"/>
                <w:sz w:val="16"/>
                <w:szCs w:val="16"/>
              </w:rPr>
            </w:pPr>
            <w:r>
              <w:rPr>
                <w:rFonts w:ascii="Calibri" w:hAnsi="Calibri" w:cs="Calibri"/>
                <w:color w:val="000000"/>
                <w:sz w:val="16"/>
                <w:szCs w:val="16"/>
              </w:rPr>
              <w:t>AZVI S.A DO BRASIL</w:t>
            </w:r>
          </w:p>
        </w:tc>
        <w:tc>
          <w:tcPr>
            <w:tcW w:w="454" w:type="pct"/>
            <w:tcBorders>
              <w:top w:val="nil"/>
              <w:left w:val="nil"/>
              <w:bottom w:val="nil"/>
              <w:right w:val="nil"/>
            </w:tcBorders>
            <w:shd w:val="clear" w:color="auto" w:fill="auto"/>
            <w:noWrap/>
            <w:vAlign w:val="center"/>
            <w:hideMark/>
          </w:tcPr>
          <w:p w14:paraId="1064164F" w14:textId="77777777" w:rsidR="00B02177" w:rsidRDefault="00B02177">
            <w:pPr>
              <w:jc w:val="right"/>
              <w:rPr>
                <w:rFonts w:ascii="Calibri" w:hAnsi="Calibri" w:cs="Calibri"/>
                <w:color w:val="000000"/>
                <w:sz w:val="16"/>
                <w:szCs w:val="16"/>
              </w:rPr>
            </w:pPr>
            <w:r>
              <w:rPr>
                <w:rFonts w:ascii="Calibri" w:hAnsi="Calibri" w:cs="Calibri"/>
                <w:color w:val="000000"/>
                <w:sz w:val="16"/>
                <w:szCs w:val="16"/>
              </w:rPr>
              <w:t>016/2017</w:t>
            </w:r>
          </w:p>
        </w:tc>
        <w:tc>
          <w:tcPr>
            <w:tcW w:w="985" w:type="pct"/>
            <w:tcBorders>
              <w:top w:val="nil"/>
              <w:left w:val="nil"/>
              <w:bottom w:val="nil"/>
              <w:right w:val="nil"/>
            </w:tcBorders>
            <w:shd w:val="clear" w:color="auto" w:fill="auto"/>
            <w:vAlign w:val="center"/>
            <w:hideMark/>
          </w:tcPr>
          <w:p w14:paraId="6AB887DF" w14:textId="77777777" w:rsidR="00B02177" w:rsidRDefault="00B02177">
            <w:pPr>
              <w:jc w:val="right"/>
              <w:rPr>
                <w:rFonts w:ascii="Calibri" w:hAnsi="Calibri" w:cs="Calibri"/>
                <w:color w:val="000000"/>
                <w:sz w:val="16"/>
                <w:szCs w:val="16"/>
              </w:rPr>
            </w:pPr>
            <w:r>
              <w:rPr>
                <w:rFonts w:ascii="Calibri" w:hAnsi="Calibri" w:cs="Calibri"/>
                <w:color w:val="000000"/>
                <w:sz w:val="16"/>
                <w:szCs w:val="16"/>
              </w:rPr>
              <w:t xml:space="preserve">   51402.200534/2018-81</w:t>
            </w:r>
          </w:p>
        </w:tc>
        <w:tc>
          <w:tcPr>
            <w:tcW w:w="1042" w:type="pct"/>
            <w:tcBorders>
              <w:top w:val="nil"/>
              <w:left w:val="nil"/>
              <w:bottom w:val="nil"/>
              <w:right w:val="nil"/>
            </w:tcBorders>
            <w:shd w:val="clear" w:color="auto" w:fill="auto"/>
            <w:vAlign w:val="center"/>
            <w:hideMark/>
          </w:tcPr>
          <w:p w14:paraId="44417889" w14:textId="77777777" w:rsidR="00B02177" w:rsidRDefault="00B02177">
            <w:pPr>
              <w:jc w:val="right"/>
              <w:rPr>
                <w:rFonts w:ascii="Calibri" w:hAnsi="Calibri" w:cs="Calibri"/>
                <w:color w:val="000000"/>
                <w:sz w:val="16"/>
                <w:szCs w:val="16"/>
              </w:rPr>
            </w:pPr>
          </w:p>
        </w:tc>
        <w:tc>
          <w:tcPr>
            <w:tcW w:w="465" w:type="pct"/>
            <w:tcBorders>
              <w:top w:val="nil"/>
              <w:left w:val="nil"/>
              <w:bottom w:val="nil"/>
              <w:right w:val="nil"/>
            </w:tcBorders>
            <w:shd w:val="clear" w:color="auto" w:fill="auto"/>
            <w:noWrap/>
            <w:vAlign w:val="center"/>
            <w:hideMark/>
          </w:tcPr>
          <w:p w14:paraId="1EBA09A5" w14:textId="77777777" w:rsidR="00B02177" w:rsidRDefault="00B02177">
            <w:pPr>
              <w:jc w:val="right"/>
              <w:rPr>
                <w:rFonts w:ascii="Calibri" w:hAnsi="Calibri" w:cs="Calibri"/>
                <w:color w:val="000000"/>
                <w:sz w:val="16"/>
                <w:szCs w:val="16"/>
              </w:rPr>
            </w:pPr>
            <w:r>
              <w:rPr>
                <w:rFonts w:ascii="Calibri" w:hAnsi="Calibri" w:cs="Calibri"/>
                <w:color w:val="000000"/>
                <w:sz w:val="16"/>
                <w:szCs w:val="16"/>
              </w:rPr>
              <w:t>9.739.968</w:t>
            </w:r>
          </w:p>
        </w:tc>
        <w:tc>
          <w:tcPr>
            <w:tcW w:w="70" w:type="pct"/>
            <w:vAlign w:val="center"/>
            <w:hideMark/>
          </w:tcPr>
          <w:p w14:paraId="6210CBAB" w14:textId="77777777" w:rsidR="00B02177" w:rsidRDefault="00B02177">
            <w:pPr>
              <w:rPr>
                <w:sz w:val="20"/>
                <w:szCs w:val="20"/>
              </w:rPr>
            </w:pPr>
          </w:p>
        </w:tc>
      </w:tr>
      <w:tr w:rsidR="00B02177" w14:paraId="3F92C396" w14:textId="77777777" w:rsidTr="00A955D3">
        <w:trPr>
          <w:trHeight w:val="300"/>
        </w:trPr>
        <w:tc>
          <w:tcPr>
            <w:tcW w:w="1984" w:type="pct"/>
            <w:tcBorders>
              <w:top w:val="nil"/>
              <w:left w:val="nil"/>
              <w:bottom w:val="nil"/>
              <w:right w:val="nil"/>
            </w:tcBorders>
            <w:shd w:val="clear" w:color="auto" w:fill="auto"/>
            <w:noWrap/>
            <w:vAlign w:val="center"/>
            <w:hideMark/>
          </w:tcPr>
          <w:p w14:paraId="0830070B" w14:textId="77777777" w:rsidR="00B02177" w:rsidRDefault="00B02177">
            <w:pPr>
              <w:rPr>
                <w:rFonts w:ascii="Calibri" w:hAnsi="Calibri" w:cs="Calibri"/>
                <w:color w:val="000000"/>
                <w:sz w:val="16"/>
                <w:szCs w:val="16"/>
              </w:rPr>
            </w:pPr>
            <w:r>
              <w:rPr>
                <w:rFonts w:ascii="Calibri" w:hAnsi="Calibri" w:cs="Calibri"/>
                <w:color w:val="000000"/>
                <w:sz w:val="16"/>
                <w:szCs w:val="16"/>
              </w:rPr>
              <w:t>SPAVIAS ENGENHARIA LTDA</w:t>
            </w:r>
          </w:p>
        </w:tc>
        <w:tc>
          <w:tcPr>
            <w:tcW w:w="454" w:type="pct"/>
            <w:tcBorders>
              <w:top w:val="nil"/>
              <w:left w:val="nil"/>
              <w:bottom w:val="nil"/>
              <w:right w:val="nil"/>
            </w:tcBorders>
            <w:shd w:val="clear" w:color="auto" w:fill="auto"/>
            <w:noWrap/>
            <w:vAlign w:val="center"/>
            <w:hideMark/>
          </w:tcPr>
          <w:p w14:paraId="358AE406" w14:textId="77777777" w:rsidR="00B02177" w:rsidRDefault="00B02177">
            <w:pPr>
              <w:jc w:val="right"/>
              <w:rPr>
                <w:rFonts w:ascii="Calibri" w:hAnsi="Calibri" w:cs="Calibri"/>
                <w:color w:val="000000"/>
                <w:sz w:val="16"/>
                <w:szCs w:val="16"/>
              </w:rPr>
            </w:pPr>
            <w:r>
              <w:rPr>
                <w:rFonts w:ascii="Calibri" w:hAnsi="Calibri" w:cs="Calibri"/>
                <w:color w:val="000000"/>
                <w:sz w:val="16"/>
                <w:szCs w:val="16"/>
              </w:rPr>
              <w:t>036/2014</w:t>
            </w:r>
          </w:p>
        </w:tc>
        <w:tc>
          <w:tcPr>
            <w:tcW w:w="985" w:type="pct"/>
            <w:tcBorders>
              <w:top w:val="nil"/>
              <w:left w:val="nil"/>
              <w:bottom w:val="nil"/>
              <w:right w:val="nil"/>
            </w:tcBorders>
            <w:shd w:val="clear" w:color="auto" w:fill="auto"/>
            <w:vAlign w:val="center"/>
            <w:hideMark/>
          </w:tcPr>
          <w:p w14:paraId="2C5A8868" w14:textId="77777777" w:rsidR="00B02177" w:rsidRDefault="00B02177">
            <w:pPr>
              <w:jc w:val="right"/>
              <w:rPr>
                <w:rFonts w:ascii="Calibri" w:hAnsi="Calibri" w:cs="Calibri"/>
                <w:color w:val="000000"/>
                <w:sz w:val="16"/>
                <w:szCs w:val="16"/>
              </w:rPr>
            </w:pPr>
            <w:r>
              <w:rPr>
                <w:rFonts w:ascii="Calibri" w:hAnsi="Calibri" w:cs="Calibri"/>
                <w:color w:val="000000"/>
                <w:sz w:val="16"/>
                <w:szCs w:val="16"/>
              </w:rPr>
              <w:t xml:space="preserve">   51402.198131/2018-63</w:t>
            </w:r>
          </w:p>
        </w:tc>
        <w:tc>
          <w:tcPr>
            <w:tcW w:w="1042" w:type="pct"/>
            <w:tcBorders>
              <w:top w:val="nil"/>
              <w:left w:val="nil"/>
              <w:bottom w:val="nil"/>
              <w:right w:val="nil"/>
            </w:tcBorders>
            <w:shd w:val="clear" w:color="auto" w:fill="auto"/>
            <w:vAlign w:val="center"/>
            <w:hideMark/>
          </w:tcPr>
          <w:p w14:paraId="282FC989" w14:textId="77777777" w:rsidR="00B02177" w:rsidRDefault="00B02177">
            <w:pPr>
              <w:jc w:val="right"/>
              <w:rPr>
                <w:rFonts w:ascii="Calibri" w:hAnsi="Calibri" w:cs="Calibri"/>
                <w:color w:val="000000"/>
                <w:sz w:val="16"/>
                <w:szCs w:val="16"/>
              </w:rPr>
            </w:pPr>
          </w:p>
        </w:tc>
        <w:tc>
          <w:tcPr>
            <w:tcW w:w="465" w:type="pct"/>
            <w:tcBorders>
              <w:top w:val="nil"/>
              <w:left w:val="nil"/>
              <w:bottom w:val="nil"/>
              <w:right w:val="nil"/>
            </w:tcBorders>
            <w:shd w:val="clear" w:color="auto" w:fill="auto"/>
            <w:noWrap/>
            <w:vAlign w:val="center"/>
            <w:hideMark/>
          </w:tcPr>
          <w:p w14:paraId="4C5358BF" w14:textId="77777777" w:rsidR="00B02177" w:rsidRDefault="00B02177">
            <w:pPr>
              <w:jc w:val="right"/>
              <w:rPr>
                <w:rFonts w:ascii="Calibri" w:hAnsi="Calibri" w:cs="Calibri"/>
                <w:color w:val="000000"/>
                <w:sz w:val="16"/>
                <w:szCs w:val="16"/>
              </w:rPr>
            </w:pPr>
            <w:r>
              <w:rPr>
                <w:rFonts w:ascii="Calibri" w:hAnsi="Calibri" w:cs="Calibri"/>
                <w:color w:val="000000"/>
                <w:sz w:val="16"/>
                <w:szCs w:val="16"/>
              </w:rPr>
              <w:t>2.465.411</w:t>
            </w:r>
          </w:p>
        </w:tc>
        <w:tc>
          <w:tcPr>
            <w:tcW w:w="70" w:type="pct"/>
            <w:vAlign w:val="center"/>
            <w:hideMark/>
          </w:tcPr>
          <w:p w14:paraId="34807845" w14:textId="77777777" w:rsidR="00B02177" w:rsidRDefault="00B02177">
            <w:pPr>
              <w:rPr>
                <w:sz w:val="20"/>
                <w:szCs w:val="20"/>
              </w:rPr>
            </w:pPr>
          </w:p>
        </w:tc>
      </w:tr>
      <w:tr w:rsidR="00B02177" w14:paraId="382F49D7" w14:textId="77777777" w:rsidTr="00A955D3">
        <w:trPr>
          <w:trHeight w:hRule="exact" w:val="315"/>
        </w:trPr>
        <w:tc>
          <w:tcPr>
            <w:tcW w:w="1984" w:type="pct"/>
            <w:tcBorders>
              <w:top w:val="nil"/>
              <w:left w:val="nil"/>
              <w:bottom w:val="single" w:sz="8" w:space="0" w:color="auto"/>
              <w:right w:val="nil"/>
            </w:tcBorders>
            <w:shd w:val="clear" w:color="auto" w:fill="auto"/>
            <w:noWrap/>
            <w:vAlign w:val="center"/>
            <w:hideMark/>
          </w:tcPr>
          <w:p w14:paraId="7C662722" w14:textId="77777777" w:rsidR="00B02177" w:rsidRDefault="00B02177">
            <w:pPr>
              <w:rPr>
                <w:rFonts w:ascii="Calibri" w:hAnsi="Calibri" w:cs="Calibri"/>
                <w:color w:val="000000"/>
                <w:sz w:val="16"/>
                <w:szCs w:val="16"/>
              </w:rPr>
            </w:pPr>
            <w:r>
              <w:rPr>
                <w:rFonts w:ascii="Calibri" w:hAnsi="Calibri" w:cs="Calibri"/>
                <w:color w:val="000000"/>
                <w:sz w:val="16"/>
                <w:szCs w:val="16"/>
              </w:rPr>
              <w:t>ALTA ENGENHARIA DE INFRAESTRUTURA LTDA</w:t>
            </w:r>
          </w:p>
        </w:tc>
        <w:tc>
          <w:tcPr>
            <w:tcW w:w="454" w:type="pct"/>
            <w:tcBorders>
              <w:top w:val="nil"/>
              <w:left w:val="nil"/>
              <w:bottom w:val="single" w:sz="8" w:space="0" w:color="auto"/>
              <w:right w:val="nil"/>
            </w:tcBorders>
            <w:shd w:val="clear" w:color="auto" w:fill="auto"/>
            <w:noWrap/>
            <w:vAlign w:val="center"/>
            <w:hideMark/>
          </w:tcPr>
          <w:p w14:paraId="75F834CA" w14:textId="77777777" w:rsidR="00B02177" w:rsidRDefault="00B02177">
            <w:pPr>
              <w:jc w:val="right"/>
              <w:rPr>
                <w:rFonts w:ascii="Calibri" w:hAnsi="Calibri" w:cs="Calibri"/>
                <w:color w:val="000000"/>
                <w:sz w:val="16"/>
                <w:szCs w:val="16"/>
              </w:rPr>
            </w:pPr>
            <w:r>
              <w:rPr>
                <w:rFonts w:ascii="Calibri" w:hAnsi="Calibri" w:cs="Calibri"/>
                <w:color w:val="000000"/>
                <w:sz w:val="16"/>
                <w:szCs w:val="16"/>
              </w:rPr>
              <w:t>036/2014</w:t>
            </w:r>
          </w:p>
        </w:tc>
        <w:tc>
          <w:tcPr>
            <w:tcW w:w="985" w:type="pct"/>
            <w:tcBorders>
              <w:top w:val="nil"/>
              <w:left w:val="nil"/>
              <w:bottom w:val="single" w:sz="8" w:space="0" w:color="auto"/>
              <w:right w:val="nil"/>
            </w:tcBorders>
            <w:shd w:val="clear" w:color="auto" w:fill="auto"/>
            <w:vAlign w:val="center"/>
            <w:hideMark/>
          </w:tcPr>
          <w:p w14:paraId="4E0E29E2" w14:textId="77777777" w:rsidR="00B02177" w:rsidRDefault="00B02177">
            <w:pPr>
              <w:jc w:val="right"/>
              <w:rPr>
                <w:rFonts w:ascii="Calibri" w:hAnsi="Calibri" w:cs="Calibri"/>
                <w:color w:val="000000"/>
                <w:sz w:val="16"/>
                <w:szCs w:val="16"/>
              </w:rPr>
            </w:pPr>
            <w:r>
              <w:rPr>
                <w:rFonts w:ascii="Calibri" w:hAnsi="Calibri" w:cs="Calibri"/>
                <w:color w:val="000000"/>
                <w:sz w:val="16"/>
                <w:szCs w:val="16"/>
              </w:rPr>
              <w:t xml:space="preserve">   51402.232530/2019-41</w:t>
            </w:r>
          </w:p>
        </w:tc>
        <w:tc>
          <w:tcPr>
            <w:tcW w:w="1042" w:type="pct"/>
            <w:tcBorders>
              <w:top w:val="nil"/>
              <w:left w:val="nil"/>
              <w:bottom w:val="single" w:sz="8" w:space="0" w:color="auto"/>
              <w:right w:val="nil"/>
            </w:tcBorders>
            <w:shd w:val="clear" w:color="auto" w:fill="auto"/>
            <w:vAlign w:val="center"/>
            <w:hideMark/>
          </w:tcPr>
          <w:p w14:paraId="1069B0BA" w14:textId="77777777" w:rsidR="00B02177" w:rsidRDefault="00B02177">
            <w:pPr>
              <w:jc w:val="right"/>
              <w:rPr>
                <w:rFonts w:ascii="Calibri" w:hAnsi="Calibri" w:cs="Calibri"/>
                <w:color w:val="000000"/>
                <w:sz w:val="16"/>
                <w:szCs w:val="16"/>
              </w:rPr>
            </w:pPr>
            <w:r>
              <w:rPr>
                <w:rFonts w:ascii="Calibri" w:hAnsi="Calibri" w:cs="Calibri"/>
                <w:color w:val="000000"/>
                <w:sz w:val="16"/>
                <w:szCs w:val="16"/>
              </w:rPr>
              <w:t> </w:t>
            </w:r>
          </w:p>
        </w:tc>
        <w:tc>
          <w:tcPr>
            <w:tcW w:w="465" w:type="pct"/>
            <w:tcBorders>
              <w:top w:val="nil"/>
              <w:left w:val="nil"/>
              <w:bottom w:val="single" w:sz="8" w:space="0" w:color="auto"/>
              <w:right w:val="nil"/>
            </w:tcBorders>
            <w:shd w:val="clear" w:color="auto" w:fill="auto"/>
            <w:noWrap/>
            <w:vAlign w:val="center"/>
            <w:hideMark/>
          </w:tcPr>
          <w:p w14:paraId="41AD7915" w14:textId="77777777" w:rsidR="00B02177" w:rsidRDefault="00B02177">
            <w:pPr>
              <w:jc w:val="right"/>
              <w:rPr>
                <w:rFonts w:ascii="Calibri" w:hAnsi="Calibri" w:cs="Calibri"/>
                <w:color w:val="000000"/>
                <w:sz w:val="16"/>
                <w:szCs w:val="16"/>
              </w:rPr>
            </w:pPr>
            <w:r>
              <w:rPr>
                <w:rFonts w:ascii="Calibri" w:hAnsi="Calibri" w:cs="Calibri"/>
                <w:color w:val="000000"/>
                <w:sz w:val="16"/>
                <w:szCs w:val="16"/>
              </w:rPr>
              <w:t>34.308</w:t>
            </w:r>
          </w:p>
        </w:tc>
        <w:tc>
          <w:tcPr>
            <w:tcW w:w="70" w:type="pct"/>
            <w:vAlign w:val="center"/>
            <w:hideMark/>
          </w:tcPr>
          <w:p w14:paraId="370AE63C" w14:textId="77777777" w:rsidR="00B02177" w:rsidRDefault="00B02177">
            <w:pPr>
              <w:rPr>
                <w:sz w:val="20"/>
                <w:szCs w:val="20"/>
              </w:rPr>
            </w:pPr>
          </w:p>
        </w:tc>
      </w:tr>
      <w:tr w:rsidR="00B02177" w14:paraId="3AF9364E" w14:textId="77777777" w:rsidTr="00A955D3">
        <w:trPr>
          <w:trHeight w:hRule="exact" w:val="315"/>
        </w:trPr>
        <w:tc>
          <w:tcPr>
            <w:tcW w:w="1984" w:type="pct"/>
            <w:tcBorders>
              <w:top w:val="nil"/>
              <w:left w:val="nil"/>
              <w:bottom w:val="single" w:sz="8" w:space="0" w:color="auto"/>
              <w:right w:val="nil"/>
            </w:tcBorders>
            <w:shd w:val="clear" w:color="auto" w:fill="auto"/>
            <w:noWrap/>
            <w:vAlign w:val="center"/>
            <w:hideMark/>
          </w:tcPr>
          <w:p w14:paraId="09307FDF" w14:textId="77777777" w:rsidR="00B02177" w:rsidRDefault="00B02177">
            <w:pPr>
              <w:rPr>
                <w:rFonts w:ascii="Calibri" w:hAnsi="Calibri" w:cs="Calibri"/>
                <w:b/>
                <w:bCs/>
                <w:color w:val="000000"/>
                <w:sz w:val="16"/>
                <w:szCs w:val="16"/>
              </w:rPr>
            </w:pPr>
            <w:r>
              <w:rPr>
                <w:rFonts w:ascii="Calibri" w:hAnsi="Calibri" w:cs="Calibri"/>
                <w:b/>
                <w:bCs/>
                <w:color w:val="000000"/>
                <w:sz w:val="16"/>
                <w:szCs w:val="16"/>
              </w:rPr>
              <w:t>TOTAL DE CRÉDITOS A RECEBER</w:t>
            </w:r>
          </w:p>
        </w:tc>
        <w:tc>
          <w:tcPr>
            <w:tcW w:w="454" w:type="pct"/>
            <w:tcBorders>
              <w:top w:val="nil"/>
              <w:left w:val="nil"/>
              <w:bottom w:val="single" w:sz="8" w:space="0" w:color="auto"/>
              <w:right w:val="nil"/>
            </w:tcBorders>
            <w:shd w:val="clear" w:color="auto" w:fill="auto"/>
            <w:noWrap/>
            <w:vAlign w:val="center"/>
            <w:hideMark/>
          </w:tcPr>
          <w:p w14:paraId="24A63B6C" w14:textId="77777777" w:rsidR="00B02177" w:rsidRDefault="00B02177">
            <w:pPr>
              <w:jc w:val="right"/>
              <w:rPr>
                <w:rFonts w:ascii="Calibri" w:hAnsi="Calibri" w:cs="Calibri"/>
                <w:b/>
                <w:bCs/>
                <w:color w:val="000000"/>
                <w:sz w:val="16"/>
                <w:szCs w:val="16"/>
              </w:rPr>
            </w:pPr>
            <w:r>
              <w:rPr>
                <w:rFonts w:ascii="Calibri" w:hAnsi="Calibri" w:cs="Calibri"/>
                <w:b/>
                <w:bCs/>
                <w:color w:val="000000"/>
                <w:sz w:val="16"/>
                <w:szCs w:val="16"/>
              </w:rPr>
              <w:t> </w:t>
            </w:r>
          </w:p>
        </w:tc>
        <w:tc>
          <w:tcPr>
            <w:tcW w:w="985" w:type="pct"/>
            <w:tcBorders>
              <w:top w:val="single" w:sz="8" w:space="0" w:color="auto"/>
              <w:left w:val="nil"/>
              <w:bottom w:val="single" w:sz="8" w:space="0" w:color="auto"/>
              <w:right w:val="nil"/>
            </w:tcBorders>
            <w:shd w:val="clear" w:color="auto" w:fill="auto"/>
            <w:vAlign w:val="center"/>
            <w:hideMark/>
          </w:tcPr>
          <w:p w14:paraId="1842548F" w14:textId="77777777" w:rsidR="00B02177" w:rsidRDefault="00B02177">
            <w:pPr>
              <w:jc w:val="right"/>
              <w:rPr>
                <w:rFonts w:ascii="Calibri" w:hAnsi="Calibri" w:cs="Calibri"/>
                <w:b/>
                <w:bCs/>
                <w:color w:val="000000"/>
                <w:sz w:val="16"/>
                <w:szCs w:val="16"/>
              </w:rPr>
            </w:pPr>
            <w:r>
              <w:rPr>
                <w:rFonts w:ascii="Calibri" w:hAnsi="Calibri" w:cs="Calibri"/>
                <w:b/>
                <w:bCs/>
                <w:color w:val="000000"/>
                <w:sz w:val="16"/>
                <w:szCs w:val="16"/>
              </w:rPr>
              <w:t> </w:t>
            </w:r>
          </w:p>
        </w:tc>
        <w:tc>
          <w:tcPr>
            <w:tcW w:w="1042" w:type="pct"/>
            <w:tcBorders>
              <w:top w:val="nil"/>
              <w:left w:val="nil"/>
              <w:bottom w:val="single" w:sz="8" w:space="0" w:color="auto"/>
              <w:right w:val="nil"/>
            </w:tcBorders>
            <w:shd w:val="clear" w:color="auto" w:fill="auto"/>
            <w:vAlign w:val="center"/>
            <w:hideMark/>
          </w:tcPr>
          <w:p w14:paraId="43B2BFE0" w14:textId="77777777" w:rsidR="00B02177" w:rsidRDefault="00B02177">
            <w:pPr>
              <w:jc w:val="right"/>
              <w:rPr>
                <w:rFonts w:ascii="Calibri" w:hAnsi="Calibri" w:cs="Calibri"/>
                <w:b/>
                <w:bCs/>
                <w:color w:val="000000"/>
                <w:sz w:val="16"/>
                <w:szCs w:val="16"/>
              </w:rPr>
            </w:pPr>
            <w:r>
              <w:rPr>
                <w:rFonts w:ascii="Calibri" w:hAnsi="Calibri" w:cs="Calibri"/>
                <w:b/>
                <w:bCs/>
                <w:color w:val="000000"/>
                <w:sz w:val="16"/>
                <w:szCs w:val="16"/>
              </w:rPr>
              <w:t> </w:t>
            </w:r>
          </w:p>
        </w:tc>
        <w:tc>
          <w:tcPr>
            <w:tcW w:w="465" w:type="pct"/>
            <w:tcBorders>
              <w:top w:val="nil"/>
              <w:left w:val="nil"/>
              <w:bottom w:val="single" w:sz="8" w:space="0" w:color="auto"/>
              <w:right w:val="nil"/>
            </w:tcBorders>
            <w:shd w:val="clear" w:color="auto" w:fill="auto"/>
            <w:noWrap/>
            <w:vAlign w:val="center"/>
            <w:hideMark/>
          </w:tcPr>
          <w:p w14:paraId="3B77CA9E" w14:textId="77777777" w:rsidR="00B02177" w:rsidRDefault="00B02177">
            <w:pPr>
              <w:jc w:val="right"/>
              <w:rPr>
                <w:rFonts w:ascii="Calibri" w:hAnsi="Calibri" w:cs="Calibri"/>
                <w:b/>
                <w:bCs/>
                <w:color w:val="000000"/>
                <w:sz w:val="16"/>
                <w:szCs w:val="16"/>
              </w:rPr>
            </w:pPr>
            <w:r>
              <w:rPr>
                <w:rFonts w:ascii="Calibri" w:hAnsi="Calibri" w:cs="Calibri"/>
                <w:b/>
                <w:bCs/>
                <w:color w:val="000000"/>
                <w:sz w:val="16"/>
                <w:szCs w:val="16"/>
              </w:rPr>
              <w:t>12.417.129</w:t>
            </w:r>
          </w:p>
        </w:tc>
        <w:tc>
          <w:tcPr>
            <w:tcW w:w="70" w:type="pct"/>
            <w:vAlign w:val="center"/>
            <w:hideMark/>
          </w:tcPr>
          <w:p w14:paraId="7DA4EBDB" w14:textId="77777777" w:rsidR="00B02177" w:rsidRDefault="00B02177">
            <w:pPr>
              <w:rPr>
                <w:sz w:val="20"/>
                <w:szCs w:val="20"/>
              </w:rPr>
            </w:pPr>
          </w:p>
        </w:tc>
      </w:tr>
      <w:tr w:rsidR="00B02177" w14:paraId="608A16DD" w14:textId="77777777" w:rsidTr="00A955D3">
        <w:trPr>
          <w:trHeight w:hRule="exact" w:val="300"/>
        </w:trPr>
        <w:tc>
          <w:tcPr>
            <w:tcW w:w="1984" w:type="pct"/>
            <w:tcBorders>
              <w:top w:val="nil"/>
              <w:left w:val="nil"/>
              <w:bottom w:val="nil"/>
              <w:right w:val="nil"/>
            </w:tcBorders>
            <w:shd w:val="clear" w:color="auto" w:fill="auto"/>
            <w:noWrap/>
            <w:vAlign w:val="center"/>
            <w:hideMark/>
          </w:tcPr>
          <w:p w14:paraId="05A53105" w14:textId="77777777" w:rsidR="00B02177" w:rsidRDefault="00B02177">
            <w:pPr>
              <w:rPr>
                <w:rFonts w:ascii="Calibri" w:hAnsi="Calibri" w:cs="Calibri"/>
                <w:b/>
                <w:bCs/>
                <w:color w:val="000000"/>
                <w:sz w:val="16"/>
                <w:szCs w:val="16"/>
              </w:rPr>
            </w:pPr>
            <w:r>
              <w:rPr>
                <w:rFonts w:ascii="Calibri" w:hAnsi="Calibri" w:cs="Calibri"/>
                <w:b/>
                <w:bCs/>
                <w:color w:val="000000"/>
                <w:sz w:val="16"/>
                <w:szCs w:val="16"/>
              </w:rPr>
              <w:t>Ajustes para Perdas com crédito de liquidação duvidosa</w:t>
            </w:r>
          </w:p>
        </w:tc>
        <w:tc>
          <w:tcPr>
            <w:tcW w:w="454" w:type="pct"/>
            <w:tcBorders>
              <w:top w:val="nil"/>
              <w:left w:val="nil"/>
              <w:bottom w:val="nil"/>
              <w:right w:val="nil"/>
            </w:tcBorders>
            <w:shd w:val="clear" w:color="auto" w:fill="auto"/>
            <w:noWrap/>
            <w:vAlign w:val="center"/>
            <w:hideMark/>
          </w:tcPr>
          <w:p w14:paraId="2D5648C3" w14:textId="77777777" w:rsidR="00B02177" w:rsidRDefault="00B02177">
            <w:pPr>
              <w:rPr>
                <w:rFonts w:ascii="Calibri" w:hAnsi="Calibri" w:cs="Calibri"/>
                <w:b/>
                <w:bCs/>
                <w:color w:val="000000"/>
                <w:sz w:val="16"/>
                <w:szCs w:val="16"/>
              </w:rPr>
            </w:pPr>
          </w:p>
        </w:tc>
        <w:tc>
          <w:tcPr>
            <w:tcW w:w="985" w:type="pct"/>
            <w:tcBorders>
              <w:top w:val="single" w:sz="8" w:space="0" w:color="auto"/>
              <w:left w:val="nil"/>
              <w:bottom w:val="nil"/>
              <w:right w:val="nil"/>
            </w:tcBorders>
            <w:shd w:val="clear" w:color="auto" w:fill="auto"/>
            <w:vAlign w:val="center"/>
            <w:hideMark/>
          </w:tcPr>
          <w:p w14:paraId="6232204D" w14:textId="77777777" w:rsidR="00B02177" w:rsidRDefault="00B02177">
            <w:pPr>
              <w:jc w:val="right"/>
              <w:rPr>
                <w:rFonts w:ascii="Calibri" w:hAnsi="Calibri" w:cs="Calibri"/>
                <w:b/>
                <w:bCs/>
                <w:color w:val="000000"/>
                <w:sz w:val="16"/>
                <w:szCs w:val="16"/>
              </w:rPr>
            </w:pPr>
            <w:r>
              <w:rPr>
                <w:rFonts w:ascii="Calibri" w:hAnsi="Calibri" w:cs="Calibri"/>
                <w:b/>
                <w:bCs/>
                <w:color w:val="000000"/>
                <w:sz w:val="16"/>
                <w:szCs w:val="16"/>
              </w:rPr>
              <w:t> </w:t>
            </w:r>
          </w:p>
        </w:tc>
        <w:tc>
          <w:tcPr>
            <w:tcW w:w="1042" w:type="pct"/>
            <w:tcBorders>
              <w:top w:val="nil"/>
              <w:left w:val="nil"/>
              <w:bottom w:val="nil"/>
              <w:right w:val="nil"/>
            </w:tcBorders>
            <w:shd w:val="clear" w:color="auto" w:fill="auto"/>
            <w:vAlign w:val="center"/>
            <w:hideMark/>
          </w:tcPr>
          <w:p w14:paraId="380E2468" w14:textId="77777777" w:rsidR="00B02177" w:rsidRDefault="00B02177">
            <w:pPr>
              <w:jc w:val="right"/>
              <w:rPr>
                <w:rFonts w:ascii="Calibri" w:hAnsi="Calibri" w:cs="Calibri"/>
                <w:b/>
                <w:bCs/>
                <w:color w:val="000000"/>
                <w:sz w:val="16"/>
                <w:szCs w:val="16"/>
              </w:rPr>
            </w:pPr>
          </w:p>
        </w:tc>
        <w:tc>
          <w:tcPr>
            <w:tcW w:w="465" w:type="pct"/>
            <w:tcBorders>
              <w:top w:val="nil"/>
              <w:left w:val="nil"/>
              <w:bottom w:val="nil"/>
              <w:right w:val="nil"/>
            </w:tcBorders>
            <w:shd w:val="clear" w:color="auto" w:fill="auto"/>
            <w:noWrap/>
            <w:vAlign w:val="center"/>
            <w:hideMark/>
          </w:tcPr>
          <w:p w14:paraId="11977BFB" w14:textId="2E76A042" w:rsidR="00B02177" w:rsidRPr="003B2ACE" w:rsidRDefault="003B2ACE">
            <w:pPr>
              <w:jc w:val="right"/>
              <w:rPr>
                <w:rFonts w:asciiTheme="minorHAnsi" w:hAnsiTheme="minorHAnsi" w:cstheme="minorHAnsi"/>
                <w:b/>
                <w:bCs/>
                <w:sz w:val="16"/>
                <w:szCs w:val="16"/>
              </w:rPr>
            </w:pPr>
            <w:r w:rsidRPr="003B2ACE">
              <w:rPr>
                <w:rFonts w:asciiTheme="minorHAnsi" w:hAnsiTheme="minorHAnsi" w:cstheme="minorHAnsi"/>
                <w:b/>
                <w:bCs/>
                <w:sz w:val="16"/>
                <w:szCs w:val="16"/>
              </w:rPr>
              <w:t>(12.382.821)</w:t>
            </w:r>
          </w:p>
        </w:tc>
        <w:tc>
          <w:tcPr>
            <w:tcW w:w="70" w:type="pct"/>
            <w:vAlign w:val="center"/>
            <w:hideMark/>
          </w:tcPr>
          <w:p w14:paraId="7B7C099F" w14:textId="77777777" w:rsidR="00B02177" w:rsidRDefault="00B02177">
            <w:pPr>
              <w:rPr>
                <w:sz w:val="20"/>
                <w:szCs w:val="20"/>
              </w:rPr>
            </w:pPr>
          </w:p>
        </w:tc>
      </w:tr>
      <w:tr w:rsidR="00B02177" w14:paraId="36229941" w14:textId="77777777" w:rsidTr="00A955D3">
        <w:trPr>
          <w:trHeight w:val="300"/>
        </w:trPr>
        <w:tc>
          <w:tcPr>
            <w:tcW w:w="1984" w:type="pct"/>
            <w:tcBorders>
              <w:top w:val="nil"/>
              <w:left w:val="nil"/>
              <w:bottom w:val="nil"/>
              <w:right w:val="nil"/>
            </w:tcBorders>
            <w:shd w:val="clear" w:color="auto" w:fill="auto"/>
            <w:noWrap/>
            <w:vAlign w:val="center"/>
            <w:hideMark/>
          </w:tcPr>
          <w:p w14:paraId="2C9C111A" w14:textId="77777777" w:rsidR="00B02177" w:rsidRDefault="00B02177">
            <w:pPr>
              <w:rPr>
                <w:rFonts w:ascii="Calibri" w:hAnsi="Calibri" w:cs="Calibri"/>
                <w:color w:val="000000"/>
                <w:sz w:val="16"/>
                <w:szCs w:val="16"/>
              </w:rPr>
            </w:pPr>
            <w:r>
              <w:rPr>
                <w:rFonts w:ascii="Calibri" w:hAnsi="Calibri" w:cs="Calibri"/>
                <w:color w:val="000000"/>
                <w:sz w:val="16"/>
                <w:szCs w:val="16"/>
              </w:rPr>
              <w:t>A C CORREA CIA LTDA</w:t>
            </w:r>
          </w:p>
        </w:tc>
        <w:tc>
          <w:tcPr>
            <w:tcW w:w="454" w:type="pct"/>
            <w:tcBorders>
              <w:top w:val="nil"/>
              <w:left w:val="nil"/>
              <w:bottom w:val="nil"/>
              <w:right w:val="nil"/>
            </w:tcBorders>
            <w:shd w:val="clear" w:color="auto" w:fill="auto"/>
            <w:noWrap/>
            <w:vAlign w:val="center"/>
            <w:hideMark/>
          </w:tcPr>
          <w:p w14:paraId="7A48CCBC" w14:textId="77777777" w:rsidR="00B02177" w:rsidRDefault="00B02177">
            <w:pPr>
              <w:jc w:val="right"/>
              <w:rPr>
                <w:rFonts w:ascii="Calibri" w:hAnsi="Calibri" w:cs="Calibri"/>
                <w:color w:val="000000"/>
                <w:sz w:val="16"/>
                <w:szCs w:val="16"/>
              </w:rPr>
            </w:pPr>
            <w:r>
              <w:rPr>
                <w:rFonts w:ascii="Calibri" w:hAnsi="Calibri" w:cs="Calibri"/>
                <w:color w:val="000000"/>
                <w:sz w:val="16"/>
                <w:szCs w:val="16"/>
              </w:rPr>
              <w:t>004/2017</w:t>
            </w:r>
          </w:p>
        </w:tc>
        <w:tc>
          <w:tcPr>
            <w:tcW w:w="985" w:type="pct"/>
            <w:tcBorders>
              <w:top w:val="nil"/>
              <w:left w:val="nil"/>
              <w:bottom w:val="nil"/>
              <w:right w:val="nil"/>
            </w:tcBorders>
            <w:shd w:val="clear" w:color="auto" w:fill="auto"/>
            <w:vAlign w:val="center"/>
            <w:hideMark/>
          </w:tcPr>
          <w:p w14:paraId="55E354A3" w14:textId="77777777" w:rsidR="00B02177" w:rsidRDefault="00B02177">
            <w:pPr>
              <w:jc w:val="right"/>
              <w:rPr>
                <w:rFonts w:ascii="Calibri" w:hAnsi="Calibri" w:cs="Calibri"/>
                <w:color w:val="000000"/>
                <w:sz w:val="16"/>
                <w:szCs w:val="16"/>
              </w:rPr>
            </w:pPr>
            <w:r>
              <w:rPr>
                <w:rFonts w:ascii="Calibri" w:hAnsi="Calibri" w:cs="Calibri"/>
                <w:color w:val="000000"/>
                <w:sz w:val="16"/>
                <w:szCs w:val="16"/>
              </w:rPr>
              <w:t>51402.190111/2017-63</w:t>
            </w:r>
          </w:p>
        </w:tc>
        <w:tc>
          <w:tcPr>
            <w:tcW w:w="1042" w:type="pct"/>
            <w:tcBorders>
              <w:top w:val="nil"/>
              <w:left w:val="nil"/>
              <w:bottom w:val="nil"/>
              <w:right w:val="nil"/>
            </w:tcBorders>
            <w:shd w:val="clear" w:color="auto" w:fill="auto"/>
            <w:vAlign w:val="center"/>
            <w:hideMark/>
          </w:tcPr>
          <w:p w14:paraId="0D32D34D" w14:textId="77777777" w:rsidR="00B02177" w:rsidRDefault="00B02177">
            <w:pPr>
              <w:jc w:val="right"/>
              <w:rPr>
                <w:rFonts w:ascii="Calibri" w:hAnsi="Calibri" w:cs="Calibri"/>
                <w:color w:val="000000"/>
                <w:sz w:val="16"/>
                <w:szCs w:val="16"/>
              </w:rPr>
            </w:pPr>
            <w:r>
              <w:rPr>
                <w:rFonts w:ascii="Calibri" w:hAnsi="Calibri" w:cs="Calibri"/>
                <w:color w:val="000000"/>
                <w:sz w:val="16"/>
                <w:szCs w:val="16"/>
              </w:rPr>
              <w:t>1009877-63.2020.4.01.3400</w:t>
            </w:r>
          </w:p>
        </w:tc>
        <w:tc>
          <w:tcPr>
            <w:tcW w:w="465" w:type="pct"/>
            <w:tcBorders>
              <w:top w:val="nil"/>
              <w:left w:val="nil"/>
              <w:bottom w:val="nil"/>
              <w:right w:val="nil"/>
            </w:tcBorders>
            <w:shd w:val="clear" w:color="auto" w:fill="auto"/>
            <w:noWrap/>
            <w:vAlign w:val="center"/>
            <w:hideMark/>
          </w:tcPr>
          <w:p w14:paraId="71E0DB87" w14:textId="11042C59" w:rsidR="00B02177" w:rsidRDefault="00B02177">
            <w:pPr>
              <w:jc w:val="right"/>
              <w:rPr>
                <w:rFonts w:ascii="Calibri" w:hAnsi="Calibri" w:cs="Calibri"/>
                <w:color w:val="000000"/>
                <w:sz w:val="16"/>
                <w:szCs w:val="16"/>
              </w:rPr>
            </w:pPr>
            <w:r>
              <w:rPr>
                <w:rFonts w:ascii="Calibri" w:hAnsi="Calibri" w:cs="Calibri"/>
                <w:color w:val="000000"/>
                <w:sz w:val="16"/>
                <w:szCs w:val="16"/>
              </w:rPr>
              <w:t>(177.442)</w:t>
            </w:r>
          </w:p>
        </w:tc>
        <w:tc>
          <w:tcPr>
            <w:tcW w:w="70" w:type="pct"/>
            <w:vAlign w:val="center"/>
            <w:hideMark/>
          </w:tcPr>
          <w:p w14:paraId="5A52D0D6" w14:textId="77777777" w:rsidR="00B02177" w:rsidRDefault="00B02177">
            <w:pPr>
              <w:rPr>
                <w:sz w:val="20"/>
                <w:szCs w:val="20"/>
              </w:rPr>
            </w:pPr>
          </w:p>
        </w:tc>
      </w:tr>
      <w:tr w:rsidR="00B02177" w14:paraId="32A6C92E" w14:textId="77777777" w:rsidTr="00A955D3">
        <w:trPr>
          <w:trHeight w:val="300"/>
        </w:trPr>
        <w:tc>
          <w:tcPr>
            <w:tcW w:w="1984" w:type="pct"/>
            <w:tcBorders>
              <w:top w:val="nil"/>
              <w:left w:val="nil"/>
              <w:bottom w:val="nil"/>
              <w:right w:val="nil"/>
            </w:tcBorders>
            <w:shd w:val="clear" w:color="auto" w:fill="auto"/>
            <w:noWrap/>
            <w:vAlign w:val="center"/>
            <w:hideMark/>
          </w:tcPr>
          <w:p w14:paraId="685E2196" w14:textId="77777777" w:rsidR="00B02177" w:rsidRDefault="00B02177">
            <w:pPr>
              <w:rPr>
                <w:rFonts w:ascii="Calibri" w:hAnsi="Calibri" w:cs="Calibri"/>
                <w:color w:val="000000"/>
                <w:sz w:val="16"/>
                <w:szCs w:val="16"/>
              </w:rPr>
            </w:pPr>
            <w:r>
              <w:rPr>
                <w:rFonts w:ascii="Calibri" w:hAnsi="Calibri" w:cs="Calibri"/>
                <w:color w:val="000000"/>
                <w:sz w:val="16"/>
                <w:szCs w:val="16"/>
              </w:rPr>
              <w:t>AZVI S.A DO BRASIL</w:t>
            </w:r>
          </w:p>
        </w:tc>
        <w:tc>
          <w:tcPr>
            <w:tcW w:w="454" w:type="pct"/>
            <w:tcBorders>
              <w:top w:val="nil"/>
              <w:left w:val="nil"/>
              <w:bottom w:val="nil"/>
              <w:right w:val="nil"/>
            </w:tcBorders>
            <w:shd w:val="clear" w:color="auto" w:fill="auto"/>
            <w:noWrap/>
            <w:vAlign w:val="center"/>
            <w:hideMark/>
          </w:tcPr>
          <w:p w14:paraId="7E3B6290" w14:textId="77777777" w:rsidR="00B02177" w:rsidRDefault="00B02177">
            <w:pPr>
              <w:jc w:val="right"/>
              <w:rPr>
                <w:rFonts w:ascii="Calibri" w:hAnsi="Calibri" w:cs="Calibri"/>
                <w:color w:val="000000"/>
                <w:sz w:val="16"/>
                <w:szCs w:val="16"/>
              </w:rPr>
            </w:pPr>
            <w:r>
              <w:rPr>
                <w:rFonts w:ascii="Calibri" w:hAnsi="Calibri" w:cs="Calibri"/>
                <w:color w:val="000000"/>
                <w:sz w:val="16"/>
                <w:szCs w:val="16"/>
              </w:rPr>
              <w:t>016/2017</w:t>
            </w:r>
          </w:p>
        </w:tc>
        <w:tc>
          <w:tcPr>
            <w:tcW w:w="985" w:type="pct"/>
            <w:tcBorders>
              <w:top w:val="nil"/>
              <w:left w:val="nil"/>
              <w:bottom w:val="nil"/>
              <w:right w:val="nil"/>
            </w:tcBorders>
            <w:shd w:val="clear" w:color="auto" w:fill="auto"/>
            <w:vAlign w:val="center"/>
            <w:hideMark/>
          </w:tcPr>
          <w:p w14:paraId="47411DCE" w14:textId="77777777" w:rsidR="00B02177" w:rsidRDefault="00B02177">
            <w:pPr>
              <w:jc w:val="right"/>
              <w:rPr>
                <w:rFonts w:ascii="Calibri" w:hAnsi="Calibri" w:cs="Calibri"/>
                <w:color w:val="000000"/>
                <w:sz w:val="16"/>
                <w:szCs w:val="16"/>
              </w:rPr>
            </w:pPr>
            <w:r>
              <w:rPr>
                <w:rFonts w:ascii="Calibri" w:hAnsi="Calibri" w:cs="Calibri"/>
                <w:color w:val="000000"/>
                <w:sz w:val="16"/>
                <w:szCs w:val="16"/>
              </w:rPr>
              <w:t>51402.200534/2018-81</w:t>
            </w:r>
          </w:p>
        </w:tc>
        <w:tc>
          <w:tcPr>
            <w:tcW w:w="1042" w:type="pct"/>
            <w:tcBorders>
              <w:top w:val="nil"/>
              <w:left w:val="nil"/>
              <w:bottom w:val="nil"/>
              <w:right w:val="nil"/>
            </w:tcBorders>
            <w:shd w:val="clear" w:color="auto" w:fill="auto"/>
            <w:vAlign w:val="center"/>
            <w:hideMark/>
          </w:tcPr>
          <w:p w14:paraId="28214C77" w14:textId="77777777" w:rsidR="00B02177" w:rsidRDefault="00B02177">
            <w:pPr>
              <w:jc w:val="right"/>
              <w:rPr>
                <w:rFonts w:ascii="Calibri" w:hAnsi="Calibri" w:cs="Calibri"/>
                <w:color w:val="000000"/>
                <w:sz w:val="16"/>
                <w:szCs w:val="16"/>
              </w:rPr>
            </w:pPr>
            <w:r>
              <w:rPr>
                <w:rFonts w:ascii="Calibri" w:hAnsi="Calibri" w:cs="Calibri"/>
                <w:color w:val="000000"/>
                <w:sz w:val="16"/>
                <w:szCs w:val="16"/>
              </w:rPr>
              <w:t>1026732-20.2020.4.01.3400</w:t>
            </w:r>
          </w:p>
        </w:tc>
        <w:tc>
          <w:tcPr>
            <w:tcW w:w="465" w:type="pct"/>
            <w:tcBorders>
              <w:top w:val="nil"/>
              <w:left w:val="nil"/>
              <w:bottom w:val="nil"/>
              <w:right w:val="nil"/>
            </w:tcBorders>
            <w:shd w:val="clear" w:color="auto" w:fill="auto"/>
            <w:noWrap/>
            <w:vAlign w:val="center"/>
            <w:hideMark/>
          </w:tcPr>
          <w:p w14:paraId="207F48E6" w14:textId="21AD1242" w:rsidR="00B02177" w:rsidRDefault="00B02177">
            <w:pPr>
              <w:jc w:val="right"/>
              <w:rPr>
                <w:rFonts w:ascii="Calibri" w:hAnsi="Calibri" w:cs="Calibri"/>
                <w:color w:val="000000"/>
                <w:sz w:val="16"/>
                <w:szCs w:val="16"/>
              </w:rPr>
            </w:pPr>
            <w:r>
              <w:rPr>
                <w:rFonts w:ascii="Calibri" w:hAnsi="Calibri" w:cs="Calibri"/>
                <w:color w:val="000000"/>
                <w:sz w:val="16"/>
                <w:szCs w:val="16"/>
              </w:rPr>
              <w:t>(9.739.968)</w:t>
            </w:r>
          </w:p>
        </w:tc>
        <w:tc>
          <w:tcPr>
            <w:tcW w:w="70" w:type="pct"/>
            <w:vAlign w:val="center"/>
            <w:hideMark/>
          </w:tcPr>
          <w:p w14:paraId="4E1C66F6" w14:textId="77777777" w:rsidR="00B02177" w:rsidRDefault="00B02177">
            <w:pPr>
              <w:rPr>
                <w:sz w:val="20"/>
                <w:szCs w:val="20"/>
              </w:rPr>
            </w:pPr>
          </w:p>
        </w:tc>
      </w:tr>
      <w:tr w:rsidR="00B02177" w14:paraId="1A3882AE" w14:textId="77777777" w:rsidTr="00A955D3">
        <w:trPr>
          <w:trHeight w:hRule="exact" w:val="450"/>
        </w:trPr>
        <w:tc>
          <w:tcPr>
            <w:tcW w:w="1984" w:type="pct"/>
            <w:tcBorders>
              <w:top w:val="nil"/>
              <w:left w:val="nil"/>
              <w:bottom w:val="single" w:sz="8" w:space="0" w:color="auto"/>
              <w:right w:val="nil"/>
            </w:tcBorders>
            <w:shd w:val="clear" w:color="auto" w:fill="auto"/>
            <w:noWrap/>
            <w:vAlign w:val="center"/>
            <w:hideMark/>
          </w:tcPr>
          <w:p w14:paraId="4380AD12" w14:textId="77777777" w:rsidR="00B02177" w:rsidRDefault="00B02177">
            <w:pPr>
              <w:rPr>
                <w:rFonts w:ascii="Calibri" w:hAnsi="Calibri" w:cs="Calibri"/>
                <w:color w:val="000000"/>
                <w:sz w:val="16"/>
                <w:szCs w:val="16"/>
              </w:rPr>
            </w:pPr>
            <w:r>
              <w:rPr>
                <w:rFonts w:ascii="Calibri" w:hAnsi="Calibri" w:cs="Calibri"/>
                <w:color w:val="000000"/>
                <w:sz w:val="16"/>
                <w:szCs w:val="16"/>
              </w:rPr>
              <w:t>SPAVIAS ENGENHARIA LTDA</w:t>
            </w:r>
          </w:p>
        </w:tc>
        <w:tc>
          <w:tcPr>
            <w:tcW w:w="454" w:type="pct"/>
            <w:tcBorders>
              <w:top w:val="nil"/>
              <w:left w:val="nil"/>
              <w:bottom w:val="single" w:sz="8" w:space="0" w:color="auto"/>
              <w:right w:val="nil"/>
            </w:tcBorders>
            <w:shd w:val="clear" w:color="auto" w:fill="auto"/>
            <w:noWrap/>
            <w:vAlign w:val="center"/>
            <w:hideMark/>
          </w:tcPr>
          <w:p w14:paraId="3A7C70B1" w14:textId="77777777" w:rsidR="00B02177" w:rsidRDefault="00B02177">
            <w:pPr>
              <w:jc w:val="right"/>
              <w:rPr>
                <w:rFonts w:ascii="Calibri" w:hAnsi="Calibri" w:cs="Calibri"/>
                <w:color w:val="000000"/>
                <w:sz w:val="16"/>
                <w:szCs w:val="16"/>
              </w:rPr>
            </w:pPr>
            <w:r>
              <w:rPr>
                <w:rFonts w:ascii="Calibri" w:hAnsi="Calibri" w:cs="Calibri"/>
                <w:color w:val="000000"/>
                <w:sz w:val="16"/>
                <w:szCs w:val="16"/>
              </w:rPr>
              <w:t>036/2014</w:t>
            </w:r>
          </w:p>
        </w:tc>
        <w:tc>
          <w:tcPr>
            <w:tcW w:w="985" w:type="pct"/>
            <w:tcBorders>
              <w:top w:val="nil"/>
              <w:left w:val="nil"/>
              <w:bottom w:val="single" w:sz="8" w:space="0" w:color="auto"/>
              <w:right w:val="nil"/>
            </w:tcBorders>
            <w:shd w:val="clear" w:color="auto" w:fill="auto"/>
            <w:vAlign w:val="center"/>
            <w:hideMark/>
          </w:tcPr>
          <w:p w14:paraId="52FC1862" w14:textId="77777777" w:rsidR="00B02177" w:rsidRDefault="00B02177">
            <w:pPr>
              <w:jc w:val="right"/>
              <w:rPr>
                <w:rFonts w:ascii="Calibri" w:hAnsi="Calibri" w:cs="Calibri"/>
                <w:color w:val="000000"/>
                <w:sz w:val="16"/>
                <w:szCs w:val="16"/>
              </w:rPr>
            </w:pPr>
            <w:r>
              <w:rPr>
                <w:rFonts w:ascii="Calibri" w:hAnsi="Calibri" w:cs="Calibri"/>
                <w:color w:val="000000"/>
                <w:sz w:val="16"/>
                <w:szCs w:val="16"/>
              </w:rPr>
              <w:t xml:space="preserve">      51402.198131/2018-63</w:t>
            </w:r>
          </w:p>
        </w:tc>
        <w:tc>
          <w:tcPr>
            <w:tcW w:w="1042" w:type="pct"/>
            <w:tcBorders>
              <w:top w:val="nil"/>
              <w:left w:val="nil"/>
              <w:bottom w:val="single" w:sz="8" w:space="0" w:color="auto"/>
              <w:right w:val="nil"/>
            </w:tcBorders>
            <w:shd w:val="clear" w:color="auto" w:fill="auto"/>
            <w:vAlign w:val="center"/>
            <w:hideMark/>
          </w:tcPr>
          <w:p w14:paraId="2C403887" w14:textId="77777777" w:rsidR="00B02177" w:rsidRDefault="00B02177">
            <w:pPr>
              <w:jc w:val="right"/>
              <w:rPr>
                <w:rFonts w:ascii="Calibri" w:hAnsi="Calibri" w:cs="Calibri"/>
                <w:color w:val="000000"/>
                <w:sz w:val="16"/>
                <w:szCs w:val="16"/>
              </w:rPr>
            </w:pPr>
            <w:r>
              <w:rPr>
                <w:rFonts w:ascii="Calibri" w:hAnsi="Calibri" w:cs="Calibri"/>
                <w:color w:val="000000"/>
                <w:sz w:val="16"/>
                <w:szCs w:val="16"/>
              </w:rPr>
              <w:t>1041194-16.2019.4.01.3400</w:t>
            </w:r>
          </w:p>
        </w:tc>
        <w:tc>
          <w:tcPr>
            <w:tcW w:w="465" w:type="pct"/>
            <w:tcBorders>
              <w:top w:val="nil"/>
              <w:left w:val="nil"/>
              <w:bottom w:val="single" w:sz="8" w:space="0" w:color="auto"/>
              <w:right w:val="nil"/>
            </w:tcBorders>
            <w:shd w:val="clear" w:color="auto" w:fill="auto"/>
            <w:noWrap/>
            <w:vAlign w:val="center"/>
            <w:hideMark/>
          </w:tcPr>
          <w:p w14:paraId="36C54D1D" w14:textId="4265761F" w:rsidR="00B02177" w:rsidRDefault="00B02177">
            <w:pPr>
              <w:jc w:val="right"/>
              <w:rPr>
                <w:rFonts w:ascii="Calibri" w:hAnsi="Calibri" w:cs="Calibri"/>
                <w:color w:val="000000"/>
                <w:sz w:val="16"/>
                <w:szCs w:val="16"/>
              </w:rPr>
            </w:pPr>
            <w:r>
              <w:rPr>
                <w:rFonts w:ascii="Calibri" w:hAnsi="Calibri" w:cs="Calibri"/>
                <w:color w:val="000000"/>
                <w:sz w:val="16"/>
                <w:szCs w:val="16"/>
              </w:rPr>
              <w:t>(2.465.411)</w:t>
            </w:r>
          </w:p>
        </w:tc>
        <w:tc>
          <w:tcPr>
            <w:tcW w:w="70" w:type="pct"/>
            <w:vAlign w:val="center"/>
            <w:hideMark/>
          </w:tcPr>
          <w:p w14:paraId="4A2C229B" w14:textId="77777777" w:rsidR="00B02177" w:rsidRDefault="00B02177">
            <w:pPr>
              <w:rPr>
                <w:sz w:val="20"/>
                <w:szCs w:val="20"/>
              </w:rPr>
            </w:pPr>
          </w:p>
        </w:tc>
      </w:tr>
      <w:tr w:rsidR="00B02177" w14:paraId="15C5728D" w14:textId="77777777" w:rsidTr="00A955D3">
        <w:trPr>
          <w:trHeight w:hRule="exact" w:val="315"/>
        </w:trPr>
        <w:tc>
          <w:tcPr>
            <w:tcW w:w="1984" w:type="pct"/>
            <w:tcBorders>
              <w:top w:val="nil"/>
              <w:left w:val="nil"/>
              <w:bottom w:val="single" w:sz="8" w:space="0" w:color="auto"/>
              <w:right w:val="nil"/>
            </w:tcBorders>
            <w:shd w:val="clear" w:color="auto" w:fill="auto"/>
            <w:noWrap/>
            <w:vAlign w:val="center"/>
            <w:hideMark/>
          </w:tcPr>
          <w:p w14:paraId="04FA160C" w14:textId="7F80D630" w:rsidR="00B02177" w:rsidRDefault="00B02177">
            <w:pPr>
              <w:rPr>
                <w:rFonts w:ascii="Calibri" w:hAnsi="Calibri" w:cs="Calibri"/>
                <w:b/>
                <w:bCs/>
                <w:color w:val="000000"/>
                <w:sz w:val="16"/>
                <w:szCs w:val="16"/>
              </w:rPr>
            </w:pPr>
            <w:r>
              <w:rPr>
                <w:rFonts w:ascii="Calibri" w:hAnsi="Calibri" w:cs="Calibri"/>
                <w:b/>
                <w:bCs/>
                <w:color w:val="000000"/>
                <w:sz w:val="16"/>
                <w:szCs w:val="16"/>
              </w:rPr>
              <w:t>TOTAL LÍQUIDO DOS CRÉDITOS A RECEBER em 3</w:t>
            </w:r>
            <w:r w:rsidR="00A955D3">
              <w:rPr>
                <w:rFonts w:ascii="Calibri" w:hAnsi="Calibri" w:cs="Calibri"/>
                <w:b/>
                <w:bCs/>
                <w:color w:val="000000"/>
                <w:sz w:val="16"/>
                <w:szCs w:val="16"/>
              </w:rPr>
              <w:t>0</w:t>
            </w:r>
            <w:r>
              <w:rPr>
                <w:rFonts w:ascii="Calibri" w:hAnsi="Calibri" w:cs="Calibri"/>
                <w:b/>
                <w:bCs/>
                <w:color w:val="000000"/>
                <w:sz w:val="16"/>
                <w:szCs w:val="16"/>
              </w:rPr>
              <w:t>/</w:t>
            </w:r>
            <w:r w:rsidR="00066B19">
              <w:rPr>
                <w:rFonts w:ascii="Calibri" w:hAnsi="Calibri" w:cs="Calibri"/>
                <w:b/>
                <w:bCs/>
                <w:color w:val="000000"/>
                <w:sz w:val="16"/>
                <w:szCs w:val="16"/>
              </w:rPr>
              <w:t>0</w:t>
            </w:r>
            <w:r w:rsidR="00A955D3">
              <w:rPr>
                <w:rFonts w:ascii="Calibri" w:hAnsi="Calibri" w:cs="Calibri"/>
                <w:b/>
                <w:bCs/>
                <w:color w:val="000000"/>
                <w:sz w:val="16"/>
                <w:szCs w:val="16"/>
              </w:rPr>
              <w:t>6</w:t>
            </w:r>
            <w:r>
              <w:rPr>
                <w:rFonts w:ascii="Calibri" w:hAnsi="Calibri" w:cs="Calibri"/>
                <w:b/>
                <w:bCs/>
                <w:color w:val="000000"/>
                <w:sz w:val="16"/>
                <w:szCs w:val="16"/>
              </w:rPr>
              <w:t>/202</w:t>
            </w:r>
            <w:r w:rsidR="00066B19">
              <w:rPr>
                <w:rFonts w:ascii="Calibri" w:hAnsi="Calibri" w:cs="Calibri"/>
                <w:b/>
                <w:bCs/>
                <w:color w:val="000000"/>
                <w:sz w:val="16"/>
                <w:szCs w:val="16"/>
              </w:rPr>
              <w:t>2</w:t>
            </w:r>
          </w:p>
        </w:tc>
        <w:tc>
          <w:tcPr>
            <w:tcW w:w="2481" w:type="pct"/>
            <w:gridSpan w:val="3"/>
            <w:tcBorders>
              <w:top w:val="single" w:sz="8" w:space="0" w:color="auto"/>
              <w:left w:val="nil"/>
              <w:bottom w:val="single" w:sz="8" w:space="0" w:color="auto"/>
              <w:right w:val="nil"/>
            </w:tcBorders>
            <w:shd w:val="clear" w:color="auto" w:fill="auto"/>
            <w:noWrap/>
            <w:vAlign w:val="center"/>
            <w:hideMark/>
          </w:tcPr>
          <w:p w14:paraId="092C6CC1" w14:textId="77777777" w:rsidR="00B02177" w:rsidRDefault="00B02177">
            <w:pPr>
              <w:jc w:val="center"/>
              <w:rPr>
                <w:rFonts w:ascii="Calibri" w:hAnsi="Calibri" w:cs="Calibri"/>
                <w:b/>
                <w:bCs/>
                <w:color w:val="000000"/>
                <w:sz w:val="16"/>
                <w:szCs w:val="16"/>
              </w:rPr>
            </w:pPr>
            <w:r>
              <w:rPr>
                <w:rFonts w:ascii="Calibri" w:hAnsi="Calibri" w:cs="Calibri"/>
                <w:b/>
                <w:bCs/>
                <w:color w:val="000000"/>
                <w:sz w:val="16"/>
                <w:szCs w:val="16"/>
              </w:rPr>
              <w:t> </w:t>
            </w:r>
          </w:p>
        </w:tc>
        <w:tc>
          <w:tcPr>
            <w:tcW w:w="465" w:type="pct"/>
            <w:tcBorders>
              <w:top w:val="nil"/>
              <w:left w:val="nil"/>
              <w:bottom w:val="single" w:sz="8" w:space="0" w:color="auto"/>
              <w:right w:val="nil"/>
            </w:tcBorders>
            <w:shd w:val="clear" w:color="auto" w:fill="auto"/>
            <w:noWrap/>
            <w:vAlign w:val="center"/>
            <w:hideMark/>
          </w:tcPr>
          <w:p w14:paraId="0854E9E7" w14:textId="77777777" w:rsidR="00B02177" w:rsidRDefault="00B02177">
            <w:pPr>
              <w:jc w:val="right"/>
              <w:rPr>
                <w:rFonts w:ascii="Calibri" w:hAnsi="Calibri" w:cs="Calibri"/>
                <w:b/>
                <w:bCs/>
                <w:color w:val="000000"/>
                <w:sz w:val="16"/>
                <w:szCs w:val="16"/>
              </w:rPr>
            </w:pPr>
            <w:r>
              <w:rPr>
                <w:rFonts w:ascii="Calibri" w:hAnsi="Calibri" w:cs="Calibri"/>
                <w:b/>
                <w:bCs/>
                <w:color w:val="000000"/>
                <w:sz w:val="16"/>
                <w:szCs w:val="16"/>
              </w:rPr>
              <w:t>34.308</w:t>
            </w:r>
          </w:p>
        </w:tc>
        <w:tc>
          <w:tcPr>
            <w:tcW w:w="70" w:type="pct"/>
            <w:vAlign w:val="center"/>
            <w:hideMark/>
          </w:tcPr>
          <w:p w14:paraId="3C9E08D4" w14:textId="77777777" w:rsidR="00B02177" w:rsidRDefault="00B02177">
            <w:pPr>
              <w:rPr>
                <w:sz w:val="20"/>
                <w:szCs w:val="20"/>
              </w:rPr>
            </w:pPr>
          </w:p>
        </w:tc>
      </w:tr>
    </w:tbl>
    <w:p w14:paraId="1C29E0B4" w14:textId="77777777" w:rsidR="00B8193C" w:rsidRPr="008D21F0" w:rsidRDefault="00B02177" w:rsidP="0071112C">
      <w:pPr>
        <w:spacing w:before="120" w:after="120"/>
        <w:jc w:val="both"/>
        <w:rPr>
          <w:rFonts w:ascii="Calibri" w:hAnsi="Calibri" w:cs="Calibri"/>
          <w:sz w:val="22"/>
          <w:szCs w:val="22"/>
        </w:rPr>
      </w:pPr>
      <w:r w:rsidRPr="008D21F0">
        <w:rPr>
          <w:rFonts w:ascii="Calibri" w:hAnsi="Calibri" w:cs="Calibri"/>
          <w:sz w:val="22"/>
          <w:szCs w:val="22"/>
        </w:rPr>
        <w:t xml:space="preserve">O critério de avaliação para ajustes para perdas com crédito de liquidação duvidosa foi a judicialização dos processos, os quais passaram a ser tratados como ativos contingenciais que se encontram </w:t>
      </w:r>
      <w:r w:rsidR="00B8193C" w:rsidRPr="008D21F0">
        <w:rPr>
          <w:rFonts w:ascii="Calibri" w:hAnsi="Calibri" w:cs="Calibri"/>
          <w:sz w:val="22"/>
          <w:szCs w:val="22"/>
        </w:rPr>
        <w:t>classificados pela Procuradoria Jurídica como chances de possível êxito</w:t>
      </w:r>
      <w:r w:rsidRPr="008D21F0">
        <w:rPr>
          <w:rFonts w:ascii="Calibri" w:hAnsi="Calibri" w:cs="Calibri"/>
          <w:sz w:val="22"/>
          <w:szCs w:val="22"/>
        </w:rPr>
        <w:t xml:space="preserve">. </w:t>
      </w:r>
    </w:p>
    <w:p w14:paraId="3DBE5488" w14:textId="0F90CDF4" w:rsidR="002A17DE" w:rsidRDefault="00B02177" w:rsidP="00B02177">
      <w:pPr>
        <w:spacing w:after="120"/>
        <w:jc w:val="both"/>
        <w:rPr>
          <w:rFonts w:ascii="Calibri" w:hAnsi="Calibri" w:cs="Calibri"/>
          <w:sz w:val="22"/>
          <w:szCs w:val="22"/>
        </w:rPr>
      </w:pPr>
      <w:r w:rsidRPr="008D21F0">
        <w:rPr>
          <w:rFonts w:ascii="Calibri" w:hAnsi="Calibri" w:cs="Calibri"/>
          <w:sz w:val="22"/>
          <w:szCs w:val="22"/>
        </w:rPr>
        <w:t>A</w:t>
      </w:r>
      <w:r w:rsidR="00A000CB" w:rsidRPr="008D21F0">
        <w:rPr>
          <w:rFonts w:ascii="Calibri" w:hAnsi="Calibri" w:cs="Calibri"/>
          <w:sz w:val="22"/>
          <w:szCs w:val="22"/>
        </w:rPr>
        <w:t>pós a judicialização dos processos de cobranças, foram efetuados</w:t>
      </w:r>
      <w:r w:rsidR="00910A0A" w:rsidRPr="008D21F0">
        <w:rPr>
          <w:rFonts w:ascii="Calibri" w:hAnsi="Calibri" w:cs="Calibri"/>
          <w:sz w:val="22"/>
          <w:szCs w:val="22"/>
        </w:rPr>
        <w:t xml:space="preserve"> ajustes</w:t>
      </w:r>
      <w:r w:rsidR="00A000CB" w:rsidRPr="008D21F0">
        <w:rPr>
          <w:rFonts w:ascii="Calibri" w:hAnsi="Calibri" w:cs="Calibri"/>
          <w:sz w:val="22"/>
          <w:szCs w:val="22"/>
        </w:rPr>
        <w:t xml:space="preserve"> no</w:t>
      </w:r>
      <w:r w:rsidR="0032609E" w:rsidRPr="008D21F0">
        <w:rPr>
          <w:rFonts w:ascii="Calibri" w:hAnsi="Calibri" w:cs="Calibri"/>
          <w:sz w:val="22"/>
          <w:szCs w:val="22"/>
        </w:rPr>
        <w:t xml:space="preserve"> valor</w:t>
      </w:r>
      <w:r w:rsidR="00A000CB" w:rsidRPr="008D21F0">
        <w:rPr>
          <w:rFonts w:ascii="Calibri" w:hAnsi="Calibri" w:cs="Calibri"/>
          <w:sz w:val="22"/>
          <w:szCs w:val="22"/>
        </w:rPr>
        <w:t xml:space="preserve"> total de R$ </w:t>
      </w:r>
      <w:r w:rsidR="00F7773E" w:rsidRPr="008D21F0">
        <w:rPr>
          <w:rFonts w:ascii="Calibri" w:hAnsi="Calibri" w:cs="Calibri"/>
          <w:sz w:val="22"/>
          <w:szCs w:val="22"/>
        </w:rPr>
        <w:t>12</w:t>
      </w:r>
      <w:r w:rsidR="00D219D5">
        <w:rPr>
          <w:rFonts w:ascii="Calibri" w:hAnsi="Calibri" w:cs="Calibri"/>
          <w:sz w:val="22"/>
          <w:szCs w:val="22"/>
        </w:rPr>
        <w:t>,38</w:t>
      </w:r>
      <w:r w:rsidR="00B23D01" w:rsidRPr="008D21F0">
        <w:rPr>
          <w:rFonts w:ascii="Calibri" w:hAnsi="Calibri" w:cs="Calibri"/>
          <w:sz w:val="22"/>
          <w:szCs w:val="22"/>
        </w:rPr>
        <w:t xml:space="preserve"> milhões</w:t>
      </w:r>
      <w:r w:rsidR="00A000CB" w:rsidRPr="008D21F0">
        <w:rPr>
          <w:rFonts w:ascii="Calibri" w:hAnsi="Calibri" w:cs="Calibri"/>
          <w:sz w:val="22"/>
          <w:szCs w:val="22"/>
        </w:rPr>
        <w:t>.</w:t>
      </w:r>
    </w:p>
    <w:p w14:paraId="0E3A2815" w14:textId="713776EA" w:rsidR="002A17DE" w:rsidRPr="002E2B5B" w:rsidRDefault="002A17DE" w:rsidP="002A17DE">
      <w:pPr>
        <w:spacing w:after="120"/>
        <w:jc w:val="both"/>
        <w:rPr>
          <w:rFonts w:ascii="Calibri" w:hAnsi="Calibri" w:cs="Calibri"/>
          <w:b/>
          <w:sz w:val="22"/>
          <w:szCs w:val="22"/>
        </w:rPr>
      </w:pPr>
      <w:r w:rsidRPr="002E2B5B">
        <w:rPr>
          <w:rFonts w:ascii="Calibri" w:hAnsi="Calibri" w:cs="Calibri"/>
          <w:b/>
          <w:sz w:val="22"/>
          <w:szCs w:val="22"/>
        </w:rPr>
        <w:t>c.</w:t>
      </w:r>
      <w:r>
        <w:rPr>
          <w:rFonts w:ascii="Calibri" w:hAnsi="Calibri" w:cs="Calibri"/>
          <w:b/>
          <w:sz w:val="22"/>
          <w:szCs w:val="22"/>
        </w:rPr>
        <w:t>3</w:t>
      </w:r>
      <w:r w:rsidRPr="002E2B5B">
        <w:rPr>
          <w:rFonts w:ascii="Calibri" w:hAnsi="Calibri" w:cs="Calibri"/>
          <w:b/>
          <w:sz w:val="22"/>
          <w:szCs w:val="22"/>
        </w:rPr>
        <w:t>)</w:t>
      </w:r>
      <w:r w:rsidRPr="002E2B5B">
        <w:rPr>
          <w:rFonts w:ascii="Calibri" w:hAnsi="Calibri" w:cs="Calibri"/>
          <w:sz w:val="22"/>
          <w:szCs w:val="22"/>
        </w:rPr>
        <w:t xml:space="preserve"> </w:t>
      </w:r>
      <w:r w:rsidRPr="002E2B5B">
        <w:rPr>
          <w:rFonts w:ascii="Calibri" w:hAnsi="Calibri" w:cs="Calibri"/>
          <w:b/>
          <w:sz w:val="22"/>
          <w:szCs w:val="22"/>
        </w:rPr>
        <w:t xml:space="preserve">Créditos </w:t>
      </w:r>
      <w:r>
        <w:rPr>
          <w:rFonts w:ascii="Calibri" w:hAnsi="Calibri" w:cs="Calibri"/>
          <w:b/>
          <w:sz w:val="22"/>
          <w:szCs w:val="22"/>
        </w:rPr>
        <w:t>Salário Maternidade</w:t>
      </w:r>
    </w:p>
    <w:p w14:paraId="62033E9C" w14:textId="2681F8AD" w:rsidR="002A17DE" w:rsidRPr="002E2B5B" w:rsidRDefault="002A17DE" w:rsidP="000B3A75">
      <w:pPr>
        <w:spacing w:before="120" w:after="120"/>
        <w:jc w:val="both"/>
        <w:rPr>
          <w:rFonts w:ascii="Calibri" w:hAnsi="Calibri" w:cs="Calibri"/>
          <w:sz w:val="22"/>
          <w:szCs w:val="22"/>
        </w:rPr>
      </w:pPr>
      <w:r>
        <w:rPr>
          <w:rFonts w:ascii="Calibri" w:hAnsi="Calibri" w:cs="Calibri"/>
          <w:sz w:val="22"/>
          <w:szCs w:val="22"/>
        </w:rPr>
        <w:t>O valor de R</w:t>
      </w:r>
      <w:r w:rsidR="00066B19">
        <w:rPr>
          <w:rFonts w:ascii="Calibri" w:hAnsi="Calibri" w:cs="Calibri"/>
          <w:sz w:val="22"/>
          <w:szCs w:val="22"/>
        </w:rPr>
        <w:t>$</w:t>
      </w:r>
      <w:r>
        <w:rPr>
          <w:rFonts w:ascii="Calibri" w:hAnsi="Calibri" w:cs="Calibri"/>
          <w:sz w:val="22"/>
          <w:szCs w:val="22"/>
        </w:rPr>
        <w:t xml:space="preserve"> </w:t>
      </w:r>
      <w:r w:rsidR="00A955D3">
        <w:rPr>
          <w:rFonts w:ascii="Calibri" w:hAnsi="Calibri" w:cs="Calibri"/>
          <w:sz w:val="22"/>
          <w:szCs w:val="22"/>
        </w:rPr>
        <w:t>73</w:t>
      </w:r>
      <w:r>
        <w:rPr>
          <w:rFonts w:ascii="Calibri" w:hAnsi="Calibri" w:cs="Calibri"/>
          <w:sz w:val="22"/>
          <w:szCs w:val="22"/>
        </w:rPr>
        <w:t xml:space="preserve"> mil refere-se ao crédito de salário maternidade a compensar sobre a guia de INSS sobre a folha de pagamentos de </w:t>
      </w:r>
      <w:r w:rsidR="00A955D3">
        <w:rPr>
          <w:rFonts w:ascii="Calibri" w:hAnsi="Calibri" w:cs="Calibri"/>
          <w:sz w:val="22"/>
          <w:szCs w:val="22"/>
        </w:rPr>
        <w:t>junh</w:t>
      </w:r>
      <w:r w:rsidR="00F67E06">
        <w:rPr>
          <w:rFonts w:ascii="Calibri" w:hAnsi="Calibri" w:cs="Calibri"/>
          <w:sz w:val="22"/>
          <w:szCs w:val="22"/>
        </w:rPr>
        <w:t>o de 2022</w:t>
      </w:r>
      <w:r>
        <w:rPr>
          <w:rFonts w:ascii="Calibri" w:hAnsi="Calibri" w:cs="Calibri"/>
          <w:sz w:val="22"/>
          <w:szCs w:val="22"/>
        </w:rPr>
        <w:t>.</w:t>
      </w:r>
    </w:p>
    <w:p w14:paraId="2623217C" w14:textId="26A63E5F" w:rsidR="009C6473" w:rsidRPr="002E2B5B" w:rsidRDefault="00D22F5E" w:rsidP="00937ED9">
      <w:pPr>
        <w:spacing w:after="120"/>
        <w:jc w:val="both"/>
        <w:rPr>
          <w:rFonts w:ascii="Calibri" w:hAnsi="Calibri" w:cs="Calibri"/>
          <w:b/>
          <w:sz w:val="22"/>
          <w:szCs w:val="22"/>
        </w:rPr>
      </w:pPr>
      <w:r w:rsidRPr="002E2B5B">
        <w:rPr>
          <w:rFonts w:ascii="Calibri" w:hAnsi="Calibri" w:cs="Calibri"/>
          <w:b/>
          <w:bCs/>
          <w:sz w:val="22"/>
          <w:szCs w:val="22"/>
        </w:rPr>
        <w:t xml:space="preserve">NOTA </w:t>
      </w:r>
      <w:r w:rsidR="00BB1EC8">
        <w:rPr>
          <w:rFonts w:ascii="Calibri" w:hAnsi="Calibri" w:cs="Calibri"/>
          <w:b/>
          <w:bCs/>
          <w:sz w:val="22"/>
          <w:szCs w:val="22"/>
        </w:rPr>
        <w:t>5</w:t>
      </w:r>
      <w:r w:rsidR="00E957DE" w:rsidRPr="002E2B5B">
        <w:rPr>
          <w:rFonts w:ascii="Calibri" w:hAnsi="Calibri" w:cs="Calibri"/>
          <w:b/>
          <w:bCs/>
          <w:sz w:val="22"/>
          <w:szCs w:val="22"/>
        </w:rPr>
        <w:t xml:space="preserve"> </w:t>
      </w:r>
      <w:r w:rsidR="007D7BA1" w:rsidRPr="002E2B5B">
        <w:rPr>
          <w:rFonts w:ascii="Calibri" w:hAnsi="Calibri" w:cs="Calibri"/>
          <w:b/>
          <w:bCs/>
          <w:sz w:val="22"/>
          <w:szCs w:val="22"/>
        </w:rPr>
        <w:t>- REALIZÁVEL A LONGO PRAZO</w:t>
      </w:r>
      <w:r w:rsidR="0055378D" w:rsidRPr="002E2B5B">
        <w:rPr>
          <w:rFonts w:ascii="Calibri" w:hAnsi="Calibri" w:cs="Calibri"/>
          <w:b/>
          <w:bCs/>
          <w:sz w:val="22"/>
          <w:szCs w:val="22"/>
        </w:rPr>
        <w:t xml:space="preserve"> </w:t>
      </w:r>
    </w:p>
    <w:p w14:paraId="1D30B40C" w14:textId="77777777" w:rsidR="0008330B" w:rsidRPr="002E2B5B" w:rsidRDefault="00660339" w:rsidP="00937ED9">
      <w:pPr>
        <w:numPr>
          <w:ilvl w:val="0"/>
          <w:numId w:val="6"/>
        </w:numPr>
        <w:spacing w:after="120"/>
        <w:ind w:left="284" w:hanging="284"/>
        <w:rPr>
          <w:rFonts w:ascii="Calibri" w:hAnsi="Calibri" w:cs="Calibri"/>
          <w:b/>
          <w:sz w:val="22"/>
          <w:szCs w:val="22"/>
        </w:rPr>
      </w:pPr>
      <w:r w:rsidRPr="002E2B5B">
        <w:rPr>
          <w:rFonts w:ascii="Calibri" w:hAnsi="Calibri" w:cs="Calibri"/>
          <w:b/>
          <w:sz w:val="22"/>
          <w:szCs w:val="22"/>
        </w:rPr>
        <w:t>Depósitos de Cauções</w:t>
      </w:r>
    </w:p>
    <w:tbl>
      <w:tblPr>
        <w:tblW w:w="5000" w:type="pct"/>
        <w:tblCellMar>
          <w:left w:w="70" w:type="dxa"/>
          <w:right w:w="70" w:type="dxa"/>
        </w:tblCellMar>
        <w:tblLook w:val="04A0" w:firstRow="1" w:lastRow="0" w:firstColumn="1" w:lastColumn="0" w:noHBand="0" w:noVBand="1"/>
      </w:tblPr>
      <w:tblGrid>
        <w:gridCol w:w="1495"/>
        <w:gridCol w:w="1495"/>
        <w:gridCol w:w="1497"/>
        <w:gridCol w:w="1191"/>
        <w:gridCol w:w="1597"/>
        <w:gridCol w:w="1597"/>
        <w:gridCol w:w="1595"/>
      </w:tblGrid>
      <w:tr w:rsidR="00112A99" w:rsidRPr="002E2B5B" w14:paraId="29892185" w14:textId="77777777" w:rsidTr="00112A99">
        <w:trPr>
          <w:trHeight w:val="315"/>
        </w:trPr>
        <w:tc>
          <w:tcPr>
            <w:tcW w:w="2143" w:type="pct"/>
            <w:gridSpan w:val="3"/>
            <w:tcBorders>
              <w:top w:val="nil"/>
              <w:left w:val="nil"/>
              <w:bottom w:val="single" w:sz="8" w:space="0" w:color="auto"/>
              <w:right w:val="nil"/>
            </w:tcBorders>
            <w:shd w:val="clear" w:color="auto" w:fill="auto"/>
            <w:noWrap/>
            <w:vAlign w:val="center"/>
            <w:hideMark/>
          </w:tcPr>
          <w:p w14:paraId="2F2CABA1" w14:textId="77777777" w:rsidR="00112A99" w:rsidRPr="002E2B5B" w:rsidRDefault="00112A99" w:rsidP="00937ED9">
            <w:pPr>
              <w:spacing w:after="120"/>
              <w:rPr>
                <w:rFonts w:ascii="Calibri" w:hAnsi="Calibri" w:cs="Calibri"/>
                <w:b/>
                <w:bCs/>
                <w:color w:val="000000"/>
                <w:sz w:val="16"/>
                <w:szCs w:val="16"/>
              </w:rPr>
            </w:pPr>
            <w:r w:rsidRPr="002E2B5B">
              <w:rPr>
                <w:rFonts w:ascii="Calibri" w:hAnsi="Calibri" w:cs="Calibri"/>
                <w:b/>
                <w:bCs/>
                <w:color w:val="000000"/>
                <w:sz w:val="16"/>
                <w:szCs w:val="16"/>
              </w:rPr>
              <w:t>DEPÓSITOS DE CAUÇÕES</w:t>
            </w:r>
          </w:p>
        </w:tc>
        <w:tc>
          <w:tcPr>
            <w:tcW w:w="569" w:type="pct"/>
            <w:tcBorders>
              <w:top w:val="nil"/>
              <w:left w:val="nil"/>
              <w:bottom w:val="single" w:sz="8" w:space="0" w:color="auto"/>
              <w:right w:val="nil"/>
            </w:tcBorders>
            <w:shd w:val="clear" w:color="auto" w:fill="auto"/>
            <w:vAlign w:val="center"/>
            <w:hideMark/>
          </w:tcPr>
          <w:p w14:paraId="5FC11654" w14:textId="77777777" w:rsidR="00112A99" w:rsidRPr="002E2B5B" w:rsidRDefault="00112A99" w:rsidP="00937ED9">
            <w:pPr>
              <w:spacing w:after="120"/>
              <w:rPr>
                <w:rFonts w:ascii="Calibri" w:hAnsi="Calibri" w:cs="Calibri"/>
                <w:b/>
                <w:bCs/>
                <w:color w:val="000000"/>
                <w:sz w:val="16"/>
                <w:szCs w:val="16"/>
              </w:rPr>
            </w:pPr>
            <w:r w:rsidRPr="002E2B5B">
              <w:rPr>
                <w:rFonts w:ascii="Calibri" w:hAnsi="Calibri" w:cs="Calibri"/>
                <w:b/>
                <w:bCs/>
                <w:color w:val="000000"/>
                <w:sz w:val="16"/>
                <w:szCs w:val="16"/>
              </w:rPr>
              <w:t> </w:t>
            </w:r>
          </w:p>
        </w:tc>
        <w:tc>
          <w:tcPr>
            <w:tcW w:w="763" w:type="pct"/>
            <w:tcBorders>
              <w:top w:val="nil"/>
              <w:left w:val="nil"/>
              <w:bottom w:val="single" w:sz="8" w:space="0" w:color="auto"/>
              <w:right w:val="nil"/>
            </w:tcBorders>
            <w:shd w:val="clear" w:color="auto" w:fill="auto"/>
            <w:noWrap/>
            <w:vAlign w:val="bottom"/>
          </w:tcPr>
          <w:p w14:paraId="0D82825D" w14:textId="77777777" w:rsidR="00112A99" w:rsidRPr="002E2B5B" w:rsidRDefault="00112A99" w:rsidP="00937ED9">
            <w:pPr>
              <w:spacing w:after="120"/>
              <w:jc w:val="right"/>
              <w:rPr>
                <w:rFonts w:ascii="Calibri" w:hAnsi="Calibri" w:cs="Calibri"/>
                <w:b/>
                <w:bCs/>
                <w:color w:val="000000"/>
                <w:sz w:val="16"/>
                <w:szCs w:val="16"/>
              </w:rPr>
            </w:pPr>
          </w:p>
        </w:tc>
        <w:tc>
          <w:tcPr>
            <w:tcW w:w="763" w:type="pct"/>
            <w:tcBorders>
              <w:top w:val="nil"/>
              <w:left w:val="nil"/>
              <w:bottom w:val="single" w:sz="8" w:space="0" w:color="auto"/>
              <w:right w:val="nil"/>
            </w:tcBorders>
            <w:shd w:val="clear" w:color="auto" w:fill="auto"/>
            <w:noWrap/>
            <w:vAlign w:val="bottom"/>
            <w:hideMark/>
          </w:tcPr>
          <w:p w14:paraId="62CFE833" w14:textId="79151849" w:rsidR="00112A99" w:rsidRPr="002E2B5B" w:rsidRDefault="00FB23F1" w:rsidP="00937ED9">
            <w:pPr>
              <w:spacing w:after="120"/>
              <w:jc w:val="right"/>
              <w:rPr>
                <w:rFonts w:ascii="Calibri" w:hAnsi="Calibri" w:cs="Calibri"/>
                <w:b/>
                <w:bCs/>
                <w:color w:val="000000"/>
                <w:sz w:val="16"/>
                <w:szCs w:val="16"/>
              </w:rPr>
            </w:pPr>
            <w:r>
              <w:rPr>
                <w:rFonts w:ascii="Calibri" w:hAnsi="Calibri" w:cs="Calibri"/>
                <w:b/>
                <w:bCs/>
                <w:color w:val="000000"/>
                <w:sz w:val="16"/>
                <w:szCs w:val="16"/>
              </w:rPr>
              <w:t>3</w:t>
            </w:r>
            <w:r w:rsidR="00304B12">
              <w:rPr>
                <w:rFonts w:ascii="Calibri" w:hAnsi="Calibri" w:cs="Calibri"/>
                <w:b/>
                <w:bCs/>
                <w:color w:val="000000"/>
                <w:sz w:val="16"/>
                <w:szCs w:val="16"/>
              </w:rPr>
              <w:t>0</w:t>
            </w:r>
            <w:r>
              <w:rPr>
                <w:rFonts w:ascii="Calibri" w:hAnsi="Calibri" w:cs="Calibri"/>
                <w:b/>
                <w:bCs/>
                <w:color w:val="000000"/>
                <w:sz w:val="16"/>
                <w:szCs w:val="16"/>
              </w:rPr>
              <w:t>/</w:t>
            </w:r>
            <w:r w:rsidR="00575261">
              <w:rPr>
                <w:rFonts w:ascii="Calibri" w:hAnsi="Calibri" w:cs="Calibri"/>
                <w:b/>
                <w:bCs/>
                <w:color w:val="000000"/>
                <w:sz w:val="16"/>
                <w:szCs w:val="16"/>
              </w:rPr>
              <w:t>0</w:t>
            </w:r>
            <w:r w:rsidR="00304B12">
              <w:rPr>
                <w:rFonts w:ascii="Calibri" w:hAnsi="Calibri" w:cs="Calibri"/>
                <w:b/>
                <w:bCs/>
                <w:color w:val="000000"/>
                <w:sz w:val="16"/>
                <w:szCs w:val="16"/>
              </w:rPr>
              <w:t>6</w:t>
            </w:r>
            <w:r w:rsidR="00973582">
              <w:rPr>
                <w:rFonts w:ascii="Calibri" w:hAnsi="Calibri" w:cs="Calibri"/>
                <w:b/>
                <w:bCs/>
                <w:color w:val="000000"/>
                <w:sz w:val="16"/>
                <w:szCs w:val="16"/>
              </w:rPr>
              <w:t>/</w:t>
            </w:r>
            <w:r w:rsidR="00112A99" w:rsidRPr="002E2B5B">
              <w:rPr>
                <w:rFonts w:ascii="Calibri" w:hAnsi="Calibri" w:cs="Calibri"/>
                <w:b/>
                <w:bCs/>
                <w:color w:val="000000"/>
                <w:sz w:val="16"/>
                <w:szCs w:val="16"/>
              </w:rPr>
              <w:t>202</w:t>
            </w:r>
            <w:r w:rsidR="00575261">
              <w:rPr>
                <w:rFonts w:ascii="Calibri" w:hAnsi="Calibri" w:cs="Calibri"/>
                <w:b/>
                <w:bCs/>
                <w:color w:val="000000"/>
                <w:sz w:val="16"/>
                <w:szCs w:val="16"/>
              </w:rPr>
              <w:t>2</w:t>
            </w:r>
          </w:p>
        </w:tc>
        <w:tc>
          <w:tcPr>
            <w:tcW w:w="762" w:type="pct"/>
            <w:tcBorders>
              <w:top w:val="nil"/>
              <w:left w:val="nil"/>
              <w:bottom w:val="single" w:sz="8" w:space="0" w:color="auto"/>
              <w:right w:val="nil"/>
            </w:tcBorders>
            <w:shd w:val="clear" w:color="auto" w:fill="auto"/>
            <w:noWrap/>
            <w:vAlign w:val="bottom"/>
          </w:tcPr>
          <w:p w14:paraId="5D0BD221" w14:textId="3F66B696" w:rsidR="00112A99" w:rsidRPr="002E2B5B" w:rsidRDefault="00112A99" w:rsidP="00937ED9">
            <w:pPr>
              <w:spacing w:after="120"/>
              <w:jc w:val="right"/>
              <w:rPr>
                <w:rFonts w:ascii="Calibri" w:hAnsi="Calibri" w:cs="Calibri"/>
                <w:b/>
                <w:bCs/>
                <w:color w:val="000000"/>
                <w:sz w:val="16"/>
                <w:szCs w:val="16"/>
              </w:rPr>
            </w:pPr>
            <w:r w:rsidRPr="002E2B5B">
              <w:rPr>
                <w:rFonts w:ascii="Calibri" w:hAnsi="Calibri" w:cs="Calibri"/>
                <w:b/>
                <w:bCs/>
                <w:color w:val="000000"/>
                <w:sz w:val="16"/>
                <w:szCs w:val="16"/>
              </w:rPr>
              <w:t>31/12/20</w:t>
            </w:r>
            <w:r w:rsidR="00973582">
              <w:rPr>
                <w:rFonts w:ascii="Calibri" w:hAnsi="Calibri" w:cs="Calibri"/>
                <w:b/>
                <w:bCs/>
                <w:color w:val="000000"/>
                <w:sz w:val="16"/>
                <w:szCs w:val="16"/>
              </w:rPr>
              <w:t>2</w:t>
            </w:r>
            <w:r w:rsidR="00575261">
              <w:rPr>
                <w:rFonts w:ascii="Calibri" w:hAnsi="Calibri" w:cs="Calibri"/>
                <w:b/>
                <w:bCs/>
                <w:color w:val="000000"/>
                <w:sz w:val="16"/>
                <w:szCs w:val="16"/>
              </w:rPr>
              <w:t>1</w:t>
            </w:r>
          </w:p>
        </w:tc>
      </w:tr>
      <w:tr w:rsidR="00112A99" w:rsidRPr="002E2B5B" w14:paraId="63BB820B" w14:textId="77777777" w:rsidTr="00112A99">
        <w:trPr>
          <w:trHeight w:val="300"/>
        </w:trPr>
        <w:tc>
          <w:tcPr>
            <w:tcW w:w="2143" w:type="pct"/>
            <w:gridSpan w:val="3"/>
            <w:tcBorders>
              <w:top w:val="nil"/>
              <w:left w:val="nil"/>
              <w:bottom w:val="nil"/>
              <w:right w:val="nil"/>
            </w:tcBorders>
            <w:shd w:val="clear" w:color="auto" w:fill="auto"/>
            <w:noWrap/>
            <w:vAlign w:val="center"/>
            <w:hideMark/>
          </w:tcPr>
          <w:p w14:paraId="0CD7A384" w14:textId="77777777" w:rsidR="00112A99" w:rsidRPr="002E2B5B" w:rsidRDefault="00112A99" w:rsidP="00937ED9">
            <w:pPr>
              <w:spacing w:after="120"/>
              <w:rPr>
                <w:rFonts w:ascii="Calibri" w:hAnsi="Calibri" w:cs="Calibri"/>
                <w:color w:val="000000"/>
                <w:sz w:val="16"/>
                <w:szCs w:val="16"/>
              </w:rPr>
            </w:pPr>
            <w:r w:rsidRPr="002E2B5B">
              <w:rPr>
                <w:rFonts w:ascii="Calibri" w:hAnsi="Calibri" w:cs="Calibri"/>
                <w:color w:val="000000"/>
                <w:sz w:val="16"/>
                <w:szCs w:val="16"/>
              </w:rPr>
              <w:t>Saldo do exercício anterior</w:t>
            </w:r>
          </w:p>
        </w:tc>
        <w:tc>
          <w:tcPr>
            <w:tcW w:w="569" w:type="pct"/>
            <w:tcBorders>
              <w:top w:val="nil"/>
              <w:left w:val="nil"/>
              <w:bottom w:val="nil"/>
              <w:right w:val="nil"/>
            </w:tcBorders>
            <w:shd w:val="clear" w:color="auto" w:fill="auto"/>
            <w:vAlign w:val="center"/>
            <w:hideMark/>
          </w:tcPr>
          <w:p w14:paraId="47A8BB45" w14:textId="77777777" w:rsidR="00112A99" w:rsidRPr="002E2B5B" w:rsidRDefault="00112A99" w:rsidP="00937ED9">
            <w:pPr>
              <w:spacing w:after="120"/>
              <w:rPr>
                <w:rFonts w:ascii="Calibri" w:hAnsi="Calibri" w:cs="Calibri"/>
                <w:color w:val="000000"/>
                <w:sz w:val="16"/>
                <w:szCs w:val="16"/>
              </w:rPr>
            </w:pPr>
          </w:p>
        </w:tc>
        <w:tc>
          <w:tcPr>
            <w:tcW w:w="763" w:type="pct"/>
            <w:tcBorders>
              <w:top w:val="nil"/>
              <w:left w:val="nil"/>
              <w:bottom w:val="nil"/>
              <w:right w:val="nil"/>
            </w:tcBorders>
            <w:shd w:val="clear" w:color="auto" w:fill="auto"/>
            <w:noWrap/>
            <w:vAlign w:val="center"/>
          </w:tcPr>
          <w:p w14:paraId="2F252860" w14:textId="77777777" w:rsidR="00112A99" w:rsidRPr="002E2B5B" w:rsidRDefault="00112A99" w:rsidP="00937ED9">
            <w:pPr>
              <w:spacing w:after="120"/>
              <w:jc w:val="right"/>
              <w:rPr>
                <w:rFonts w:ascii="Calibri" w:hAnsi="Calibri" w:cs="Calibri"/>
                <w:color w:val="000000"/>
                <w:sz w:val="16"/>
                <w:szCs w:val="16"/>
              </w:rPr>
            </w:pPr>
          </w:p>
        </w:tc>
        <w:tc>
          <w:tcPr>
            <w:tcW w:w="763" w:type="pct"/>
            <w:tcBorders>
              <w:top w:val="nil"/>
              <w:left w:val="nil"/>
              <w:bottom w:val="nil"/>
              <w:right w:val="nil"/>
            </w:tcBorders>
            <w:shd w:val="clear" w:color="auto" w:fill="auto"/>
            <w:noWrap/>
            <w:vAlign w:val="center"/>
            <w:hideMark/>
          </w:tcPr>
          <w:p w14:paraId="3F8AAA57" w14:textId="54C67017" w:rsidR="00112A99" w:rsidRPr="002E2B5B" w:rsidRDefault="00575261" w:rsidP="00937ED9">
            <w:pPr>
              <w:spacing w:after="120"/>
              <w:jc w:val="right"/>
              <w:rPr>
                <w:rFonts w:ascii="Calibri" w:hAnsi="Calibri" w:cs="Calibri"/>
                <w:color w:val="000000"/>
                <w:sz w:val="16"/>
                <w:szCs w:val="16"/>
              </w:rPr>
            </w:pPr>
            <w:r>
              <w:rPr>
                <w:rFonts w:ascii="Calibri" w:hAnsi="Calibri" w:cs="Calibri"/>
                <w:color w:val="000000"/>
                <w:sz w:val="16"/>
                <w:szCs w:val="16"/>
              </w:rPr>
              <w:t>257.472</w:t>
            </w:r>
          </w:p>
        </w:tc>
        <w:tc>
          <w:tcPr>
            <w:tcW w:w="762" w:type="pct"/>
            <w:tcBorders>
              <w:top w:val="nil"/>
              <w:left w:val="nil"/>
              <w:bottom w:val="nil"/>
              <w:right w:val="nil"/>
            </w:tcBorders>
            <w:shd w:val="clear" w:color="auto" w:fill="auto"/>
            <w:noWrap/>
            <w:vAlign w:val="center"/>
          </w:tcPr>
          <w:p w14:paraId="45B59FAD" w14:textId="5B26F57B" w:rsidR="00112A99" w:rsidRPr="002E2B5B" w:rsidRDefault="00112A99" w:rsidP="00937ED9">
            <w:pPr>
              <w:spacing w:after="120"/>
              <w:jc w:val="right"/>
              <w:rPr>
                <w:rFonts w:ascii="Calibri" w:hAnsi="Calibri" w:cs="Calibri"/>
                <w:color w:val="000000"/>
                <w:sz w:val="16"/>
                <w:szCs w:val="16"/>
              </w:rPr>
            </w:pPr>
            <w:r w:rsidRPr="002E2B5B">
              <w:rPr>
                <w:rFonts w:ascii="Calibri" w:hAnsi="Calibri" w:cs="Calibri"/>
                <w:color w:val="000000"/>
                <w:sz w:val="16"/>
                <w:szCs w:val="16"/>
              </w:rPr>
              <w:t>233.</w:t>
            </w:r>
            <w:r w:rsidR="00973582">
              <w:rPr>
                <w:rFonts w:ascii="Calibri" w:hAnsi="Calibri" w:cs="Calibri"/>
                <w:color w:val="000000"/>
                <w:sz w:val="16"/>
                <w:szCs w:val="16"/>
              </w:rPr>
              <w:t>338</w:t>
            </w:r>
          </w:p>
        </w:tc>
      </w:tr>
      <w:tr w:rsidR="00112A99" w:rsidRPr="002E2B5B" w14:paraId="5C554CBB" w14:textId="77777777" w:rsidTr="00112A99">
        <w:trPr>
          <w:trHeight w:val="300"/>
        </w:trPr>
        <w:tc>
          <w:tcPr>
            <w:tcW w:w="714" w:type="pct"/>
            <w:tcBorders>
              <w:top w:val="nil"/>
              <w:left w:val="nil"/>
              <w:bottom w:val="nil"/>
              <w:right w:val="nil"/>
            </w:tcBorders>
            <w:shd w:val="clear" w:color="auto" w:fill="auto"/>
            <w:noWrap/>
            <w:vAlign w:val="center"/>
            <w:hideMark/>
          </w:tcPr>
          <w:p w14:paraId="2B78C3CD" w14:textId="77777777" w:rsidR="00112A99" w:rsidRPr="002E2B5B" w:rsidRDefault="00112A99" w:rsidP="00937ED9">
            <w:pPr>
              <w:spacing w:after="120"/>
              <w:rPr>
                <w:rFonts w:ascii="Calibri" w:hAnsi="Calibri" w:cs="Calibri"/>
                <w:color w:val="000000"/>
                <w:sz w:val="16"/>
                <w:szCs w:val="16"/>
              </w:rPr>
            </w:pPr>
            <w:r w:rsidRPr="002E2B5B">
              <w:rPr>
                <w:rFonts w:ascii="Calibri" w:hAnsi="Calibri" w:cs="Calibri"/>
                <w:color w:val="000000"/>
                <w:sz w:val="16"/>
                <w:szCs w:val="16"/>
              </w:rPr>
              <w:lastRenderedPageBreak/>
              <w:t>Ingressos</w:t>
            </w:r>
          </w:p>
        </w:tc>
        <w:tc>
          <w:tcPr>
            <w:tcW w:w="714" w:type="pct"/>
            <w:tcBorders>
              <w:top w:val="nil"/>
              <w:left w:val="nil"/>
              <w:bottom w:val="nil"/>
              <w:right w:val="nil"/>
            </w:tcBorders>
            <w:shd w:val="clear" w:color="auto" w:fill="auto"/>
            <w:noWrap/>
            <w:vAlign w:val="bottom"/>
            <w:hideMark/>
          </w:tcPr>
          <w:p w14:paraId="52FC6736" w14:textId="77777777" w:rsidR="00112A99" w:rsidRPr="002E2B5B" w:rsidRDefault="00112A99" w:rsidP="00937ED9">
            <w:pPr>
              <w:spacing w:after="120"/>
              <w:rPr>
                <w:rFonts w:ascii="Calibri" w:hAnsi="Calibri" w:cs="Calibri"/>
                <w:color w:val="000000"/>
                <w:sz w:val="16"/>
                <w:szCs w:val="16"/>
              </w:rPr>
            </w:pPr>
          </w:p>
        </w:tc>
        <w:tc>
          <w:tcPr>
            <w:tcW w:w="715" w:type="pct"/>
            <w:tcBorders>
              <w:top w:val="nil"/>
              <w:left w:val="nil"/>
              <w:bottom w:val="nil"/>
              <w:right w:val="nil"/>
            </w:tcBorders>
            <w:shd w:val="clear" w:color="auto" w:fill="auto"/>
            <w:noWrap/>
            <w:vAlign w:val="bottom"/>
            <w:hideMark/>
          </w:tcPr>
          <w:p w14:paraId="3810775B" w14:textId="77777777" w:rsidR="00112A99" w:rsidRPr="002E2B5B" w:rsidRDefault="00112A99" w:rsidP="00937ED9">
            <w:pPr>
              <w:spacing w:after="120"/>
              <w:rPr>
                <w:rFonts w:ascii="Calibri" w:hAnsi="Calibri" w:cs="Calibri"/>
                <w:sz w:val="16"/>
                <w:szCs w:val="16"/>
              </w:rPr>
            </w:pPr>
          </w:p>
        </w:tc>
        <w:tc>
          <w:tcPr>
            <w:tcW w:w="569" w:type="pct"/>
            <w:tcBorders>
              <w:top w:val="nil"/>
              <w:left w:val="nil"/>
              <w:bottom w:val="nil"/>
              <w:right w:val="nil"/>
            </w:tcBorders>
            <w:shd w:val="clear" w:color="auto" w:fill="auto"/>
            <w:vAlign w:val="center"/>
            <w:hideMark/>
          </w:tcPr>
          <w:p w14:paraId="6ABFB7BF" w14:textId="77777777" w:rsidR="00112A99" w:rsidRPr="002E2B5B" w:rsidRDefault="00112A99" w:rsidP="00937ED9">
            <w:pPr>
              <w:spacing w:after="120"/>
              <w:rPr>
                <w:rFonts w:ascii="Calibri" w:hAnsi="Calibri" w:cs="Calibri"/>
                <w:sz w:val="16"/>
                <w:szCs w:val="16"/>
              </w:rPr>
            </w:pPr>
          </w:p>
        </w:tc>
        <w:tc>
          <w:tcPr>
            <w:tcW w:w="763" w:type="pct"/>
            <w:tcBorders>
              <w:top w:val="nil"/>
              <w:left w:val="nil"/>
              <w:bottom w:val="nil"/>
              <w:right w:val="nil"/>
            </w:tcBorders>
            <w:shd w:val="clear" w:color="auto" w:fill="auto"/>
            <w:noWrap/>
            <w:vAlign w:val="center"/>
          </w:tcPr>
          <w:p w14:paraId="57F9047C" w14:textId="77777777" w:rsidR="00112A99" w:rsidRPr="002E2B5B" w:rsidRDefault="00112A99" w:rsidP="00937ED9">
            <w:pPr>
              <w:spacing w:after="120"/>
              <w:jc w:val="right"/>
              <w:rPr>
                <w:rFonts w:ascii="Calibri" w:hAnsi="Calibri" w:cs="Calibri"/>
                <w:color w:val="000000"/>
                <w:sz w:val="16"/>
                <w:szCs w:val="16"/>
              </w:rPr>
            </w:pPr>
          </w:p>
        </w:tc>
        <w:tc>
          <w:tcPr>
            <w:tcW w:w="763" w:type="pct"/>
            <w:tcBorders>
              <w:top w:val="nil"/>
              <w:left w:val="nil"/>
              <w:bottom w:val="nil"/>
              <w:right w:val="nil"/>
            </w:tcBorders>
            <w:shd w:val="clear" w:color="auto" w:fill="auto"/>
            <w:noWrap/>
            <w:vAlign w:val="center"/>
            <w:hideMark/>
          </w:tcPr>
          <w:p w14:paraId="072DEAAF" w14:textId="644F44BE" w:rsidR="00112A99" w:rsidRPr="002E2B5B" w:rsidRDefault="00304B12" w:rsidP="00937ED9">
            <w:pPr>
              <w:spacing w:after="120"/>
              <w:jc w:val="right"/>
              <w:rPr>
                <w:rFonts w:ascii="Calibri" w:hAnsi="Calibri" w:cs="Calibri"/>
                <w:color w:val="000000"/>
                <w:sz w:val="16"/>
                <w:szCs w:val="16"/>
              </w:rPr>
            </w:pPr>
            <w:r>
              <w:rPr>
                <w:rFonts w:ascii="Calibri" w:hAnsi="Calibri" w:cs="Calibri"/>
                <w:color w:val="000000"/>
                <w:sz w:val="16"/>
                <w:szCs w:val="16"/>
              </w:rPr>
              <w:t>178.297</w:t>
            </w:r>
          </w:p>
        </w:tc>
        <w:tc>
          <w:tcPr>
            <w:tcW w:w="762" w:type="pct"/>
            <w:tcBorders>
              <w:top w:val="nil"/>
              <w:left w:val="nil"/>
              <w:bottom w:val="nil"/>
              <w:right w:val="nil"/>
            </w:tcBorders>
            <w:shd w:val="clear" w:color="auto" w:fill="auto"/>
            <w:noWrap/>
            <w:vAlign w:val="center"/>
          </w:tcPr>
          <w:p w14:paraId="0790E2B1" w14:textId="3B60265A" w:rsidR="00112A99" w:rsidRPr="002E2B5B" w:rsidRDefault="00575261" w:rsidP="00937ED9">
            <w:pPr>
              <w:spacing w:after="120"/>
              <w:jc w:val="right"/>
              <w:rPr>
                <w:rFonts w:ascii="Calibri" w:hAnsi="Calibri" w:cs="Calibri"/>
                <w:color w:val="000000"/>
                <w:sz w:val="16"/>
                <w:szCs w:val="16"/>
              </w:rPr>
            </w:pPr>
            <w:r>
              <w:rPr>
                <w:rFonts w:ascii="Calibri" w:hAnsi="Calibri" w:cs="Calibri"/>
                <w:color w:val="000000"/>
                <w:sz w:val="16"/>
                <w:szCs w:val="16"/>
              </w:rPr>
              <w:t>58.381</w:t>
            </w:r>
          </w:p>
        </w:tc>
      </w:tr>
      <w:tr w:rsidR="00112A99" w:rsidRPr="002E2B5B" w14:paraId="3709B5AD" w14:textId="77777777" w:rsidTr="00112A99">
        <w:trPr>
          <w:trHeight w:val="300"/>
        </w:trPr>
        <w:tc>
          <w:tcPr>
            <w:tcW w:w="714" w:type="pct"/>
            <w:tcBorders>
              <w:top w:val="nil"/>
              <w:left w:val="nil"/>
              <w:bottom w:val="nil"/>
              <w:right w:val="nil"/>
            </w:tcBorders>
            <w:shd w:val="clear" w:color="auto" w:fill="auto"/>
            <w:noWrap/>
            <w:vAlign w:val="center"/>
            <w:hideMark/>
          </w:tcPr>
          <w:p w14:paraId="4F6D971F" w14:textId="77777777" w:rsidR="00112A99" w:rsidRPr="002E2B5B" w:rsidRDefault="00112A99" w:rsidP="00937ED9">
            <w:pPr>
              <w:spacing w:after="120"/>
              <w:rPr>
                <w:rFonts w:ascii="Calibri" w:hAnsi="Calibri" w:cs="Calibri"/>
                <w:color w:val="000000"/>
                <w:sz w:val="16"/>
                <w:szCs w:val="16"/>
              </w:rPr>
            </w:pPr>
            <w:r w:rsidRPr="002E2B5B">
              <w:rPr>
                <w:rFonts w:ascii="Calibri" w:hAnsi="Calibri" w:cs="Calibri"/>
                <w:color w:val="000000"/>
                <w:sz w:val="16"/>
                <w:szCs w:val="16"/>
              </w:rPr>
              <w:t>Baixas</w:t>
            </w:r>
          </w:p>
        </w:tc>
        <w:tc>
          <w:tcPr>
            <w:tcW w:w="714" w:type="pct"/>
            <w:tcBorders>
              <w:top w:val="nil"/>
              <w:left w:val="nil"/>
              <w:bottom w:val="nil"/>
              <w:right w:val="nil"/>
            </w:tcBorders>
            <w:shd w:val="clear" w:color="auto" w:fill="auto"/>
            <w:noWrap/>
            <w:vAlign w:val="center"/>
            <w:hideMark/>
          </w:tcPr>
          <w:p w14:paraId="3A4B5D66" w14:textId="77777777" w:rsidR="00112A99" w:rsidRPr="002E2B5B" w:rsidRDefault="00112A99" w:rsidP="00937ED9">
            <w:pPr>
              <w:spacing w:after="120"/>
              <w:rPr>
                <w:rFonts w:ascii="Calibri" w:hAnsi="Calibri" w:cs="Calibri"/>
                <w:color w:val="000000"/>
                <w:sz w:val="16"/>
                <w:szCs w:val="16"/>
              </w:rPr>
            </w:pPr>
          </w:p>
        </w:tc>
        <w:tc>
          <w:tcPr>
            <w:tcW w:w="715" w:type="pct"/>
            <w:tcBorders>
              <w:top w:val="nil"/>
              <w:left w:val="nil"/>
              <w:bottom w:val="nil"/>
              <w:right w:val="nil"/>
            </w:tcBorders>
            <w:shd w:val="clear" w:color="auto" w:fill="auto"/>
            <w:noWrap/>
            <w:vAlign w:val="center"/>
            <w:hideMark/>
          </w:tcPr>
          <w:p w14:paraId="784AE36C" w14:textId="77777777" w:rsidR="00112A99" w:rsidRPr="002E2B5B" w:rsidRDefault="00112A99" w:rsidP="00937ED9">
            <w:pPr>
              <w:spacing w:after="120"/>
              <w:rPr>
                <w:rFonts w:ascii="Calibri" w:hAnsi="Calibri" w:cs="Calibri"/>
                <w:sz w:val="16"/>
                <w:szCs w:val="16"/>
              </w:rPr>
            </w:pPr>
          </w:p>
        </w:tc>
        <w:tc>
          <w:tcPr>
            <w:tcW w:w="569" w:type="pct"/>
            <w:tcBorders>
              <w:top w:val="nil"/>
              <w:left w:val="nil"/>
              <w:bottom w:val="nil"/>
              <w:right w:val="nil"/>
            </w:tcBorders>
            <w:shd w:val="clear" w:color="auto" w:fill="auto"/>
            <w:vAlign w:val="center"/>
            <w:hideMark/>
          </w:tcPr>
          <w:p w14:paraId="6C03B07A" w14:textId="77777777" w:rsidR="00112A99" w:rsidRPr="002E2B5B" w:rsidRDefault="00112A99" w:rsidP="00937ED9">
            <w:pPr>
              <w:spacing w:after="120"/>
              <w:rPr>
                <w:rFonts w:ascii="Calibri" w:hAnsi="Calibri" w:cs="Calibri"/>
                <w:sz w:val="16"/>
                <w:szCs w:val="16"/>
              </w:rPr>
            </w:pPr>
          </w:p>
        </w:tc>
        <w:tc>
          <w:tcPr>
            <w:tcW w:w="763" w:type="pct"/>
            <w:tcBorders>
              <w:top w:val="nil"/>
              <w:left w:val="nil"/>
              <w:bottom w:val="nil"/>
              <w:right w:val="nil"/>
            </w:tcBorders>
            <w:shd w:val="clear" w:color="auto" w:fill="auto"/>
            <w:noWrap/>
            <w:vAlign w:val="center"/>
          </w:tcPr>
          <w:p w14:paraId="6496171A" w14:textId="77777777" w:rsidR="00112A99" w:rsidRPr="002E2B5B" w:rsidRDefault="00112A99" w:rsidP="00937ED9">
            <w:pPr>
              <w:spacing w:after="120"/>
              <w:jc w:val="right"/>
              <w:rPr>
                <w:rFonts w:ascii="Calibri" w:hAnsi="Calibri" w:cs="Calibri"/>
                <w:color w:val="000000"/>
                <w:sz w:val="16"/>
                <w:szCs w:val="16"/>
              </w:rPr>
            </w:pPr>
          </w:p>
        </w:tc>
        <w:tc>
          <w:tcPr>
            <w:tcW w:w="763" w:type="pct"/>
            <w:tcBorders>
              <w:top w:val="nil"/>
              <w:left w:val="nil"/>
              <w:bottom w:val="nil"/>
              <w:right w:val="nil"/>
            </w:tcBorders>
            <w:shd w:val="clear" w:color="auto" w:fill="auto"/>
            <w:noWrap/>
            <w:vAlign w:val="center"/>
            <w:hideMark/>
          </w:tcPr>
          <w:p w14:paraId="6D01381A" w14:textId="12A46DA8" w:rsidR="00112A99" w:rsidRPr="002E2B5B" w:rsidRDefault="00973582" w:rsidP="00937ED9">
            <w:pPr>
              <w:spacing w:after="120"/>
              <w:jc w:val="right"/>
              <w:rPr>
                <w:rFonts w:ascii="Calibri" w:hAnsi="Calibri" w:cs="Calibri"/>
                <w:color w:val="000000"/>
                <w:sz w:val="16"/>
                <w:szCs w:val="16"/>
              </w:rPr>
            </w:pPr>
            <w:r>
              <w:rPr>
                <w:rFonts w:ascii="Calibri" w:hAnsi="Calibri" w:cs="Calibri"/>
                <w:color w:val="000000"/>
                <w:sz w:val="16"/>
                <w:szCs w:val="16"/>
              </w:rPr>
              <w:t>(</w:t>
            </w:r>
            <w:r w:rsidR="00575261">
              <w:rPr>
                <w:rFonts w:ascii="Calibri" w:hAnsi="Calibri" w:cs="Calibri"/>
                <w:color w:val="000000"/>
                <w:sz w:val="16"/>
                <w:szCs w:val="16"/>
              </w:rPr>
              <w:t>6.566</w:t>
            </w:r>
            <w:r>
              <w:rPr>
                <w:rFonts w:ascii="Calibri" w:hAnsi="Calibri" w:cs="Calibri"/>
                <w:color w:val="000000"/>
                <w:sz w:val="16"/>
                <w:szCs w:val="16"/>
              </w:rPr>
              <w:t>)</w:t>
            </w:r>
          </w:p>
        </w:tc>
        <w:tc>
          <w:tcPr>
            <w:tcW w:w="762" w:type="pct"/>
            <w:tcBorders>
              <w:top w:val="nil"/>
              <w:left w:val="nil"/>
              <w:bottom w:val="nil"/>
              <w:right w:val="nil"/>
            </w:tcBorders>
            <w:shd w:val="clear" w:color="auto" w:fill="auto"/>
            <w:noWrap/>
            <w:vAlign w:val="center"/>
          </w:tcPr>
          <w:p w14:paraId="62D240B8" w14:textId="431A5C15" w:rsidR="00112A99" w:rsidRPr="002E2B5B" w:rsidRDefault="00575261" w:rsidP="00937ED9">
            <w:pPr>
              <w:spacing w:after="120"/>
              <w:jc w:val="right"/>
              <w:rPr>
                <w:rFonts w:ascii="Calibri" w:hAnsi="Calibri" w:cs="Calibri"/>
                <w:color w:val="000000"/>
                <w:sz w:val="16"/>
                <w:szCs w:val="16"/>
              </w:rPr>
            </w:pPr>
            <w:r>
              <w:rPr>
                <w:rFonts w:ascii="Calibri" w:hAnsi="Calibri" w:cs="Calibri"/>
                <w:color w:val="000000"/>
                <w:sz w:val="16"/>
                <w:szCs w:val="16"/>
              </w:rPr>
              <w:t>(</w:t>
            </w:r>
            <w:r w:rsidRPr="00973582">
              <w:rPr>
                <w:rFonts w:ascii="Calibri" w:hAnsi="Calibri" w:cs="Calibri"/>
                <w:color w:val="000000"/>
                <w:sz w:val="16"/>
                <w:szCs w:val="16"/>
              </w:rPr>
              <w:t>3</w:t>
            </w:r>
            <w:r>
              <w:rPr>
                <w:rFonts w:ascii="Calibri" w:hAnsi="Calibri" w:cs="Calibri"/>
                <w:color w:val="000000"/>
                <w:sz w:val="16"/>
                <w:szCs w:val="16"/>
              </w:rPr>
              <w:t>4.247)</w:t>
            </w:r>
          </w:p>
        </w:tc>
      </w:tr>
      <w:tr w:rsidR="00112A99" w:rsidRPr="002E2B5B" w14:paraId="44B827DF" w14:textId="77777777" w:rsidTr="00112A99">
        <w:trPr>
          <w:trHeight w:val="315"/>
        </w:trPr>
        <w:tc>
          <w:tcPr>
            <w:tcW w:w="2143" w:type="pct"/>
            <w:gridSpan w:val="3"/>
            <w:tcBorders>
              <w:top w:val="nil"/>
              <w:left w:val="nil"/>
              <w:bottom w:val="single" w:sz="8" w:space="0" w:color="auto"/>
              <w:right w:val="nil"/>
            </w:tcBorders>
            <w:shd w:val="clear" w:color="auto" w:fill="auto"/>
            <w:noWrap/>
            <w:vAlign w:val="center"/>
            <w:hideMark/>
          </w:tcPr>
          <w:p w14:paraId="0A8B77BB" w14:textId="77777777" w:rsidR="00112A99" w:rsidRPr="002E2B5B" w:rsidRDefault="00112A99" w:rsidP="00937ED9">
            <w:pPr>
              <w:spacing w:after="120"/>
              <w:rPr>
                <w:rFonts w:ascii="Calibri" w:hAnsi="Calibri" w:cs="Calibri"/>
                <w:b/>
                <w:bCs/>
                <w:color w:val="000000"/>
                <w:sz w:val="16"/>
                <w:szCs w:val="16"/>
              </w:rPr>
            </w:pPr>
            <w:r w:rsidRPr="002E2B5B">
              <w:rPr>
                <w:rFonts w:ascii="Calibri" w:hAnsi="Calibri" w:cs="Calibri"/>
                <w:b/>
                <w:bCs/>
                <w:color w:val="000000"/>
                <w:sz w:val="16"/>
                <w:szCs w:val="16"/>
              </w:rPr>
              <w:t>TOTAL DOS DEPÓSITOS DE CAUÇÕES</w:t>
            </w:r>
          </w:p>
        </w:tc>
        <w:tc>
          <w:tcPr>
            <w:tcW w:w="569" w:type="pct"/>
            <w:tcBorders>
              <w:top w:val="nil"/>
              <w:left w:val="nil"/>
              <w:bottom w:val="single" w:sz="8" w:space="0" w:color="auto"/>
              <w:right w:val="nil"/>
            </w:tcBorders>
            <w:shd w:val="clear" w:color="auto" w:fill="auto"/>
            <w:vAlign w:val="center"/>
            <w:hideMark/>
          </w:tcPr>
          <w:p w14:paraId="237CF828" w14:textId="77777777" w:rsidR="00112A99" w:rsidRPr="002E2B5B" w:rsidRDefault="00112A99" w:rsidP="00937ED9">
            <w:pPr>
              <w:spacing w:after="120"/>
              <w:jc w:val="right"/>
              <w:rPr>
                <w:rFonts w:ascii="Calibri" w:hAnsi="Calibri" w:cs="Calibri"/>
                <w:b/>
                <w:bCs/>
                <w:color w:val="000000"/>
                <w:sz w:val="16"/>
                <w:szCs w:val="16"/>
              </w:rPr>
            </w:pPr>
            <w:r w:rsidRPr="002E2B5B">
              <w:rPr>
                <w:rFonts w:ascii="Calibri" w:hAnsi="Calibri" w:cs="Calibri"/>
                <w:b/>
                <w:bCs/>
                <w:color w:val="000000"/>
                <w:sz w:val="16"/>
                <w:szCs w:val="16"/>
              </w:rPr>
              <w:t> </w:t>
            </w:r>
          </w:p>
        </w:tc>
        <w:tc>
          <w:tcPr>
            <w:tcW w:w="763" w:type="pct"/>
            <w:tcBorders>
              <w:top w:val="nil"/>
              <w:left w:val="nil"/>
              <w:bottom w:val="single" w:sz="8" w:space="0" w:color="auto"/>
              <w:right w:val="nil"/>
            </w:tcBorders>
            <w:shd w:val="clear" w:color="auto" w:fill="auto"/>
            <w:noWrap/>
            <w:vAlign w:val="center"/>
          </w:tcPr>
          <w:p w14:paraId="0C48EB5B" w14:textId="77777777" w:rsidR="00112A99" w:rsidRPr="002E2B5B" w:rsidRDefault="00112A99" w:rsidP="00937ED9">
            <w:pPr>
              <w:spacing w:after="120"/>
              <w:jc w:val="right"/>
              <w:rPr>
                <w:rFonts w:ascii="Calibri" w:hAnsi="Calibri" w:cs="Calibri"/>
                <w:b/>
                <w:bCs/>
                <w:color w:val="000000"/>
                <w:sz w:val="16"/>
                <w:szCs w:val="16"/>
              </w:rPr>
            </w:pPr>
          </w:p>
        </w:tc>
        <w:tc>
          <w:tcPr>
            <w:tcW w:w="763" w:type="pct"/>
            <w:tcBorders>
              <w:top w:val="nil"/>
              <w:left w:val="nil"/>
              <w:bottom w:val="single" w:sz="8" w:space="0" w:color="auto"/>
              <w:right w:val="nil"/>
            </w:tcBorders>
            <w:shd w:val="clear" w:color="auto" w:fill="auto"/>
            <w:noWrap/>
            <w:vAlign w:val="center"/>
            <w:hideMark/>
          </w:tcPr>
          <w:p w14:paraId="6479A6D9" w14:textId="12288562" w:rsidR="00112A99" w:rsidRPr="002E2B5B" w:rsidRDefault="00304B12" w:rsidP="00937ED9">
            <w:pPr>
              <w:spacing w:after="120"/>
              <w:jc w:val="right"/>
              <w:rPr>
                <w:rFonts w:ascii="Calibri" w:hAnsi="Calibri" w:cs="Calibri"/>
                <w:b/>
                <w:bCs/>
                <w:color w:val="000000"/>
                <w:sz w:val="16"/>
                <w:szCs w:val="16"/>
              </w:rPr>
            </w:pPr>
            <w:r>
              <w:rPr>
                <w:rFonts w:ascii="Calibri" w:hAnsi="Calibri" w:cs="Calibri"/>
                <w:b/>
                <w:bCs/>
                <w:color w:val="000000"/>
                <w:sz w:val="16"/>
                <w:szCs w:val="16"/>
              </w:rPr>
              <w:t>429.203</w:t>
            </w:r>
          </w:p>
        </w:tc>
        <w:tc>
          <w:tcPr>
            <w:tcW w:w="762" w:type="pct"/>
            <w:tcBorders>
              <w:top w:val="nil"/>
              <w:left w:val="nil"/>
              <w:bottom w:val="single" w:sz="8" w:space="0" w:color="auto"/>
              <w:right w:val="nil"/>
            </w:tcBorders>
            <w:shd w:val="clear" w:color="auto" w:fill="auto"/>
            <w:noWrap/>
            <w:vAlign w:val="center"/>
          </w:tcPr>
          <w:p w14:paraId="2A02B3CA" w14:textId="69EB7489" w:rsidR="00112A99" w:rsidRPr="002E2B5B" w:rsidRDefault="00575261" w:rsidP="00937ED9">
            <w:pPr>
              <w:spacing w:after="120"/>
              <w:jc w:val="right"/>
              <w:rPr>
                <w:rFonts w:ascii="Calibri" w:hAnsi="Calibri" w:cs="Calibri"/>
                <w:b/>
                <w:bCs/>
                <w:color w:val="000000"/>
                <w:sz w:val="16"/>
                <w:szCs w:val="16"/>
              </w:rPr>
            </w:pPr>
            <w:r>
              <w:rPr>
                <w:rFonts w:ascii="Calibri" w:hAnsi="Calibri" w:cs="Calibri"/>
                <w:b/>
                <w:bCs/>
                <w:color w:val="000000"/>
                <w:sz w:val="16"/>
                <w:szCs w:val="16"/>
              </w:rPr>
              <w:t>257.472</w:t>
            </w:r>
          </w:p>
        </w:tc>
      </w:tr>
    </w:tbl>
    <w:p w14:paraId="13E7D9A8" w14:textId="349D0CC6" w:rsidR="007449DE" w:rsidRDefault="00AC1AD6" w:rsidP="00393462">
      <w:pPr>
        <w:spacing w:before="120" w:after="120"/>
        <w:jc w:val="both"/>
        <w:rPr>
          <w:rFonts w:ascii="Calibri" w:hAnsi="Calibri" w:cs="Calibri"/>
          <w:sz w:val="22"/>
          <w:szCs w:val="22"/>
        </w:rPr>
      </w:pPr>
      <w:r w:rsidRPr="002E2B5B">
        <w:rPr>
          <w:rFonts w:ascii="Calibri" w:hAnsi="Calibri" w:cs="Calibri"/>
          <w:sz w:val="22"/>
          <w:szCs w:val="22"/>
        </w:rPr>
        <w:t xml:space="preserve">Os depósitos de cauções </w:t>
      </w:r>
      <w:r w:rsidR="00AA5748" w:rsidRPr="002E2B5B">
        <w:rPr>
          <w:rFonts w:ascii="Calibri" w:hAnsi="Calibri" w:cs="Calibri"/>
          <w:sz w:val="22"/>
          <w:szCs w:val="22"/>
        </w:rPr>
        <w:t xml:space="preserve">decorrem das garantias </w:t>
      </w:r>
      <w:r w:rsidR="00440D37" w:rsidRPr="002E2B5B">
        <w:rPr>
          <w:rFonts w:ascii="Calibri" w:hAnsi="Calibri" w:cs="Calibri"/>
          <w:sz w:val="22"/>
          <w:szCs w:val="22"/>
        </w:rPr>
        <w:t xml:space="preserve">caucionadas </w:t>
      </w:r>
      <w:r w:rsidR="00AA5748" w:rsidRPr="002E2B5B">
        <w:rPr>
          <w:rFonts w:ascii="Calibri" w:hAnsi="Calibri" w:cs="Calibri"/>
          <w:sz w:val="22"/>
          <w:szCs w:val="22"/>
        </w:rPr>
        <w:t>propostas, em licitação, do contratante ao contratado, conforme cláusula contratual</w:t>
      </w:r>
      <w:r w:rsidR="008C766E" w:rsidRPr="002E2B5B">
        <w:rPr>
          <w:rFonts w:ascii="Calibri" w:hAnsi="Calibri" w:cs="Calibri"/>
          <w:sz w:val="22"/>
          <w:szCs w:val="22"/>
        </w:rPr>
        <w:t>, os quais são contabilizados em contrapartida ao passivo não circulante</w:t>
      </w:r>
      <w:r w:rsidR="00AA5748" w:rsidRPr="002E2B5B">
        <w:rPr>
          <w:rFonts w:ascii="Calibri" w:hAnsi="Calibri" w:cs="Calibri"/>
          <w:sz w:val="22"/>
          <w:szCs w:val="22"/>
        </w:rPr>
        <w:t xml:space="preserve">. Financeiramente, esses </w:t>
      </w:r>
      <w:r w:rsidR="00440D37" w:rsidRPr="002E2B5B">
        <w:rPr>
          <w:rFonts w:ascii="Calibri" w:hAnsi="Calibri" w:cs="Calibri"/>
          <w:sz w:val="22"/>
          <w:szCs w:val="22"/>
        </w:rPr>
        <w:t>valores</w:t>
      </w:r>
      <w:r w:rsidR="00AA5748" w:rsidRPr="002E2B5B">
        <w:rPr>
          <w:rFonts w:ascii="Calibri" w:hAnsi="Calibri" w:cs="Calibri"/>
          <w:sz w:val="22"/>
          <w:szCs w:val="22"/>
        </w:rPr>
        <w:t xml:space="preserve"> encontram-se disponibilizados em conta</w:t>
      </w:r>
      <w:r w:rsidR="008C257A" w:rsidRPr="002E2B5B">
        <w:rPr>
          <w:rFonts w:ascii="Calibri" w:hAnsi="Calibri" w:cs="Calibri"/>
          <w:sz w:val="22"/>
          <w:szCs w:val="22"/>
        </w:rPr>
        <w:t>s</w:t>
      </w:r>
      <w:r w:rsidR="00AA5748" w:rsidRPr="002E2B5B">
        <w:rPr>
          <w:rFonts w:ascii="Calibri" w:hAnsi="Calibri" w:cs="Calibri"/>
          <w:sz w:val="22"/>
          <w:szCs w:val="22"/>
        </w:rPr>
        <w:t xml:space="preserve"> específica</w:t>
      </w:r>
      <w:r w:rsidR="008C257A" w:rsidRPr="002E2B5B">
        <w:rPr>
          <w:rFonts w:ascii="Calibri" w:hAnsi="Calibri" w:cs="Calibri"/>
          <w:sz w:val="22"/>
          <w:szCs w:val="22"/>
        </w:rPr>
        <w:t>s</w:t>
      </w:r>
      <w:r w:rsidR="00AA5748" w:rsidRPr="002E2B5B">
        <w:rPr>
          <w:rFonts w:ascii="Calibri" w:hAnsi="Calibri" w:cs="Calibri"/>
          <w:sz w:val="22"/>
          <w:szCs w:val="22"/>
        </w:rPr>
        <w:t xml:space="preserve"> </w:t>
      </w:r>
      <w:r w:rsidR="008C257A" w:rsidRPr="002E2B5B">
        <w:rPr>
          <w:rFonts w:ascii="Calibri" w:hAnsi="Calibri" w:cs="Calibri"/>
          <w:sz w:val="22"/>
          <w:szCs w:val="22"/>
        </w:rPr>
        <w:t>individualizadas</w:t>
      </w:r>
      <w:r w:rsidR="00000BCA" w:rsidRPr="002E2B5B">
        <w:rPr>
          <w:rFonts w:ascii="Calibri" w:hAnsi="Calibri" w:cs="Calibri"/>
          <w:sz w:val="22"/>
          <w:szCs w:val="22"/>
        </w:rPr>
        <w:t xml:space="preserve"> </w:t>
      </w:r>
      <w:r w:rsidR="00AA5748" w:rsidRPr="002E2B5B">
        <w:rPr>
          <w:rFonts w:ascii="Calibri" w:hAnsi="Calibri" w:cs="Calibri"/>
          <w:sz w:val="22"/>
          <w:szCs w:val="22"/>
        </w:rPr>
        <w:t>sob a custódia da Caixa Econômica Fede</w:t>
      </w:r>
      <w:r w:rsidR="002726DB" w:rsidRPr="002E2B5B">
        <w:rPr>
          <w:rFonts w:ascii="Calibri" w:hAnsi="Calibri" w:cs="Calibri"/>
          <w:sz w:val="22"/>
          <w:szCs w:val="22"/>
        </w:rPr>
        <w:t>ral – C</w:t>
      </w:r>
      <w:r w:rsidR="0046500A" w:rsidRPr="002E2B5B">
        <w:rPr>
          <w:rFonts w:ascii="Calibri" w:hAnsi="Calibri" w:cs="Calibri"/>
          <w:sz w:val="22"/>
          <w:szCs w:val="22"/>
        </w:rPr>
        <w:t>AIXA</w:t>
      </w:r>
      <w:r w:rsidR="0081089E" w:rsidRPr="002E2B5B">
        <w:rPr>
          <w:rFonts w:ascii="Calibri" w:hAnsi="Calibri" w:cs="Calibri"/>
          <w:sz w:val="22"/>
          <w:szCs w:val="22"/>
        </w:rPr>
        <w:t>.</w:t>
      </w:r>
      <w:r w:rsidR="00301062" w:rsidRPr="002E2B5B">
        <w:rPr>
          <w:rFonts w:ascii="Calibri" w:hAnsi="Calibri" w:cs="Calibri"/>
          <w:sz w:val="22"/>
          <w:szCs w:val="22"/>
        </w:rPr>
        <w:t xml:space="preserve"> </w:t>
      </w:r>
    </w:p>
    <w:p w14:paraId="1F7EF45A" w14:textId="77777777" w:rsidR="00552191" w:rsidRPr="002E2B5B" w:rsidRDefault="00660339" w:rsidP="00937ED9">
      <w:pPr>
        <w:numPr>
          <w:ilvl w:val="0"/>
          <w:numId w:val="6"/>
        </w:numPr>
        <w:spacing w:after="120"/>
        <w:ind w:left="284" w:right="-142" w:hanging="284"/>
        <w:jc w:val="both"/>
        <w:rPr>
          <w:rFonts w:ascii="Calibri" w:hAnsi="Calibri" w:cs="Calibri"/>
          <w:b/>
          <w:bCs/>
          <w:sz w:val="22"/>
          <w:szCs w:val="22"/>
        </w:rPr>
      </w:pPr>
      <w:r w:rsidRPr="002E2B5B">
        <w:rPr>
          <w:rFonts w:ascii="Calibri" w:hAnsi="Calibri" w:cs="Calibri"/>
          <w:b/>
          <w:bCs/>
          <w:sz w:val="22"/>
          <w:szCs w:val="22"/>
        </w:rPr>
        <w:t>Depósitos Judiciais</w:t>
      </w:r>
      <w:r w:rsidR="0055378D" w:rsidRPr="002E2B5B">
        <w:rPr>
          <w:rFonts w:ascii="Calibri" w:hAnsi="Calibri" w:cs="Calibri"/>
          <w:b/>
          <w:bCs/>
          <w:sz w:val="22"/>
          <w:szCs w:val="22"/>
        </w:rPr>
        <w:t xml:space="preserve"> </w:t>
      </w:r>
      <w:r w:rsidR="000C076B" w:rsidRPr="002E2B5B">
        <w:rPr>
          <w:rFonts w:ascii="Calibri" w:hAnsi="Calibri" w:cs="Calibri"/>
          <w:b/>
          <w:bCs/>
          <w:sz w:val="22"/>
          <w:szCs w:val="22"/>
        </w:rPr>
        <w:t xml:space="preserve"> </w:t>
      </w:r>
    </w:p>
    <w:tbl>
      <w:tblPr>
        <w:tblW w:w="5000" w:type="pct"/>
        <w:tblCellMar>
          <w:left w:w="70" w:type="dxa"/>
          <w:right w:w="70" w:type="dxa"/>
        </w:tblCellMar>
        <w:tblLook w:val="04A0" w:firstRow="1" w:lastRow="0" w:firstColumn="1" w:lastColumn="0" w:noHBand="0" w:noVBand="1"/>
      </w:tblPr>
      <w:tblGrid>
        <w:gridCol w:w="1985"/>
        <w:gridCol w:w="1719"/>
        <w:gridCol w:w="1304"/>
        <w:gridCol w:w="1463"/>
        <w:gridCol w:w="1999"/>
        <w:gridCol w:w="1997"/>
      </w:tblGrid>
      <w:tr w:rsidR="00706813" w:rsidRPr="002E2B5B" w14:paraId="47D90B64" w14:textId="77777777" w:rsidTr="000A571A">
        <w:trPr>
          <w:trHeight w:hRule="exact" w:val="227"/>
        </w:trPr>
        <w:tc>
          <w:tcPr>
            <w:tcW w:w="948" w:type="pct"/>
            <w:tcBorders>
              <w:top w:val="nil"/>
              <w:left w:val="nil"/>
              <w:bottom w:val="single" w:sz="4" w:space="0" w:color="auto"/>
              <w:right w:val="nil"/>
            </w:tcBorders>
            <w:shd w:val="clear" w:color="auto" w:fill="auto"/>
            <w:noWrap/>
            <w:vAlign w:val="bottom"/>
            <w:hideMark/>
          </w:tcPr>
          <w:p w14:paraId="6470F3B7" w14:textId="77777777" w:rsidR="00706813" w:rsidRPr="002E2B5B" w:rsidRDefault="00706813" w:rsidP="00937ED9">
            <w:pPr>
              <w:spacing w:after="120"/>
              <w:rPr>
                <w:rFonts w:ascii="Calibri" w:hAnsi="Calibri" w:cs="Calibri"/>
                <w:b/>
                <w:bCs/>
                <w:sz w:val="16"/>
                <w:szCs w:val="16"/>
              </w:rPr>
            </w:pPr>
            <w:r w:rsidRPr="002E2B5B">
              <w:rPr>
                <w:rFonts w:ascii="Calibri" w:hAnsi="Calibri" w:cs="Calibri"/>
                <w:b/>
                <w:bCs/>
                <w:sz w:val="16"/>
                <w:szCs w:val="16"/>
              </w:rPr>
              <w:t>AÇÕES</w:t>
            </w:r>
          </w:p>
        </w:tc>
        <w:tc>
          <w:tcPr>
            <w:tcW w:w="821" w:type="pct"/>
            <w:tcBorders>
              <w:top w:val="nil"/>
              <w:left w:val="nil"/>
              <w:bottom w:val="single" w:sz="4" w:space="0" w:color="auto"/>
              <w:right w:val="nil"/>
            </w:tcBorders>
            <w:shd w:val="clear" w:color="auto" w:fill="auto"/>
            <w:vAlign w:val="bottom"/>
            <w:hideMark/>
          </w:tcPr>
          <w:p w14:paraId="5C42A2B6" w14:textId="69762A8B" w:rsidR="00706813" w:rsidRPr="002E2B5B" w:rsidRDefault="00706813" w:rsidP="00304B12">
            <w:pPr>
              <w:spacing w:after="120"/>
              <w:jc w:val="right"/>
              <w:rPr>
                <w:rFonts w:ascii="Calibri" w:hAnsi="Calibri" w:cs="Calibri"/>
                <w:b/>
                <w:bCs/>
                <w:sz w:val="16"/>
                <w:szCs w:val="16"/>
              </w:rPr>
            </w:pPr>
            <w:r w:rsidRPr="002E2B5B">
              <w:rPr>
                <w:rFonts w:ascii="Calibri" w:hAnsi="Calibri" w:cs="Calibri"/>
                <w:b/>
                <w:bCs/>
                <w:sz w:val="16"/>
                <w:szCs w:val="16"/>
              </w:rPr>
              <w:t>SALDO EM 31/12/20</w:t>
            </w:r>
            <w:r>
              <w:rPr>
                <w:rFonts w:ascii="Calibri" w:hAnsi="Calibri" w:cs="Calibri"/>
                <w:b/>
                <w:bCs/>
                <w:sz w:val="16"/>
                <w:szCs w:val="16"/>
              </w:rPr>
              <w:t>2</w:t>
            </w:r>
            <w:r w:rsidR="00575261">
              <w:rPr>
                <w:rFonts w:ascii="Calibri" w:hAnsi="Calibri" w:cs="Calibri"/>
                <w:b/>
                <w:bCs/>
                <w:sz w:val="16"/>
                <w:szCs w:val="16"/>
              </w:rPr>
              <w:t>1</w:t>
            </w:r>
            <w:r w:rsidRPr="002E2B5B">
              <w:rPr>
                <w:rFonts w:ascii="Calibri" w:hAnsi="Calibri" w:cs="Calibri"/>
                <w:b/>
                <w:bCs/>
                <w:sz w:val="16"/>
                <w:szCs w:val="16"/>
              </w:rPr>
              <w:t xml:space="preserve"> </w:t>
            </w:r>
          </w:p>
        </w:tc>
        <w:tc>
          <w:tcPr>
            <w:tcW w:w="623" w:type="pct"/>
            <w:tcBorders>
              <w:top w:val="nil"/>
              <w:left w:val="nil"/>
              <w:bottom w:val="single" w:sz="4" w:space="0" w:color="auto"/>
              <w:right w:val="nil"/>
            </w:tcBorders>
            <w:shd w:val="clear" w:color="auto" w:fill="auto"/>
            <w:vAlign w:val="bottom"/>
            <w:hideMark/>
          </w:tcPr>
          <w:p w14:paraId="0368FF94" w14:textId="77777777" w:rsidR="00706813" w:rsidRPr="002E2B5B" w:rsidRDefault="00706813" w:rsidP="00304B12">
            <w:pPr>
              <w:spacing w:after="120"/>
              <w:jc w:val="right"/>
              <w:rPr>
                <w:rFonts w:ascii="Calibri" w:hAnsi="Calibri" w:cs="Calibri"/>
                <w:b/>
                <w:bCs/>
                <w:sz w:val="16"/>
                <w:szCs w:val="16"/>
              </w:rPr>
            </w:pPr>
            <w:r w:rsidRPr="002E2B5B">
              <w:rPr>
                <w:rFonts w:ascii="Calibri" w:hAnsi="Calibri" w:cs="Calibri"/>
                <w:b/>
                <w:bCs/>
                <w:sz w:val="16"/>
                <w:szCs w:val="16"/>
              </w:rPr>
              <w:t>INGRESSO</w:t>
            </w:r>
          </w:p>
        </w:tc>
        <w:tc>
          <w:tcPr>
            <w:tcW w:w="699" w:type="pct"/>
            <w:tcBorders>
              <w:top w:val="nil"/>
              <w:left w:val="nil"/>
              <w:bottom w:val="single" w:sz="4" w:space="0" w:color="auto"/>
              <w:right w:val="nil"/>
            </w:tcBorders>
            <w:shd w:val="clear" w:color="auto" w:fill="auto"/>
            <w:vAlign w:val="bottom"/>
            <w:hideMark/>
          </w:tcPr>
          <w:p w14:paraId="6E2193F9" w14:textId="6B881797" w:rsidR="00706813" w:rsidRPr="002E2B5B" w:rsidRDefault="00706813" w:rsidP="00304B12">
            <w:pPr>
              <w:spacing w:after="120"/>
              <w:jc w:val="right"/>
              <w:rPr>
                <w:rFonts w:ascii="Calibri" w:hAnsi="Calibri" w:cs="Calibri"/>
                <w:b/>
                <w:bCs/>
                <w:sz w:val="16"/>
                <w:szCs w:val="16"/>
              </w:rPr>
            </w:pPr>
            <w:r w:rsidRPr="002E2B5B">
              <w:rPr>
                <w:rFonts w:ascii="Calibri" w:hAnsi="Calibri" w:cs="Calibri"/>
                <w:b/>
                <w:bCs/>
                <w:sz w:val="16"/>
                <w:szCs w:val="16"/>
              </w:rPr>
              <w:t>BAIXA</w:t>
            </w:r>
          </w:p>
        </w:tc>
        <w:tc>
          <w:tcPr>
            <w:tcW w:w="955" w:type="pct"/>
            <w:tcBorders>
              <w:top w:val="nil"/>
              <w:left w:val="nil"/>
              <w:right w:val="nil"/>
            </w:tcBorders>
            <w:vAlign w:val="bottom"/>
          </w:tcPr>
          <w:p w14:paraId="1936B50A" w14:textId="77777777" w:rsidR="00706813" w:rsidRPr="002E2B5B" w:rsidRDefault="00706813" w:rsidP="00304B12">
            <w:pPr>
              <w:spacing w:after="120"/>
              <w:jc w:val="right"/>
              <w:rPr>
                <w:rFonts w:ascii="Calibri" w:hAnsi="Calibri" w:cs="Calibri"/>
                <w:b/>
                <w:bCs/>
                <w:sz w:val="16"/>
                <w:szCs w:val="16"/>
              </w:rPr>
            </w:pPr>
            <w:r w:rsidRPr="002E2B5B">
              <w:rPr>
                <w:rFonts w:ascii="Calibri" w:hAnsi="Calibri" w:cs="Calibri"/>
                <w:b/>
                <w:bCs/>
                <w:sz w:val="16"/>
                <w:szCs w:val="16"/>
              </w:rPr>
              <w:t>BAIXA ATUAL.  MONET</w:t>
            </w:r>
          </w:p>
        </w:tc>
        <w:tc>
          <w:tcPr>
            <w:tcW w:w="954" w:type="pct"/>
            <w:tcBorders>
              <w:top w:val="nil"/>
              <w:left w:val="nil"/>
              <w:bottom w:val="single" w:sz="4" w:space="0" w:color="auto"/>
              <w:right w:val="nil"/>
            </w:tcBorders>
            <w:shd w:val="clear" w:color="auto" w:fill="auto"/>
            <w:vAlign w:val="bottom"/>
            <w:hideMark/>
          </w:tcPr>
          <w:p w14:paraId="62CC0497" w14:textId="698193F9" w:rsidR="00706813" w:rsidRPr="002E2B5B" w:rsidRDefault="00706813" w:rsidP="00304B12">
            <w:pPr>
              <w:spacing w:after="120"/>
              <w:jc w:val="right"/>
              <w:rPr>
                <w:rFonts w:ascii="Calibri" w:hAnsi="Calibri" w:cs="Calibri"/>
                <w:b/>
                <w:bCs/>
                <w:sz w:val="16"/>
                <w:szCs w:val="16"/>
              </w:rPr>
            </w:pPr>
            <w:r w:rsidRPr="002E2B5B">
              <w:rPr>
                <w:rFonts w:ascii="Calibri" w:hAnsi="Calibri" w:cs="Calibri"/>
                <w:b/>
                <w:bCs/>
                <w:sz w:val="16"/>
                <w:szCs w:val="16"/>
              </w:rPr>
              <w:t xml:space="preserve">SALDO EM </w:t>
            </w:r>
            <w:r w:rsidR="000027B2">
              <w:rPr>
                <w:rFonts w:ascii="Calibri" w:hAnsi="Calibri" w:cs="Calibri"/>
                <w:b/>
                <w:bCs/>
                <w:sz w:val="16"/>
                <w:szCs w:val="16"/>
              </w:rPr>
              <w:t>3</w:t>
            </w:r>
            <w:r w:rsidR="00304B12">
              <w:rPr>
                <w:rFonts w:ascii="Calibri" w:hAnsi="Calibri" w:cs="Calibri"/>
                <w:b/>
                <w:bCs/>
                <w:sz w:val="16"/>
                <w:szCs w:val="16"/>
              </w:rPr>
              <w:t>0</w:t>
            </w:r>
            <w:r w:rsidR="000027B2">
              <w:rPr>
                <w:rFonts w:ascii="Calibri" w:hAnsi="Calibri" w:cs="Calibri"/>
                <w:b/>
                <w:bCs/>
                <w:sz w:val="16"/>
                <w:szCs w:val="16"/>
              </w:rPr>
              <w:t>/</w:t>
            </w:r>
            <w:r w:rsidR="00575261">
              <w:rPr>
                <w:rFonts w:ascii="Calibri" w:hAnsi="Calibri" w:cs="Calibri"/>
                <w:b/>
                <w:bCs/>
                <w:sz w:val="16"/>
                <w:szCs w:val="16"/>
              </w:rPr>
              <w:t>0</w:t>
            </w:r>
            <w:r w:rsidR="00304B12">
              <w:rPr>
                <w:rFonts w:ascii="Calibri" w:hAnsi="Calibri" w:cs="Calibri"/>
                <w:b/>
                <w:bCs/>
                <w:sz w:val="16"/>
                <w:szCs w:val="16"/>
              </w:rPr>
              <w:t>6</w:t>
            </w:r>
            <w:r w:rsidRPr="002E2B5B">
              <w:rPr>
                <w:rFonts w:ascii="Calibri" w:hAnsi="Calibri" w:cs="Calibri"/>
                <w:b/>
                <w:bCs/>
                <w:sz w:val="16"/>
                <w:szCs w:val="16"/>
              </w:rPr>
              <w:t>/202</w:t>
            </w:r>
            <w:r w:rsidR="00575261">
              <w:rPr>
                <w:rFonts w:ascii="Calibri" w:hAnsi="Calibri" w:cs="Calibri"/>
                <w:b/>
                <w:bCs/>
                <w:sz w:val="16"/>
                <w:szCs w:val="16"/>
              </w:rPr>
              <w:t>2</w:t>
            </w:r>
          </w:p>
        </w:tc>
      </w:tr>
      <w:tr w:rsidR="00706813" w:rsidRPr="002E2B5B" w14:paraId="5B24B5D5" w14:textId="77777777" w:rsidTr="000A571A">
        <w:trPr>
          <w:trHeight w:hRule="exact" w:val="227"/>
        </w:trPr>
        <w:tc>
          <w:tcPr>
            <w:tcW w:w="948" w:type="pct"/>
            <w:tcBorders>
              <w:top w:val="single" w:sz="4" w:space="0" w:color="auto"/>
              <w:left w:val="nil"/>
              <w:bottom w:val="nil"/>
              <w:right w:val="nil"/>
            </w:tcBorders>
            <w:shd w:val="clear" w:color="auto" w:fill="auto"/>
            <w:noWrap/>
            <w:vAlign w:val="center"/>
            <w:hideMark/>
          </w:tcPr>
          <w:p w14:paraId="6C96E2CD" w14:textId="77777777" w:rsidR="00706813" w:rsidRPr="002E2B5B" w:rsidRDefault="00706813" w:rsidP="00937ED9">
            <w:pPr>
              <w:spacing w:after="120"/>
              <w:rPr>
                <w:rFonts w:ascii="Calibri" w:hAnsi="Calibri" w:cs="Calibri"/>
                <w:sz w:val="16"/>
                <w:szCs w:val="16"/>
              </w:rPr>
            </w:pPr>
            <w:r w:rsidRPr="002E2B5B">
              <w:rPr>
                <w:rFonts w:ascii="Calibri" w:hAnsi="Calibri" w:cs="Calibri"/>
                <w:sz w:val="16"/>
                <w:szCs w:val="16"/>
              </w:rPr>
              <w:t>Cíveis</w:t>
            </w:r>
          </w:p>
        </w:tc>
        <w:tc>
          <w:tcPr>
            <w:tcW w:w="821" w:type="pct"/>
            <w:tcBorders>
              <w:top w:val="single" w:sz="4" w:space="0" w:color="auto"/>
              <w:left w:val="nil"/>
              <w:bottom w:val="nil"/>
              <w:right w:val="nil"/>
            </w:tcBorders>
            <w:shd w:val="clear" w:color="auto" w:fill="auto"/>
            <w:noWrap/>
            <w:vAlign w:val="center"/>
            <w:hideMark/>
          </w:tcPr>
          <w:p w14:paraId="7387CCC1" w14:textId="362BD49C" w:rsidR="00706813" w:rsidRPr="002E2B5B" w:rsidRDefault="00706813" w:rsidP="00304B12">
            <w:pPr>
              <w:spacing w:after="120"/>
              <w:jc w:val="right"/>
              <w:rPr>
                <w:rFonts w:ascii="Calibri" w:hAnsi="Calibri" w:cs="Calibri"/>
                <w:sz w:val="16"/>
                <w:szCs w:val="16"/>
              </w:rPr>
            </w:pPr>
            <w:r w:rsidRPr="002E2B5B">
              <w:rPr>
                <w:rFonts w:ascii="Calibri" w:hAnsi="Calibri" w:cs="Calibri"/>
                <w:sz w:val="16"/>
                <w:szCs w:val="16"/>
              </w:rPr>
              <w:t>51.641.802</w:t>
            </w:r>
          </w:p>
        </w:tc>
        <w:tc>
          <w:tcPr>
            <w:tcW w:w="623" w:type="pct"/>
            <w:tcBorders>
              <w:top w:val="single" w:sz="4" w:space="0" w:color="auto"/>
              <w:left w:val="nil"/>
              <w:bottom w:val="nil"/>
              <w:right w:val="nil"/>
            </w:tcBorders>
            <w:shd w:val="clear" w:color="auto" w:fill="auto"/>
            <w:noWrap/>
            <w:vAlign w:val="center"/>
          </w:tcPr>
          <w:p w14:paraId="3BC6F2BD" w14:textId="5EFBEE15" w:rsidR="00706813" w:rsidRPr="002E2B5B" w:rsidRDefault="003129B7" w:rsidP="00304B12">
            <w:pPr>
              <w:spacing w:after="120"/>
              <w:jc w:val="right"/>
              <w:rPr>
                <w:rFonts w:ascii="Calibri" w:hAnsi="Calibri" w:cs="Calibri"/>
                <w:sz w:val="16"/>
                <w:szCs w:val="16"/>
              </w:rPr>
            </w:pPr>
            <w:r>
              <w:rPr>
                <w:rFonts w:ascii="Calibri" w:hAnsi="Calibri" w:cs="Calibri"/>
                <w:sz w:val="16"/>
                <w:szCs w:val="16"/>
              </w:rPr>
              <w:t>912.500</w:t>
            </w:r>
          </w:p>
        </w:tc>
        <w:tc>
          <w:tcPr>
            <w:tcW w:w="699" w:type="pct"/>
            <w:tcBorders>
              <w:top w:val="single" w:sz="4" w:space="0" w:color="auto"/>
              <w:left w:val="nil"/>
              <w:bottom w:val="nil"/>
              <w:right w:val="nil"/>
            </w:tcBorders>
            <w:shd w:val="clear" w:color="auto" w:fill="auto"/>
            <w:noWrap/>
            <w:vAlign w:val="center"/>
          </w:tcPr>
          <w:p w14:paraId="5A5B026B" w14:textId="3FBD292C" w:rsidR="00706813" w:rsidRPr="002E2B5B" w:rsidRDefault="003129B7" w:rsidP="00304B12">
            <w:pPr>
              <w:spacing w:after="120"/>
              <w:jc w:val="right"/>
              <w:rPr>
                <w:rFonts w:ascii="Calibri" w:hAnsi="Calibri" w:cs="Calibri"/>
                <w:sz w:val="16"/>
                <w:szCs w:val="16"/>
              </w:rPr>
            </w:pPr>
            <w:r>
              <w:rPr>
                <w:rFonts w:ascii="Calibri" w:hAnsi="Calibri" w:cs="Calibri"/>
                <w:sz w:val="16"/>
                <w:szCs w:val="16"/>
              </w:rPr>
              <w:t>0</w:t>
            </w:r>
          </w:p>
        </w:tc>
        <w:tc>
          <w:tcPr>
            <w:tcW w:w="955" w:type="pct"/>
            <w:tcBorders>
              <w:top w:val="single" w:sz="4" w:space="0" w:color="auto"/>
              <w:left w:val="nil"/>
              <w:bottom w:val="nil"/>
              <w:right w:val="nil"/>
            </w:tcBorders>
            <w:vAlign w:val="center"/>
          </w:tcPr>
          <w:p w14:paraId="7078A0D4" w14:textId="4029312C" w:rsidR="00706813" w:rsidRPr="009C6659" w:rsidRDefault="006F3D61" w:rsidP="00304B12">
            <w:pPr>
              <w:spacing w:after="120"/>
              <w:jc w:val="right"/>
              <w:rPr>
                <w:rFonts w:ascii="Calibri" w:hAnsi="Calibri" w:cs="Calibri"/>
                <w:sz w:val="16"/>
                <w:szCs w:val="16"/>
                <w:highlight w:val="yellow"/>
              </w:rPr>
            </w:pPr>
            <w:r w:rsidRPr="006F3D61">
              <w:rPr>
                <w:rFonts w:ascii="Calibri" w:hAnsi="Calibri" w:cs="Calibri"/>
                <w:sz w:val="16"/>
                <w:szCs w:val="16"/>
              </w:rPr>
              <w:t>0</w:t>
            </w:r>
          </w:p>
        </w:tc>
        <w:tc>
          <w:tcPr>
            <w:tcW w:w="954" w:type="pct"/>
            <w:tcBorders>
              <w:top w:val="single" w:sz="4" w:space="0" w:color="auto"/>
              <w:left w:val="nil"/>
              <w:bottom w:val="nil"/>
              <w:right w:val="nil"/>
            </w:tcBorders>
            <w:shd w:val="clear" w:color="auto" w:fill="auto"/>
            <w:noWrap/>
            <w:vAlign w:val="center"/>
          </w:tcPr>
          <w:p w14:paraId="5EBEDCAD" w14:textId="494BDE43" w:rsidR="00706813" w:rsidRPr="002E2B5B" w:rsidRDefault="003129B7" w:rsidP="00304B12">
            <w:pPr>
              <w:spacing w:after="120"/>
              <w:jc w:val="right"/>
              <w:rPr>
                <w:rFonts w:ascii="Calibri" w:hAnsi="Calibri" w:cs="Calibri"/>
                <w:sz w:val="16"/>
                <w:szCs w:val="16"/>
              </w:rPr>
            </w:pPr>
            <w:r>
              <w:rPr>
                <w:rFonts w:ascii="Calibri" w:hAnsi="Calibri" w:cs="Calibri"/>
                <w:sz w:val="16"/>
                <w:szCs w:val="16"/>
              </w:rPr>
              <w:t>52.554.302</w:t>
            </w:r>
          </w:p>
        </w:tc>
      </w:tr>
      <w:tr w:rsidR="00706813" w:rsidRPr="002E2B5B" w14:paraId="7FA9849C" w14:textId="77777777" w:rsidTr="000A571A">
        <w:trPr>
          <w:trHeight w:hRule="exact" w:val="227"/>
        </w:trPr>
        <w:tc>
          <w:tcPr>
            <w:tcW w:w="948" w:type="pct"/>
            <w:tcBorders>
              <w:top w:val="nil"/>
              <w:left w:val="nil"/>
              <w:bottom w:val="nil"/>
              <w:right w:val="nil"/>
            </w:tcBorders>
            <w:shd w:val="clear" w:color="auto" w:fill="auto"/>
            <w:noWrap/>
            <w:vAlign w:val="center"/>
            <w:hideMark/>
          </w:tcPr>
          <w:p w14:paraId="2A60962E" w14:textId="77777777" w:rsidR="00706813" w:rsidRPr="002E2B5B" w:rsidRDefault="00706813" w:rsidP="00937ED9">
            <w:pPr>
              <w:spacing w:after="120"/>
              <w:rPr>
                <w:rFonts w:ascii="Calibri" w:hAnsi="Calibri" w:cs="Calibri"/>
                <w:sz w:val="16"/>
                <w:szCs w:val="16"/>
              </w:rPr>
            </w:pPr>
            <w:r w:rsidRPr="002E2B5B">
              <w:rPr>
                <w:rFonts w:ascii="Calibri" w:hAnsi="Calibri" w:cs="Calibri"/>
                <w:sz w:val="16"/>
                <w:szCs w:val="16"/>
              </w:rPr>
              <w:t>Trabalhistas</w:t>
            </w:r>
          </w:p>
        </w:tc>
        <w:tc>
          <w:tcPr>
            <w:tcW w:w="821" w:type="pct"/>
            <w:tcBorders>
              <w:top w:val="nil"/>
              <w:left w:val="nil"/>
              <w:bottom w:val="nil"/>
              <w:right w:val="nil"/>
            </w:tcBorders>
            <w:shd w:val="clear" w:color="auto" w:fill="auto"/>
            <w:noWrap/>
            <w:vAlign w:val="center"/>
            <w:hideMark/>
          </w:tcPr>
          <w:p w14:paraId="566E2878" w14:textId="1CF32366" w:rsidR="00706813" w:rsidRPr="002E2B5B" w:rsidRDefault="00575261" w:rsidP="00304B12">
            <w:pPr>
              <w:spacing w:after="120"/>
              <w:jc w:val="right"/>
              <w:rPr>
                <w:rFonts w:ascii="Calibri" w:hAnsi="Calibri" w:cs="Calibri"/>
                <w:sz w:val="16"/>
                <w:szCs w:val="16"/>
              </w:rPr>
            </w:pPr>
            <w:r>
              <w:rPr>
                <w:rFonts w:ascii="Calibri" w:hAnsi="Calibri" w:cs="Calibri"/>
                <w:sz w:val="16"/>
                <w:szCs w:val="16"/>
              </w:rPr>
              <w:t>38.071.827</w:t>
            </w:r>
          </w:p>
        </w:tc>
        <w:tc>
          <w:tcPr>
            <w:tcW w:w="623" w:type="pct"/>
            <w:tcBorders>
              <w:top w:val="nil"/>
              <w:left w:val="nil"/>
              <w:bottom w:val="nil"/>
              <w:right w:val="nil"/>
            </w:tcBorders>
            <w:shd w:val="clear" w:color="auto" w:fill="auto"/>
            <w:noWrap/>
            <w:vAlign w:val="center"/>
          </w:tcPr>
          <w:p w14:paraId="5B13618D" w14:textId="008198A5" w:rsidR="00706813" w:rsidRPr="002E2B5B" w:rsidRDefault="003129B7" w:rsidP="00304B12">
            <w:pPr>
              <w:spacing w:after="120"/>
              <w:jc w:val="right"/>
              <w:rPr>
                <w:rFonts w:ascii="Calibri" w:hAnsi="Calibri" w:cs="Calibri"/>
                <w:sz w:val="16"/>
                <w:szCs w:val="16"/>
              </w:rPr>
            </w:pPr>
            <w:r>
              <w:rPr>
                <w:rFonts w:ascii="Calibri" w:hAnsi="Calibri" w:cs="Calibri"/>
                <w:sz w:val="16"/>
                <w:szCs w:val="16"/>
              </w:rPr>
              <w:t>320.260</w:t>
            </w:r>
          </w:p>
        </w:tc>
        <w:tc>
          <w:tcPr>
            <w:tcW w:w="699" w:type="pct"/>
            <w:tcBorders>
              <w:top w:val="nil"/>
              <w:left w:val="nil"/>
              <w:bottom w:val="nil"/>
              <w:right w:val="nil"/>
            </w:tcBorders>
            <w:shd w:val="clear" w:color="auto" w:fill="auto"/>
            <w:noWrap/>
            <w:vAlign w:val="center"/>
          </w:tcPr>
          <w:p w14:paraId="119255E3" w14:textId="6FAECAEE" w:rsidR="00706813" w:rsidRPr="002E2B5B" w:rsidRDefault="00706813" w:rsidP="00304B12">
            <w:pPr>
              <w:spacing w:after="120"/>
              <w:jc w:val="right"/>
              <w:rPr>
                <w:rFonts w:ascii="Calibri" w:hAnsi="Calibri" w:cs="Calibri"/>
                <w:sz w:val="16"/>
                <w:szCs w:val="16"/>
              </w:rPr>
            </w:pPr>
            <w:r w:rsidRPr="002E2B5B">
              <w:rPr>
                <w:rFonts w:ascii="Calibri" w:hAnsi="Calibri" w:cs="Calibri"/>
                <w:sz w:val="16"/>
                <w:szCs w:val="16"/>
              </w:rPr>
              <w:t>(</w:t>
            </w:r>
            <w:r w:rsidR="003129B7">
              <w:rPr>
                <w:rFonts w:ascii="Calibri" w:hAnsi="Calibri" w:cs="Calibri"/>
                <w:sz w:val="16"/>
                <w:szCs w:val="16"/>
              </w:rPr>
              <w:t>1.918.553</w:t>
            </w:r>
            <w:r w:rsidRPr="002E2B5B">
              <w:rPr>
                <w:rFonts w:ascii="Calibri" w:hAnsi="Calibri" w:cs="Calibri"/>
                <w:sz w:val="16"/>
                <w:szCs w:val="16"/>
              </w:rPr>
              <w:t>)</w:t>
            </w:r>
          </w:p>
        </w:tc>
        <w:tc>
          <w:tcPr>
            <w:tcW w:w="955" w:type="pct"/>
            <w:tcBorders>
              <w:top w:val="nil"/>
              <w:left w:val="nil"/>
              <w:bottom w:val="nil"/>
              <w:right w:val="nil"/>
            </w:tcBorders>
            <w:vAlign w:val="center"/>
          </w:tcPr>
          <w:p w14:paraId="35F59C03" w14:textId="0FE6036B" w:rsidR="00706813" w:rsidRPr="00706813" w:rsidRDefault="00706813" w:rsidP="00304B12">
            <w:pPr>
              <w:spacing w:after="120"/>
              <w:jc w:val="right"/>
              <w:rPr>
                <w:rFonts w:ascii="Calibri" w:hAnsi="Calibri" w:cs="Calibri"/>
                <w:sz w:val="16"/>
                <w:szCs w:val="16"/>
              </w:rPr>
            </w:pPr>
            <w:r w:rsidRPr="00706813">
              <w:rPr>
                <w:rFonts w:ascii="Calibri" w:hAnsi="Calibri" w:cs="Calibri"/>
                <w:sz w:val="16"/>
                <w:szCs w:val="16"/>
              </w:rPr>
              <w:t>(</w:t>
            </w:r>
            <w:r w:rsidR="003129B7">
              <w:rPr>
                <w:rFonts w:ascii="Calibri" w:hAnsi="Calibri" w:cs="Calibri"/>
                <w:sz w:val="16"/>
                <w:szCs w:val="16"/>
              </w:rPr>
              <w:t>178.978</w:t>
            </w:r>
            <w:r w:rsidRPr="00706813">
              <w:rPr>
                <w:rFonts w:ascii="Calibri" w:hAnsi="Calibri" w:cs="Calibri"/>
                <w:sz w:val="16"/>
                <w:szCs w:val="16"/>
              </w:rPr>
              <w:t>)</w:t>
            </w:r>
          </w:p>
        </w:tc>
        <w:tc>
          <w:tcPr>
            <w:tcW w:w="954" w:type="pct"/>
            <w:tcBorders>
              <w:top w:val="nil"/>
              <w:left w:val="nil"/>
              <w:bottom w:val="nil"/>
              <w:right w:val="nil"/>
            </w:tcBorders>
            <w:shd w:val="clear" w:color="auto" w:fill="auto"/>
            <w:noWrap/>
            <w:vAlign w:val="center"/>
          </w:tcPr>
          <w:p w14:paraId="2A6F01EC" w14:textId="298322CB" w:rsidR="00706813" w:rsidRPr="002E2B5B" w:rsidRDefault="00575261" w:rsidP="00304B12">
            <w:pPr>
              <w:spacing w:after="120"/>
              <w:jc w:val="right"/>
              <w:rPr>
                <w:rFonts w:ascii="Calibri" w:hAnsi="Calibri" w:cs="Calibri"/>
                <w:sz w:val="16"/>
                <w:szCs w:val="16"/>
              </w:rPr>
            </w:pPr>
            <w:r>
              <w:rPr>
                <w:rFonts w:ascii="Calibri" w:hAnsi="Calibri" w:cs="Calibri"/>
                <w:sz w:val="16"/>
                <w:szCs w:val="16"/>
              </w:rPr>
              <w:t>3</w:t>
            </w:r>
            <w:r w:rsidR="003129B7">
              <w:rPr>
                <w:rFonts w:ascii="Calibri" w:hAnsi="Calibri" w:cs="Calibri"/>
                <w:sz w:val="16"/>
                <w:szCs w:val="16"/>
              </w:rPr>
              <w:t>6</w:t>
            </w:r>
            <w:r>
              <w:rPr>
                <w:rFonts w:ascii="Calibri" w:hAnsi="Calibri" w:cs="Calibri"/>
                <w:sz w:val="16"/>
                <w:szCs w:val="16"/>
              </w:rPr>
              <w:t>.</w:t>
            </w:r>
            <w:r w:rsidR="003129B7">
              <w:rPr>
                <w:rFonts w:ascii="Calibri" w:hAnsi="Calibri" w:cs="Calibri"/>
                <w:sz w:val="16"/>
                <w:szCs w:val="16"/>
              </w:rPr>
              <w:t>294</w:t>
            </w:r>
            <w:r>
              <w:rPr>
                <w:rFonts w:ascii="Calibri" w:hAnsi="Calibri" w:cs="Calibri"/>
                <w:sz w:val="16"/>
                <w:szCs w:val="16"/>
              </w:rPr>
              <w:t>.</w:t>
            </w:r>
            <w:r w:rsidR="003129B7">
              <w:rPr>
                <w:rFonts w:ascii="Calibri" w:hAnsi="Calibri" w:cs="Calibri"/>
                <w:sz w:val="16"/>
                <w:szCs w:val="16"/>
              </w:rPr>
              <w:t>556</w:t>
            </w:r>
          </w:p>
        </w:tc>
      </w:tr>
      <w:tr w:rsidR="00706813" w:rsidRPr="002E2B5B" w14:paraId="3ED486A4" w14:textId="77777777" w:rsidTr="000A571A">
        <w:trPr>
          <w:trHeight w:hRule="exact" w:val="227"/>
        </w:trPr>
        <w:tc>
          <w:tcPr>
            <w:tcW w:w="948" w:type="pct"/>
            <w:tcBorders>
              <w:top w:val="single" w:sz="4" w:space="0" w:color="auto"/>
              <w:left w:val="nil"/>
              <w:bottom w:val="single" w:sz="4" w:space="0" w:color="auto"/>
              <w:right w:val="nil"/>
            </w:tcBorders>
            <w:shd w:val="clear" w:color="auto" w:fill="auto"/>
            <w:noWrap/>
            <w:vAlign w:val="center"/>
            <w:hideMark/>
          </w:tcPr>
          <w:p w14:paraId="2551589F" w14:textId="77777777" w:rsidR="00706813" w:rsidRPr="002E2B5B" w:rsidRDefault="00706813" w:rsidP="00937ED9">
            <w:pPr>
              <w:spacing w:after="120"/>
              <w:rPr>
                <w:rFonts w:ascii="Calibri" w:hAnsi="Calibri" w:cs="Calibri"/>
                <w:b/>
                <w:bCs/>
                <w:sz w:val="16"/>
                <w:szCs w:val="16"/>
              </w:rPr>
            </w:pPr>
            <w:r w:rsidRPr="002E2B5B">
              <w:rPr>
                <w:rFonts w:ascii="Calibri" w:hAnsi="Calibri" w:cs="Calibri"/>
                <w:b/>
                <w:bCs/>
                <w:sz w:val="16"/>
                <w:szCs w:val="16"/>
              </w:rPr>
              <w:t>TOTAL</w:t>
            </w:r>
          </w:p>
        </w:tc>
        <w:tc>
          <w:tcPr>
            <w:tcW w:w="821" w:type="pct"/>
            <w:tcBorders>
              <w:top w:val="single" w:sz="4" w:space="0" w:color="auto"/>
              <w:left w:val="nil"/>
              <w:bottom w:val="single" w:sz="4" w:space="0" w:color="auto"/>
              <w:right w:val="nil"/>
            </w:tcBorders>
            <w:shd w:val="clear" w:color="auto" w:fill="auto"/>
            <w:noWrap/>
            <w:vAlign w:val="center"/>
            <w:hideMark/>
          </w:tcPr>
          <w:p w14:paraId="3CC1A0A8" w14:textId="6A19B146" w:rsidR="00706813" w:rsidRPr="002E2B5B" w:rsidRDefault="00575261" w:rsidP="00304B12">
            <w:pPr>
              <w:spacing w:after="120"/>
              <w:jc w:val="right"/>
              <w:rPr>
                <w:rFonts w:ascii="Calibri" w:hAnsi="Calibri" w:cs="Calibri"/>
                <w:b/>
                <w:bCs/>
                <w:sz w:val="16"/>
                <w:szCs w:val="16"/>
              </w:rPr>
            </w:pPr>
            <w:r>
              <w:rPr>
                <w:rFonts w:ascii="Calibri" w:hAnsi="Calibri" w:cs="Calibri"/>
                <w:b/>
                <w:bCs/>
                <w:sz w:val="16"/>
                <w:szCs w:val="16"/>
              </w:rPr>
              <w:t>89.713.629</w:t>
            </w:r>
          </w:p>
        </w:tc>
        <w:tc>
          <w:tcPr>
            <w:tcW w:w="623" w:type="pct"/>
            <w:tcBorders>
              <w:top w:val="single" w:sz="4" w:space="0" w:color="auto"/>
              <w:left w:val="nil"/>
              <w:bottom w:val="single" w:sz="4" w:space="0" w:color="auto"/>
              <w:right w:val="nil"/>
            </w:tcBorders>
            <w:shd w:val="clear" w:color="auto" w:fill="auto"/>
            <w:noWrap/>
            <w:vAlign w:val="center"/>
          </w:tcPr>
          <w:p w14:paraId="6B3D1F26" w14:textId="5B672587" w:rsidR="00706813" w:rsidRPr="002E2B5B" w:rsidRDefault="003129B7" w:rsidP="00304B12">
            <w:pPr>
              <w:spacing w:after="120"/>
              <w:jc w:val="right"/>
              <w:rPr>
                <w:rFonts w:ascii="Calibri" w:hAnsi="Calibri" w:cs="Calibri"/>
                <w:b/>
                <w:bCs/>
                <w:sz w:val="16"/>
                <w:szCs w:val="16"/>
              </w:rPr>
            </w:pPr>
            <w:r>
              <w:rPr>
                <w:rFonts w:ascii="Calibri" w:hAnsi="Calibri" w:cs="Calibri"/>
                <w:b/>
                <w:bCs/>
                <w:sz w:val="16"/>
                <w:szCs w:val="16"/>
              </w:rPr>
              <w:t>1.232.260</w:t>
            </w:r>
          </w:p>
        </w:tc>
        <w:tc>
          <w:tcPr>
            <w:tcW w:w="699" w:type="pct"/>
            <w:tcBorders>
              <w:top w:val="single" w:sz="4" w:space="0" w:color="auto"/>
              <w:left w:val="nil"/>
              <w:bottom w:val="single" w:sz="4" w:space="0" w:color="auto"/>
              <w:right w:val="nil"/>
            </w:tcBorders>
            <w:shd w:val="clear" w:color="auto" w:fill="auto"/>
            <w:noWrap/>
            <w:vAlign w:val="center"/>
          </w:tcPr>
          <w:p w14:paraId="22E0F802" w14:textId="56E71424" w:rsidR="00706813" w:rsidRPr="002E2B5B" w:rsidRDefault="00706813" w:rsidP="00304B12">
            <w:pPr>
              <w:spacing w:after="120"/>
              <w:jc w:val="right"/>
              <w:rPr>
                <w:rFonts w:ascii="Calibri" w:hAnsi="Calibri" w:cs="Calibri"/>
                <w:b/>
                <w:bCs/>
                <w:sz w:val="16"/>
                <w:szCs w:val="16"/>
              </w:rPr>
            </w:pPr>
            <w:r w:rsidRPr="002E2B5B">
              <w:rPr>
                <w:rFonts w:ascii="Calibri" w:hAnsi="Calibri" w:cs="Calibri"/>
                <w:b/>
                <w:bCs/>
                <w:sz w:val="16"/>
                <w:szCs w:val="16"/>
              </w:rPr>
              <w:t>(</w:t>
            </w:r>
            <w:r w:rsidR="003129B7">
              <w:rPr>
                <w:rFonts w:ascii="Calibri" w:hAnsi="Calibri" w:cs="Calibri"/>
                <w:b/>
                <w:bCs/>
                <w:sz w:val="16"/>
                <w:szCs w:val="16"/>
              </w:rPr>
              <w:t>1.918.553</w:t>
            </w:r>
            <w:r w:rsidRPr="002E2B5B">
              <w:rPr>
                <w:rFonts w:ascii="Calibri" w:hAnsi="Calibri" w:cs="Calibri"/>
                <w:b/>
                <w:bCs/>
                <w:sz w:val="16"/>
                <w:szCs w:val="16"/>
              </w:rPr>
              <w:t>)</w:t>
            </w:r>
          </w:p>
        </w:tc>
        <w:tc>
          <w:tcPr>
            <w:tcW w:w="955" w:type="pct"/>
            <w:tcBorders>
              <w:top w:val="single" w:sz="4" w:space="0" w:color="auto"/>
              <w:left w:val="nil"/>
              <w:bottom w:val="single" w:sz="4" w:space="0" w:color="auto"/>
              <w:right w:val="nil"/>
            </w:tcBorders>
            <w:vAlign w:val="center"/>
          </w:tcPr>
          <w:p w14:paraId="2B971A4D" w14:textId="2747433C" w:rsidR="00706813" w:rsidRPr="00706813" w:rsidRDefault="00706813" w:rsidP="00304B12">
            <w:pPr>
              <w:spacing w:after="120"/>
              <w:jc w:val="right"/>
              <w:rPr>
                <w:rFonts w:ascii="Calibri" w:hAnsi="Calibri" w:cs="Calibri"/>
                <w:b/>
                <w:bCs/>
                <w:sz w:val="16"/>
                <w:szCs w:val="16"/>
              </w:rPr>
            </w:pPr>
            <w:r w:rsidRPr="00706813">
              <w:rPr>
                <w:rFonts w:ascii="Calibri" w:hAnsi="Calibri" w:cs="Calibri"/>
                <w:b/>
                <w:bCs/>
                <w:sz w:val="16"/>
                <w:szCs w:val="16"/>
              </w:rPr>
              <w:t>(</w:t>
            </w:r>
            <w:r w:rsidR="003129B7">
              <w:rPr>
                <w:rFonts w:ascii="Calibri" w:hAnsi="Calibri" w:cs="Calibri"/>
                <w:b/>
                <w:bCs/>
                <w:sz w:val="16"/>
                <w:szCs w:val="16"/>
              </w:rPr>
              <w:t>178.978</w:t>
            </w:r>
            <w:r w:rsidRPr="00706813">
              <w:rPr>
                <w:rFonts w:ascii="Calibri" w:hAnsi="Calibri" w:cs="Calibri"/>
                <w:b/>
                <w:bCs/>
                <w:sz w:val="16"/>
                <w:szCs w:val="16"/>
              </w:rPr>
              <w:t>)</w:t>
            </w:r>
          </w:p>
        </w:tc>
        <w:tc>
          <w:tcPr>
            <w:tcW w:w="954" w:type="pct"/>
            <w:tcBorders>
              <w:top w:val="single" w:sz="4" w:space="0" w:color="auto"/>
              <w:left w:val="nil"/>
              <w:bottom w:val="single" w:sz="4" w:space="0" w:color="auto"/>
              <w:right w:val="nil"/>
            </w:tcBorders>
            <w:shd w:val="clear" w:color="auto" w:fill="auto"/>
            <w:noWrap/>
            <w:vAlign w:val="center"/>
          </w:tcPr>
          <w:p w14:paraId="5ED8D0F1" w14:textId="64DABA8B" w:rsidR="00706813" w:rsidRPr="002E2B5B" w:rsidRDefault="003129B7" w:rsidP="00304B12">
            <w:pPr>
              <w:spacing w:after="120"/>
              <w:jc w:val="right"/>
              <w:rPr>
                <w:rFonts w:ascii="Calibri" w:hAnsi="Calibri" w:cs="Calibri"/>
                <w:b/>
                <w:bCs/>
                <w:sz w:val="16"/>
                <w:szCs w:val="16"/>
              </w:rPr>
            </w:pPr>
            <w:r>
              <w:rPr>
                <w:rFonts w:ascii="Calibri" w:hAnsi="Calibri" w:cs="Calibri"/>
                <w:b/>
                <w:bCs/>
                <w:sz w:val="16"/>
                <w:szCs w:val="16"/>
              </w:rPr>
              <w:t>88.848.858</w:t>
            </w:r>
          </w:p>
        </w:tc>
      </w:tr>
    </w:tbl>
    <w:p w14:paraId="3B838B7C" w14:textId="632DC283" w:rsidR="00E9733B" w:rsidRDefault="00174649" w:rsidP="000B3A75">
      <w:pPr>
        <w:spacing w:before="120" w:after="120"/>
        <w:jc w:val="both"/>
        <w:rPr>
          <w:rFonts w:ascii="Calibri" w:hAnsi="Calibri" w:cs="Calibri"/>
          <w:sz w:val="22"/>
          <w:szCs w:val="22"/>
        </w:rPr>
      </w:pPr>
      <w:r w:rsidRPr="002E2B5B">
        <w:rPr>
          <w:rFonts w:ascii="Calibri" w:hAnsi="Calibri" w:cs="Calibri"/>
          <w:sz w:val="22"/>
          <w:szCs w:val="22"/>
        </w:rPr>
        <w:t xml:space="preserve">O montante </w:t>
      </w:r>
      <w:r w:rsidR="00E35139" w:rsidRPr="002E2B5B">
        <w:rPr>
          <w:rFonts w:ascii="Calibri" w:hAnsi="Calibri" w:cs="Calibri"/>
          <w:sz w:val="22"/>
          <w:szCs w:val="22"/>
        </w:rPr>
        <w:t xml:space="preserve">de R$ </w:t>
      </w:r>
      <w:r w:rsidR="000027B2">
        <w:rPr>
          <w:rFonts w:ascii="Calibri" w:hAnsi="Calibri" w:cs="Calibri"/>
          <w:sz w:val="22"/>
          <w:szCs w:val="22"/>
        </w:rPr>
        <w:t>8</w:t>
      </w:r>
      <w:r w:rsidR="003129B7">
        <w:rPr>
          <w:rFonts w:ascii="Calibri" w:hAnsi="Calibri" w:cs="Calibri"/>
          <w:sz w:val="22"/>
          <w:szCs w:val="22"/>
        </w:rPr>
        <w:t>8</w:t>
      </w:r>
      <w:r w:rsidR="000027B2">
        <w:rPr>
          <w:rFonts w:ascii="Calibri" w:hAnsi="Calibri" w:cs="Calibri"/>
          <w:sz w:val="22"/>
          <w:szCs w:val="22"/>
        </w:rPr>
        <w:t>,</w:t>
      </w:r>
      <w:r w:rsidR="003129B7">
        <w:rPr>
          <w:rFonts w:ascii="Calibri" w:hAnsi="Calibri" w:cs="Calibri"/>
          <w:sz w:val="22"/>
          <w:szCs w:val="22"/>
        </w:rPr>
        <w:t>8</w:t>
      </w:r>
      <w:r w:rsidR="00D219D5">
        <w:rPr>
          <w:rFonts w:ascii="Calibri" w:hAnsi="Calibri" w:cs="Calibri"/>
          <w:sz w:val="22"/>
          <w:szCs w:val="22"/>
        </w:rPr>
        <w:t>5</w:t>
      </w:r>
      <w:r w:rsidR="00706813">
        <w:rPr>
          <w:rFonts w:ascii="Calibri" w:hAnsi="Calibri" w:cs="Calibri"/>
          <w:sz w:val="22"/>
          <w:szCs w:val="22"/>
        </w:rPr>
        <w:t xml:space="preserve"> milhões</w:t>
      </w:r>
      <w:r w:rsidRPr="002E2B5B">
        <w:rPr>
          <w:rFonts w:ascii="Calibri" w:hAnsi="Calibri" w:cs="Calibri"/>
          <w:sz w:val="22"/>
          <w:szCs w:val="22"/>
        </w:rPr>
        <w:t xml:space="preserve"> compreende </w:t>
      </w:r>
      <w:r w:rsidR="00300ECC" w:rsidRPr="002E2B5B">
        <w:rPr>
          <w:rFonts w:ascii="Calibri" w:hAnsi="Calibri" w:cs="Calibri"/>
          <w:sz w:val="22"/>
          <w:szCs w:val="22"/>
        </w:rPr>
        <w:t>os</w:t>
      </w:r>
      <w:r w:rsidRPr="002E2B5B">
        <w:rPr>
          <w:rFonts w:ascii="Calibri" w:hAnsi="Calibri" w:cs="Calibri"/>
          <w:sz w:val="22"/>
          <w:szCs w:val="22"/>
        </w:rPr>
        <w:t xml:space="preserve"> </w:t>
      </w:r>
      <w:r w:rsidR="00D33D2A" w:rsidRPr="002E2B5B">
        <w:rPr>
          <w:rFonts w:ascii="Calibri" w:hAnsi="Calibri" w:cs="Calibri"/>
          <w:sz w:val="22"/>
          <w:szCs w:val="22"/>
        </w:rPr>
        <w:t xml:space="preserve">valores depositados em juízo referentes a </w:t>
      </w:r>
      <w:r w:rsidRPr="002E2B5B">
        <w:rPr>
          <w:rFonts w:ascii="Calibri" w:hAnsi="Calibri" w:cs="Calibri"/>
          <w:sz w:val="22"/>
          <w:szCs w:val="22"/>
        </w:rPr>
        <w:t xml:space="preserve">depósitos </w:t>
      </w:r>
      <w:r w:rsidR="00D33D2A" w:rsidRPr="002E2B5B">
        <w:rPr>
          <w:rFonts w:ascii="Calibri" w:hAnsi="Calibri" w:cs="Calibri"/>
          <w:sz w:val="22"/>
          <w:szCs w:val="22"/>
        </w:rPr>
        <w:t xml:space="preserve">recursais, </w:t>
      </w:r>
      <w:r w:rsidRPr="002E2B5B">
        <w:rPr>
          <w:rFonts w:ascii="Calibri" w:hAnsi="Calibri" w:cs="Calibri"/>
          <w:sz w:val="22"/>
          <w:szCs w:val="22"/>
        </w:rPr>
        <w:t>provenientes das ações trabalhistas e cíveis impetradas pelas partes autoras contra</w:t>
      </w:r>
      <w:r w:rsidR="004F4203" w:rsidRPr="002E2B5B">
        <w:rPr>
          <w:rFonts w:ascii="Calibri" w:hAnsi="Calibri" w:cs="Calibri"/>
          <w:sz w:val="22"/>
          <w:szCs w:val="22"/>
        </w:rPr>
        <w:t xml:space="preserve"> a VALEC e </w:t>
      </w:r>
      <w:r w:rsidRPr="002E2B5B">
        <w:rPr>
          <w:rFonts w:ascii="Calibri" w:hAnsi="Calibri" w:cs="Calibri"/>
          <w:sz w:val="22"/>
          <w:szCs w:val="22"/>
        </w:rPr>
        <w:t>as extintas empresas Rede Ferroviária Federal S/A – RFFSA e Empresa Brasileira de Plane</w:t>
      </w:r>
      <w:r w:rsidR="004F4203" w:rsidRPr="002E2B5B">
        <w:rPr>
          <w:rFonts w:ascii="Calibri" w:hAnsi="Calibri" w:cs="Calibri"/>
          <w:sz w:val="22"/>
          <w:szCs w:val="22"/>
        </w:rPr>
        <w:t>jamento de Transportes – GEIPOT</w:t>
      </w:r>
      <w:r w:rsidR="00526964" w:rsidRPr="002E2B5B">
        <w:rPr>
          <w:rFonts w:ascii="Calibri" w:hAnsi="Calibri" w:cs="Calibri"/>
          <w:sz w:val="22"/>
          <w:szCs w:val="22"/>
        </w:rPr>
        <w:t>, atualizados monetariamente pela</w:t>
      </w:r>
      <w:r w:rsidR="00D33D2A" w:rsidRPr="002E2B5B">
        <w:rPr>
          <w:rFonts w:ascii="Calibri" w:hAnsi="Calibri" w:cs="Calibri"/>
          <w:sz w:val="22"/>
          <w:szCs w:val="22"/>
        </w:rPr>
        <w:t xml:space="preserve"> taxa JAM-FGTS (ações trabalhistas) ou pela taxa Selic (ações cíveis)</w:t>
      </w:r>
      <w:r w:rsidR="00526964" w:rsidRPr="002E2B5B">
        <w:rPr>
          <w:rFonts w:ascii="Calibri" w:hAnsi="Calibri" w:cs="Calibri"/>
          <w:sz w:val="22"/>
          <w:szCs w:val="22"/>
        </w:rPr>
        <w:t xml:space="preserve"> até 31</w:t>
      </w:r>
      <w:r w:rsidR="00706813">
        <w:rPr>
          <w:rFonts w:ascii="Calibri" w:hAnsi="Calibri" w:cs="Calibri"/>
          <w:sz w:val="22"/>
          <w:szCs w:val="22"/>
        </w:rPr>
        <w:t xml:space="preserve"> de dezembro de 2018</w:t>
      </w:r>
      <w:r w:rsidR="00526964" w:rsidRPr="002E2B5B">
        <w:rPr>
          <w:rFonts w:ascii="Calibri" w:hAnsi="Calibri" w:cs="Calibri"/>
          <w:sz w:val="22"/>
          <w:szCs w:val="22"/>
        </w:rPr>
        <w:t>.</w:t>
      </w:r>
    </w:p>
    <w:p w14:paraId="1FCA8969" w14:textId="77777777" w:rsidR="00A502E5" w:rsidRPr="002E2B5B" w:rsidRDefault="00660339" w:rsidP="00937ED9">
      <w:pPr>
        <w:numPr>
          <w:ilvl w:val="0"/>
          <w:numId w:val="4"/>
        </w:numPr>
        <w:spacing w:after="120"/>
        <w:ind w:left="284" w:right="-142" w:hanging="284"/>
        <w:jc w:val="both"/>
        <w:rPr>
          <w:rFonts w:ascii="Calibri" w:hAnsi="Calibri" w:cs="Calibri"/>
          <w:sz w:val="22"/>
          <w:szCs w:val="22"/>
        </w:rPr>
      </w:pPr>
      <w:r w:rsidRPr="002E2B5B">
        <w:rPr>
          <w:rFonts w:ascii="Calibri" w:hAnsi="Calibri" w:cs="Calibri"/>
          <w:b/>
          <w:sz w:val="22"/>
          <w:szCs w:val="22"/>
        </w:rPr>
        <w:t>Valores a Receber</w:t>
      </w:r>
      <w:r w:rsidR="00E848F6" w:rsidRPr="002E2B5B">
        <w:rPr>
          <w:rFonts w:ascii="Calibri" w:hAnsi="Calibri" w:cs="Calibri"/>
          <w:b/>
          <w:sz w:val="22"/>
          <w:szCs w:val="22"/>
        </w:rPr>
        <w:t xml:space="preserve">  </w:t>
      </w:r>
    </w:p>
    <w:tbl>
      <w:tblPr>
        <w:tblW w:w="5001" w:type="pct"/>
        <w:tblCellMar>
          <w:left w:w="70" w:type="dxa"/>
          <w:right w:w="70" w:type="dxa"/>
        </w:tblCellMar>
        <w:tblLook w:val="04A0" w:firstRow="1" w:lastRow="0" w:firstColumn="1" w:lastColumn="0" w:noHBand="0" w:noVBand="1"/>
      </w:tblPr>
      <w:tblGrid>
        <w:gridCol w:w="4112"/>
        <w:gridCol w:w="436"/>
        <w:gridCol w:w="438"/>
        <w:gridCol w:w="1773"/>
        <w:gridCol w:w="1773"/>
        <w:gridCol w:w="1937"/>
      </w:tblGrid>
      <w:tr w:rsidR="00F82B11" w:rsidRPr="002E2B5B" w14:paraId="0505C96F" w14:textId="77777777" w:rsidTr="000B3A75">
        <w:trPr>
          <w:trHeight w:hRule="exact" w:val="227"/>
        </w:trPr>
        <w:tc>
          <w:tcPr>
            <w:tcW w:w="2381" w:type="pct"/>
            <w:gridSpan w:val="3"/>
            <w:tcBorders>
              <w:top w:val="nil"/>
              <w:left w:val="nil"/>
              <w:bottom w:val="single" w:sz="8" w:space="0" w:color="auto"/>
              <w:right w:val="nil"/>
            </w:tcBorders>
            <w:shd w:val="clear" w:color="auto" w:fill="auto"/>
            <w:noWrap/>
            <w:vAlign w:val="center"/>
            <w:hideMark/>
          </w:tcPr>
          <w:p w14:paraId="652B3ABF" w14:textId="77777777" w:rsidR="00F82B11" w:rsidRPr="002E2B5B" w:rsidRDefault="00F82B11" w:rsidP="00937ED9">
            <w:pPr>
              <w:spacing w:after="120"/>
              <w:rPr>
                <w:rFonts w:ascii="Calibri" w:hAnsi="Calibri" w:cs="Calibri"/>
                <w:b/>
                <w:bCs/>
                <w:color w:val="000000"/>
                <w:sz w:val="16"/>
                <w:szCs w:val="16"/>
              </w:rPr>
            </w:pPr>
            <w:r w:rsidRPr="002E2B5B">
              <w:rPr>
                <w:rFonts w:ascii="Calibri" w:hAnsi="Calibri" w:cs="Calibri"/>
                <w:b/>
                <w:bCs/>
                <w:color w:val="000000"/>
                <w:sz w:val="16"/>
                <w:szCs w:val="16"/>
              </w:rPr>
              <w:t>VALORES A RECEBER</w:t>
            </w:r>
          </w:p>
        </w:tc>
        <w:tc>
          <w:tcPr>
            <w:tcW w:w="847" w:type="pct"/>
            <w:tcBorders>
              <w:top w:val="nil"/>
              <w:left w:val="nil"/>
              <w:bottom w:val="single" w:sz="8" w:space="0" w:color="auto"/>
              <w:right w:val="nil"/>
            </w:tcBorders>
            <w:shd w:val="clear" w:color="auto" w:fill="auto"/>
            <w:noWrap/>
            <w:vAlign w:val="center"/>
          </w:tcPr>
          <w:p w14:paraId="4679933E" w14:textId="77777777" w:rsidR="00F82B11" w:rsidRPr="002E2B5B" w:rsidRDefault="00F82B11" w:rsidP="00937ED9">
            <w:pPr>
              <w:spacing w:after="120"/>
              <w:jc w:val="right"/>
              <w:rPr>
                <w:rFonts w:ascii="Calibri" w:hAnsi="Calibri" w:cs="Calibri"/>
                <w:b/>
                <w:bCs/>
                <w:color w:val="000000"/>
                <w:sz w:val="16"/>
                <w:szCs w:val="16"/>
              </w:rPr>
            </w:pPr>
          </w:p>
        </w:tc>
        <w:tc>
          <w:tcPr>
            <w:tcW w:w="847" w:type="pct"/>
            <w:tcBorders>
              <w:top w:val="nil"/>
              <w:left w:val="nil"/>
              <w:bottom w:val="single" w:sz="8" w:space="0" w:color="auto"/>
              <w:right w:val="nil"/>
            </w:tcBorders>
            <w:shd w:val="clear" w:color="auto" w:fill="auto"/>
            <w:noWrap/>
            <w:vAlign w:val="center"/>
            <w:hideMark/>
          </w:tcPr>
          <w:p w14:paraId="411293E8" w14:textId="6FF49BFF" w:rsidR="00F82B11" w:rsidRPr="002E2B5B" w:rsidRDefault="00BC2E03" w:rsidP="00937ED9">
            <w:pPr>
              <w:spacing w:after="120"/>
              <w:jc w:val="right"/>
              <w:rPr>
                <w:rFonts w:ascii="Calibri" w:hAnsi="Calibri" w:cs="Calibri"/>
                <w:b/>
                <w:bCs/>
                <w:color w:val="000000"/>
                <w:sz w:val="16"/>
                <w:szCs w:val="16"/>
              </w:rPr>
            </w:pPr>
            <w:r>
              <w:rPr>
                <w:rFonts w:ascii="Calibri" w:hAnsi="Calibri" w:cs="Calibri"/>
                <w:b/>
                <w:bCs/>
                <w:color w:val="000000"/>
                <w:sz w:val="16"/>
                <w:szCs w:val="16"/>
              </w:rPr>
              <w:t>3</w:t>
            </w:r>
            <w:r w:rsidR="003129B7">
              <w:rPr>
                <w:rFonts w:ascii="Calibri" w:hAnsi="Calibri" w:cs="Calibri"/>
                <w:b/>
                <w:bCs/>
                <w:color w:val="000000"/>
                <w:sz w:val="16"/>
                <w:szCs w:val="16"/>
              </w:rPr>
              <w:t>0</w:t>
            </w:r>
            <w:r>
              <w:rPr>
                <w:rFonts w:ascii="Calibri" w:hAnsi="Calibri" w:cs="Calibri"/>
                <w:b/>
                <w:bCs/>
                <w:color w:val="000000"/>
                <w:sz w:val="16"/>
                <w:szCs w:val="16"/>
              </w:rPr>
              <w:t>/</w:t>
            </w:r>
            <w:r w:rsidR="003544D3">
              <w:rPr>
                <w:rFonts w:ascii="Calibri" w:hAnsi="Calibri" w:cs="Calibri"/>
                <w:b/>
                <w:bCs/>
                <w:color w:val="000000"/>
                <w:sz w:val="16"/>
                <w:szCs w:val="16"/>
              </w:rPr>
              <w:t>0</w:t>
            </w:r>
            <w:r w:rsidR="003129B7">
              <w:rPr>
                <w:rFonts w:ascii="Calibri" w:hAnsi="Calibri" w:cs="Calibri"/>
                <w:b/>
                <w:bCs/>
                <w:color w:val="000000"/>
                <w:sz w:val="16"/>
                <w:szCs w:val="16"/>
              </w:rPr>
              <w:t>6</w:t>
            </w:r>
            <w:r w:rsidR="00F82B11" w:rsidRPr="002E2B5B">
              <w:rPr>
                <w:rFonts w:ascii="Calibri" w:hAnsi="Calibri" w:cs="Calibri"/>
                <w:b/>
                <w:bCs/>
                <w:color w:val="000000"/>
                <w:sz w:val="16"/>
                <w:szCs w:val="16"/>
              </w:rPr>
              <w:t>/202</w:t>
            </w:r>
            <w:r w:rsidR="003544D3">
              <w:rPr>
                <w:rFonts w:ascii="Calibri" w:hAnsi="Calibri" w:cs="Calibri"/>
                <w:b/>
                <w:bCs/>
                <w:color w:val="000000"/>
                <w:sz w:val="16"/>
                <w:szCs w:val="16"/>
              </w:rPr>
              <w:t>2</w:t>
            </w:r>
          </w:p>
        </w:tc>
        <w:tc>
          <w:tcPr>
            <w:tcW w:w="925" w:type="pct"/>
            <w:tcBorders>
              <w:top w:val="nil"/>
              <w:left w:val="nil"/>
              <w:bottom w:val="single" w:sz="8" w:space="0" w:color="auto"/>
              <w:right w:val="nil"/>
            </w:tcBorders>
            <w:vAlign w:val="center"/>
          </w:tcPr>
          <w:p w14:paraId="00C0F1B8" w14:textId="6A6A4F62" w:rsidR="00F82B11" w:rsidRPr="002E2B5B" w:rsidRDefault="00F82B11" w:rsidP="00937ED9">
            <w:pPr>
              <w:spacing w:after="120"/>
              <w:jc w:val="right"/>
              <w:rPr>
                <w:rFonts w:ascii="Calibri" w:hAnsi="Calibri" w:cs="Calibri"/>
                <w:b/>
                <w:bCs/>
                <w:color w:val="000000"/>
                <w:sz w:val="16"/>
                <w:szCs w:val="16"/>
              </w:rPr>
            </w:pPr>
            <w:r w:rsidRPr="002E2B5B">
              <w:rPr>
                <w:rFonts w:ascii="Calibri" w:hAnsi="Calibri" w:cs="Calibri"/>
                <w:b/>
                <w:bCs/>
                <w:color w:val="000000"/>
                <w:sz w:val="16"/>
                <w:szCs w:val="16"/>
              </w:rPr>
              <w:t>31/12/20</w:t>
            </w:r>
            <w:r w:rsidR="009C6659">
              <w:rPr>
                <w:rFonts w:ascii="Calibri" w:hAnsi="Calibri" w:cs="Calibri"/>
                <w:b/>
                <w:bCs/>
                <w:color w:val="000000"/>
                <w:sz w:val="16"/>
                <w:szCs w:val="16"/>
              </w:rPr>
              <w:t>2</w:t>
            </w:r>
            <w:r w:rsidR="003544D3">
              <w:rPr>
                <w:rFonts w:ascii="Calibri" w:hAnsi="Calibri" w:cs="Calibri"/>
                <w:b/>
                <w:bCs/>
                <w:color w:val="000000"/>
                <w:sz w:val="16"/>
                <w:szCs w:val="16"/>
              </w:rPr>
              <w:t>1</w:t>
            </w:r>
          </w:p>
        </w:tc>
      </w:tr>
      <w:tr w:rsidR="00F82B11" w:rsidRPr="002E2B5B" w14:paraId="5E7B6336" w14:textId="77777777" w:rsidTr="000B3A75">
        <w:trPr>
          <w:trHeight w:hRule="exact" w:val="227"/>
        </w:trPr>
        <w:tc>
          <w:tcPr>
            <w:tcW w:w="2381" w:type="pct"/>
            <w:gridSpan w:val="3"/>
            <w:tcBorders>
              <w:top w:val="single" w:sz="8" w:space="0" w:color="auto"/>
              <w:left w:val="nil"/>
              <w:bottom w:val="nil"/>
              <w:right w:val="nil"/>
            </w:tcBorders>
            <w:shd w:val="clear" w:color="auto" w:fill="auto"/>
            <w:noWrap/>
            <w:vAlign w:val="center"/>
            <w:hideMark/>
          </w:tcPr>
          <w:p w14:paraId="4A0D5388" w14:textId="77777777" w:rsidR="00F82B11" w:rsidRPr="002E2B5B" w:rsidRDefault="00F82B11" w:rsidP="00937ED9">
            <w:pPr>
              <w:spacing w:after="120"/>
              <w:rPr>
                <w:rFonts w:ascii="Calibri" w:hAnsi="Calibri" w:cs="Calibri"/>
                <w:color w:val="000000"/>
                <w:sz w:val="16"/>
                <w:szCs w:val="16"/>
              </w:rPr>
            </w:pPr>
            <w:r w:rsidRPr="002E2B5B">
              <w:rPr>
                <w:rFonts w:ascii="Calibri" w:hAnsi="Calibri" w:cs="Calibri"/>
                <w:color w:val="000000"/>
                <w:sz w:val="16"/>
                <w:szCs w:val="16"/>
              </w:rPr>
              <w:t xml:space="preserve"> Saldo do exercício anterior</w:t>
            </w:r>
          </w:p>
        </w:tc>
        <w:tc>
          <w:tcPr>
            <w:tcW w:w="847" w:type="pct"/>
            <w:tcBorders>
              <w:top w:val="nil"/>
              <w:left w:val="nil"/>
              <w:bottom w:val="nil"/>
              <w:right w:val="nil"/>
            </w:tcBorders>
            <w:shd w:val="clear" w:color="auto" w:fill="auto"/>
            <w:noWrap/>
            <w:vAlign w:val="center"/>
          </w:tcPr>
          <w:p w14:paraId="7C4A742F" w14:textId="77777777" w:rsidR="00F82B11" w:rsidRPr="002E2B5B" w:rsidRDefault="00F82B11" w:rsidP="00937ED9">
            <w:pPr>
              <w:spacing w:after="120"/>
              <w:jc w:val="right"/>
              <w:rPr>
                <w:rFonts w:ascii="Calibri" w:hAnsi="Calibri" w:cs="Calibri"/>
                <w:color w:val="000000"/>
                <w:sz w:val="16"/>
                <w:szCs w:val="16"/>
              </w:rPr>
            </w:pPr>
          </w:p>
        </w:tc>
        <w:tc>
          <w:tcPr>
            <w:tcW w:w="847" w:type="pct"/>
            <w:tcBorders>
              <w:top w:val="nil"/>
              <w:left w:val="nil"/>
              <w:bottom w:val="nil"/>
              <w:right w:val="nil"/>
            </w:tcBorders>
            <w:shd w:val="clear" w:color="auto" w:fill="auto"/>
            <w:noWrap/>
            <w:vAlign w:val="center"/>
            <w:hideMark/>
          </w:tcPr>
          <w:p w14:paraId="4F581F9E" w14:textId="6A497EEB" w:rsidR="00F82B11" w:rsidRPr="002E2B5B" w:rsidRDefault="003544D3" w:rsidP="00937ED9">
            <w:pPr>
              <w:spacing w:after="120"/>
              <w:jc w:val="right"/>
              <w:rPr>
                <w:rFonts w:ascii="Calibri" w:hAnsi="Calibri" w:cs="Calibri"/>
                <w:color w:val="000000"/>
                <w:sz w:val="16"/>
                <w:szCs w:val="16"/>
              </w:rPr>
            </w:pPr>
            <w:r>
              <w:rPr>
                <w:rFonts w:ascii="Calibri" w:hAnsi="Calibri" w:cs="Calibri"/>
                <w:color w:val="000000"/>
                <w:sz w:val="16"/>
                <w:szCs w:val="16"/>
              </w:rPr>
              <w:t>35.147</w:t>
            </w:r>
          </w:p>
        </w:tc>
        <w:tc>
          <w:tcPr>
            <w:tcW w:w="925" w:type="pct"/>
            <w:tcBorders>
              <w:top w:val="nil"/>
              <w:left w:val="nil"/>
              <w:bottom w:val="nil"/>
              <w:right w:val="nil"/>
            </w:tcBorders>
            <w:vAlign w:val="center"/>
          </w:tcPr>
          <w:p w14:paraId="02C1C3A6" w14:textId="1FBA4387" w:rsidR="00F82B11" w:rsidRPr="002E2B5B" w:rsidRDefault="003544D3" w:rsidP="00937ED9">
            <w:pPr>
              <w:spacing w:after="120"/>
              <w:jc w:val="right"/>
              <w:rPr>
                <w:rFonts w:ascii="Calibri" w:hAnsi="Calibri" w:cs="Calibri"/>
                <w:color w:val="000000"/>
                <w:sz w:val="16"/>
                <w:szCs w:val="16"/>
              </w:rPr>
            </w:pPr>
            <w:r>
              <w:rPr>
                <w:rFonts w:ascii="Calibri" w:hAnsi="Calibri" w:cs="Calibri"/>
                <w:color w:val="000000"/>
                <w:sz w:val="16"/>
                <w:szCs w:val="16"/>
              </w:rPr>
              <w:t>46.043</w:t>
            </w:r>
          </w:p>
        </w:tc>
      </w:tr>
      <w:tr w:rsidR="00F82B11" w:rsidRPr="002E2B5B" w14:paraId="5176AADB" w14:textId="77777777" w:rsidTr="00C34E8D">
        <w:trPr>
          <w:trHeight w:hRule="exact" w:val="227"/>
        </w:trPr>
        <w:tc>
          <w:tcPr>
            <w:tcW w:w="1964" w:type="pct"/>
            <w:tcBorders>
              <w:top w:val="nil"/>
              <w:left w:val="nil"/>
              <w:bottom w:val="nil"/>
              <w:right w:val="nil"/>
            </w:tcBorders>
            <w:shd w:val="clear" w:color="auto" w:fill="auto"/>
            <w:noWrap/>
            <w:vAlign w:val="center"/>
            <w:hideMark/>
          </w:tcPr>
          <w:p w14:paraId="3E99F965" w14:textId="77777777" w:rsidR="00F82B11" w:rsidRPr="002E2B5B" w:rsidRDefault="00F82B11" w:rsidP="00937ED9">
            <w:pPr>
              <w:spacing w:after="120"/>
              <w:rPr>
                <w:rFonts w:ascii="Calibri" w:hAnsi="Calibri" w:cs="Calibri"/>
                <w:color w:val="000000"/>
                <w:sz w:val="16"/>
                <w:szCs w:val="16"/>
              </w:rPr>
            </w:pPr>
            <w:r w:rsidRPr="002E2B5B">
              <w:rPr>
                <w:rFonts w:ascii="Calibri" w:hAnsi="Calibri" w:cs="Calibri"/>
                <w:color w:val="000000"/>
                <w:sz w:val="16"/>
                <w:szCs w:val="16"/>
              </w:rPr>
              <w:t xml:space="preserve"> Ingressos</w:t>
            </w:r>
          </w:p>
        </w:tc>
        <w:tc>
          <w:tcPr>
            <w:tcW w:w="208" w:type="pct"/>
            <w:tcBorders>
              <w:top w:val="nil"/>
              <w:left w:val="nil"/>
              <w:bottom w:val="nil"/>
              <w:right w:val="nil"/>
            </w:tcBorders>
            <w:shd w:val="clear" w:color="auto" w:fill="auto"/>
            <w:noWrap/>
            <w:vAlign w:val="center"/>
            <w:hideMark/>
          </w:tcPr>
          <w:p w14:paraId="34015BF4" w14:textId="77777777" w:rsidR="00F82B11" w:rsidRPr="002E2B5B" w:rsidRDefault="00F82B11" w:rsidP="00937ED9">
            <w:pPr>
              <w:spacing w:after="120"/>
              <w:rPr>
                <w:rFonts w:ascii="Calibri" w:hAnsi="Calibri" w:cs="Calibri"/>
                <w:color w:val="000000"/>
                <w:sz w:val="16"/>
                <w:szCs w:val="16"/>
              </w:rPr>
            </w:pPr>
          </w:p>
        </w:tc>
        <w:tc>
          <w:tcPr>
            <w:tcW w:w="209" w:type="pct"/>
            <w:tcBorders>
              <w:top w:val="nil"/>
              <w:left w:val="nil"/>
              <w:bottom w:val="nil"/>
              <w:right w:val="nil"/>
            </w:tcBorders>
            <w:shd w:val="clear" w:color="auto" w:fill="auto"/>
            <w:noWrap/>
            <w:vAlign w:val="center"/>
            <w:hideMark/>
          </w:tcPr>
          <w:p w14:paraId="33316553" w14:textId="77777777" w:rsidR="00F82B11" w:rsidRPr="002E2B5B" w:rsidRDefault="00F82B11" w:rsidP="00937ED9">
            <w:pPr>
              <w:spacing w:after="120"/>
              <w:jc w:val="right"/>
              <w:rPr>
                <w:rFonts w:ascii="Calibri" w:hAnsi="Calibri" w:cs="Calibri"/>
                <w:sz w:val="16"/>
                <w:szCs w:val="16"/>
              </w:rPr>
            </w:pPr>
          </w:p>
        </w:tc>
        <w:tc>
          <w:tcPr>
            <w:tcW w:w="847" w:type="pct"/>
            <w:tcBorders>
              <w:top w:val="nil"/>
              <w:left w:val="nil"/>
              <w:bottom w:val="nil"/>
              <w:right w:val="nil"/>
            </w:tcBorders>
            <w:vAlign w:val="center"/>
          </w:tcPr>
          <w:p w14:paraId="0908F826" w14:textId="77777777" w:rsidR="00F82B11" w:rsidRPr="002E2B5B" w:rsidRDefault="00F82B11" w:rsidP="00937ED9">
            <w:pPr>
              <w:spacing w:after="120"/>
              <w:jc w:val="right"/>
              <w:rPr>
                <w:rFonts w:ascii="Calibri" w:hAnsi="Calibri" w:cs="Calibri"/>
                <w:color w:val="000000"/>
                <w:sz w:val="16"/>
                <w:szCs w:val="16"/>
              </w:rPr>
            </w:pPr>
          </w:p>
        </w:tc>
        <w:tc>
          <w:tcPr>
            <w:tcW w:w="847" w:type="pct"/>
            <w:tcBorders>
              <w:top w:val="nil"/>
              <w:left w:val="nil"/>
              <w:bottom w:val="nil"/>
              <w:right w:val="nil"/>
            </w:tcBorders>
            <w:shd w:val="clear" w:color="auto" w:fill="auto"/>
            <w:noWrap/>
            <w:vAlign w:val="center"/>
            <w:hideMark/>
          </w:tcPr>
          <w:p w14:paraId="382478DC" w14:textId="77777777" w:rsidR="00F82B11" w:rsidRPr="002E2B5B" w:rsidRDefault="00F82B11" w:rsidP="00937ED9">
            <w:pPr>
              <w:spacing w:after="120"/>
              <w:jc w:val="right"/>
              <w:rPr>
                <w:rFonts w:ascii="Calibri" w:hAnsi="Calibri" w:cs="Calibri"/>
                <w:color w:val="000000"/>
                <w:sz w:val="16"/>
                <w:szCs w:val="16"/>
              </w:rPr>
            </w:pPr>
            <w:r w:rsidRPr="002E2B5B">
              <w:rPr>
                <w:rFonts w:ascii="Calibri" w:hAnsi="Calibri" w:cs="Calibri"/>
                <w:color w:val="000000"/>
                <w:sz w:val="16"/>
                <w:szCs w:val="16"/>
              </w:rPr>
              <w:t>0</w:t>
            </w:r>
          </w:p>
        </w:tc>
        <w:tc>
          <w:tcPr>
            <w:tcW w:w="925" w:type="pct"/>
            <w:tcBorders>
              <w:top w:val="nil"/>
              <w:left w:val="nil"/>
              <w:bottom w:val="nil"/>
              <w:right w:val="nil"/>
            </w:tcBorders>
            <w:shd w:val="clear" w:color="auto" w:fill="auto"/>
            <w:noWrap/>
            <w:vAlign w:val="center"/>
            <w:hideMark/>
          </w:tcPr>
          <w:p w14:paraId="6A3D6C75" w14:textId="34958432" w:rsidR="00F82B11" w:rsidRPr="002E2B5B" w:rsidRDefault="009C6659" w:rsidP="00937ED9">
            <w:pPr>
              <w:spacing w:after="120"/>
              <w:jc w:val="right"/>
              <w:rPr>
                <w:rFonts w:ascii="Calibri" w:hAnsi="Calibri" w:cs="Calibri"/>
                <w:color w:val="000000"/>
                <w:sz w:val="16"/>
                <w:szCs w:val="16"/>
              </w:rPr>
            </w:pPr>
            <w:r>
              <w:rPr>
                <w:rFonts w:ascii="Calibri" w:hAnsi="Calibri" w:cs="Calibri"/>
                <w:color w:val="000000"/>
                <w:sz w:val="16"/>
                <w:szCs w:val="16"/>
              </w:rPr>
              <w:t>0</w:t>
            </w:r>
          </w:p>
        </w:tc>
      </w:tr>
      <w:tr w:rsidR="00F82B11" w:rsidRPr="002E2B5B" w14:paraId="5EC220C8" w14:textId="77777777" w:rsidTr="00C34E8D">
        <w:trPr>
          <w:trHeight w:hRule="exact" w:val="227"/>
        </w:trPr>
        <w:tc>
          <w:tcPr>
            <w:tcW w:w="1964" w:type="pct"/>
            <w:tcBorders>
              <w:top w:val="nil"/>
              <w:left w:val="nil"/>
              <w:bottom w:val="single" w:sz="8" w:space="0" w:color="auto"/>
              <w:right w:val="nil"/>
            </w:tcBorders>
            <w:shd w:val="clear" w:color="auto" w:fill="auto"/>
            <w:noWrap/>
            <w:vAlign w:val="center"/>
            <w:hideMark/>
          </w:tcPr>
          <w:p w14:paraId="5085720B" w14:textId="77777777" w:rsidR="00F82B11" w:rsidRPr="002E2B5B" w:rsidRDefault="00F82B11" w:rsidP="00937ED9">
            <w:pPr>
              <w:spacing w:after="120"/>
              <w:rPr>
                <w:rFonts w:ascii="Calibri" w:hAnsi="Calibri" w:cs="Calibri"/>
                <w:color w:val="000000"/>
                <w:sz w:val="16"/>
                <w:szCs w:val="16"/>
              </w:rPr>
            </w:pPr>
            <w:r w:rsidRPr="002E2B5B">
              <w:rPr>
                <w:rFonts w:ascii="Calibri" w:hAnsi="Calibri" w:cs="Calibri"/>
                <w:color w:val="000000"/>
                <w:sz w:val="16"/>
                <w:szCs w:val="16"/>
              </w:rPr>
              <w:t xml:space="preserve"> Baixas</w:t>
            </w:r>
          </w:p>
        </w:tc>
        <w:tc>
          <w:tcPr>
            <w:tcW w:w="208" w:type="pct"/>
            <w:tcBorders>
              <w:top w:val="nil"/>
              <w:left w:val="nil"/>
              <w:bottom w:val="single" w:sz="8" w:space="0" w:color="auto"/>
              <w:right w:val="nil"/>
            </w:tcBorders>
            <w:shd w:val="clear" w:color="auto" w:fill="auto"/>
            <w:noWrap/>
            <w:vAlign w:val="center"/>
            <w:hideMark/>
          </w:tcPr>
          <w:p w14:paraId="2A74EBB6" w14:textId="77777777" w:rsidR="00F82B11" w:rsidRPr="002E2B5B" w:rsidRDefault="00F82B11" w:rsidP="00937ED9">
            <w:pPr>
              <w:spacing w:after="120"/>
              <w:jc w:val="right"/>
              <w:rPr>
                <w:rFonts w:ascii="Calibri" w:hAnsi="Calibri" w:cs="Calibri"/>
                <w:color w:val="000000"/>
                <w:sz w:val="16"/>
                <w:szCs w:val="16"/>
              </w:rPr>
            </w:pPr>
            <w:r w:rsidRPr="002E2B5B">
              <w:rPr>
                <w:rFonts w:ascii="Calibri" w:hAnsi="Calibri" w:cs="Calibri"/>
                <w:color w:val="000000"/>
                <w:sz w:val="16"/>
                <w:szCs w:val="16"/>
              </w:rPr>
              <w:t> </w:t>
            </w:r>
          </w:p>
        </w:tc>
        <w:tc>
          <w:tcPr>
            <w:tcW w:w="209" w:type="pct"/>
            <w:tcBorders>
              <w:top w:val="nil"/>
              <w:left w:val="nil"/>
              <w:bottom w:val="single" w:sz="8" w:space="0" w:color="auto"/>
              <w:right w:val="nil"/>
            </w:tcBorders>
            <w:shd w:val="clear" w:color="auto" w:fill="auto"/>
            <w:noWrap/>
            <w:vAlign w:val="center"/>
            <w:hideMark/>
          </w:tcPr>
          <w:p w14:paraId="6283652E" w14:textId="77777777" w:rsidR="00F82B11" w:rsidRPr="002E2B5B" w:rsidRDefault="00F82B11" w:rsidP="00937ED9">
            <w:pPr>
              <w:spacing w:after="120"/>
              <w:jc w:val="right"/>
              <w:rPr>
                <w:rFonts w:ascii="Calibri" w:hAnsi="Calibri" w:cs="Calibri"/>
                <w:color w:val="000000"/>
                <w:sz w:val="16"/>
                <w:szCs w:val="16"/>
              </w:rPr>
            </w:pPr>
            <w:r w:rsidRPr="002E2B5B">
              <w:rPr>
                <w:rFonts w:ascii="Calibri" w:hAnsi="Calibri" w:cs="Calibri"/>
                <w:color w:val="000000"/>
                <w:sz w:val="16"/>
                <w:szCs w:val="16"/>
              </w:rPr>
              <w:t> </w:t>
            </w:r>
          </w:p>
        </w:tc>
        <w:tc>
          <w:tcPr>
            <w:tcW w:w="847" w:type="pct"/>
            <w:tcBorders>
              <w:top w:val="nil"/>
              <w:left w:val="nil"/>
              <w:bottom w:val="single" w:sz="8" w:space="0" w:color="auto"/>
              <w:right w:val="nil"/>
            </w:tcBorders>
            <w:vAlign w:val="center"/>
          </w:tcPr>
          <w:p w14:paraId="65CD7B29" w14:textId="77777777" w:rsidR="00F82B11" w:rsidRPr="002E2B5B" w:rsidRDefault="00F82B11" w:rsidP="00937ED9">
            <w:pPr>
              <w:spacing w:after="120"/>
              <w:jc w:val="right"/>
              <w:rPr>
                <w:rFonts w:ascii="Calibri" w:hAnsi="Calibri" w:cs="Calibri"/>
                <w:color w:val="000000"/>
                <w:sz w:val="16"/>
                <w:szCs w:val="16"/>
              </w:rPr>
            </w:pPr>
          </w:p>
        </w:tc>
        <w:tc>
          <w:tcPr>
            <w:tcW w:w="847" w:type="pct"/>
            <w:tcBorders>
              <w:top w:val="nil"/>
              <w:left w:val="nil"/>
              <w:bottom w:val="single" w:sz="8" w:space="0" w:color="auto"/>
              <w:right w:val="nil"/>
            </w:tcBorders>
            <w:shd w:val="clear" w:color="auto" w:fill="auto"/>
            <w:noWrap/>
            <w:vAlign w:val="center"/>
            <w:hideMark/>
          </w:tcPr>
          <w:p w14:paraId="16FAD1DA" w14:textId="6C3425FA" w:rsidR="00F82B11" w:rsidRPr="002E2B5B" w:rsidRDefault="00F82B11" w:rsidP="00937ED9">
            <w:pPr>
              <w:spacing w:after="120"/>
              <w:jc w:val="right"/>
              <w:rPr>
                <w:rFonts w:ascii="Calibri" w:hAnsi="Calibri" w:cs="Calibri"/>
                <w:color w:val="000000"/>
                <w:sz w:val="16"/>
                <w:szCs w:val="16"/>
              </w:rPr>
            </w:pPr>
            <w:r w:rsidRPr="002E2B5B">
              <w:rPr>
                <w:rFonts w:ascii="Calibri" w:hAnsi="Calibri" w:cs="Calibri"/>
                <w:color w:val="000000"/>
                <w:sz w:val="16"/>
                <w:szCs w:val="16"/>
              </w:rPr>
              <w:t>(</w:t>
            </w:r>
            <w:r w:rsidR="003129B7">
              <w:rPr>
                <w:rFonts w:ascii="Calibri" w:hAnsi="Calibri" w:cs="Calibri"/>
                <w:color w:val="000000"/>
                <w:sz w:val="16"/>
                <w:szCs w:val="16"/>
              </w:rPr>
              <w:t>4.7</w:t>
            </w:r>
            <w:r w:rsidR="00374B12">
              <w:rPr>
                <w:rFonts w:ascii="Calibri" w:hAnsi="Calibri" w:cs="Calibri"/>
                <w:color w:val="000000"/>
                <w:sz w:val="16"/>
                <w:szCs w:val="16"/>
              </w:rPr>
              <w:t>51</w:t>
            </w:r>
            <w:r w:rsidRPr="002E2B5B">
              <w:rPr>
                <w:rFonts w:ascii="Calibri" w:hAnsi="Calibri" w:cs="Calibri"/>
                <w:color w:val="000000"/>
                <w:sz w:val="16"/>
                <w:szCs w:val="16"/>
              </w:rPr>
              <w:t>)</w:t>
            </w:r>
          </w:p>
        </w:tc>
        <w:tc>
          <w:tcPr>
            <w:tcW w:w="925" w:type="pct"/>
            <w:tcBorders>
              <w:top w:val="nil"/>
              <w:left w:val="nil"/>
              <w:bottom w:val="single" w:sz="8" w:space="0" w:color="auto"/>
              <w:right w:val="nil"/>
            </w:tcBorders>
            <w:shd w:val="clear" w:color="auto" w:fill="auto"/>
            <w:noWrap/>
            <w:vAlign w:val="center"/>
            <w:hideMark/>
          </w:tcPr>
          <w:p w14:paraId="2F5158A3" w14:textId="5E8BEAF0" w:rsidR="00F82B11" w:rsidRPr="002E2B5B" w:rsidRDefault="003544D3" w:rsidP="00937ED9">
            <w:pPr>
              <w:spacing w:after="120"/>
              <w:jc w:val="right"/>
              <w:rPr>
                <w:rFonts w:ascii="Calibri" w:hAnsi="Calibri" w:cs="Calibri"/>
                <w:color w:val="000000"/>
                <w:sz w:val="16"/>
                <w:szCs w:val="16"/>
              </w:rPr>
            </w:pPr>
            <w:r w:rsidRPr="002E2B5B">
              <w:rPr>
                <w:rFonts w:ascii="Calibri" w:hAnsi="Calibri" w:cs="Calibri"/>
                <w:color w:val="000000"/>
                <w:sz w:val="16"/>
                <w:szCs w:val="16"/>
              </w:rPr>
              <w:t>(</w:t>
            </w:r>
            <w:r>
              <w:rPr>
                <w:rFonts w:ascii="Calibri" w:hAnsi="Calibri" w:cs="Calibri"/>
                <w:color w:val="000000"/>
                <w:sz w:val="16"/>
                <w:szCs w:val="16"/>
              </w:rPr>
              <w:t>10.896</w:t>
            </w:r>
            <w:r w:rsidRPr="002E2B5B">
              <w:rPr>
                <w:rFonts w:ascii="Calibri" w:hAnsi="Calibri" w:cs="Calibri"/>
                <w:color w:val="000000"/>
                <w:sz w:val="16"/>
                <w:szCs w:val="16"/>
              </w:rPr>
              <w:t>)</w:t>
            </w:r>
          </w:p>
        </w:tc>
      </w:tr>
      <w:tr w:rsidR="00F82B11" w:rsidRPr="002E2B5B" w14:paraId="6197C69E" w14:textId="77777777" w:rsidTr="00C34E8D">
        <w:trPr>
          <w:trHeight w:hRule="exact" w:val="227"/>
        </w:trPr>
        <w:tc>
          <w:tcPr>
            <w:tcW w:w="1964" w:type="pct"/>
            <w:tcBorders>
              <w:top w:val="nil"/>
              <w:left w:val="nil"/>
              <w:bottom w:val="single" w:sz="8" w:space="0" w:color="auto"/>
              <w:right w:val="nil"/>
            </w:tcBorders>
            <w:shd w:val="clear" w:color="auto" w:fill="auto"/>
            <w:noWrap/>
            <w:vAlign w:val="center"/>
            <w:hideMark/>
          </w:tcPr>
          <w:p w14:paraId="58708201" w14:textId="77777777" w:rsidR="00F82B11" w:rsidRPr="002E2B5B" w:rsidRDefault="00F82B11" w:rsidP="00937ED9">
            <w:pPr>
              <w:spacing w:after="120"/>
              <w:rPr>
                <w:rFonts w:ascii="Calibri" w:hAnsi="Calibri" w:cs="Calibri"/>
                <w:b/>
                <w:bCs/>
                <w:color w:val="000000"/>
                <w:sz w:val="16"/>
                <w:szCs w:val="16"/>
              </w:rPr>
            </w:pPr>
            <w:r w:rsidRPr="002E2B5B">
              <w:rPr>
                <w:rFonts w:ascii="Calibri" w:hAnsi="Calibri" w:cs="Calibri"/>
                <w:b/>
                <w:bCs/>
                <w:color w:val="000000"/>
                <w:sz w:val="16"/>
                <w:szCs w:val="16"/>
              </w:rPr>
              <w:t xml:space="preserve"> TOTAL </w:t>
            </w:r>
          </w:p>
        </w:tc>
        <w:tc>
          <w:tcPr>
            <w:tcW w:w="208" w:type="pct"/>
            <w:tcBorders>
              <w:top w:val="nil"/>
              <w:left w:val="nil"/>
              <w:bottom w:val="single" w:sz="8" w:space="0" w:color="auto"/>
              <w:right w:val="nil"/>
            </w:tcBorders>
            <w:shd w:val="clear" w:color="auto" w:fill="auto"/>
            <w:noWrap/>
            <w:vAlign w:val="center"/>
            <w:hideMark/>
          </w:tcPr>
          <w:p w14:paraId="6F384909" w14:textId="77777777" w:rsidR="00F82B11" w:rsidRPr="002E2B5B" w:rsidRDefault="00F82B11" w:rsidP="00937ED9">
            <w:pPr>
              <w:spacing w:after="120"/>
              <w:rPr>
                <w:rFonts w:ascii="Calibri" w:hAnsi="Calibri" w:cs="Calibri"/>
                <w:color w:val="000000"/>
                <w:sz w:val="16"/>
                <w:szCs w:val="16"/>
              </w:rPr>
            </w:pPr>
            <w:r w:rsidRPr="002E2B5B">
              <w:rPr>
                <w:rFonts w:ascii="Calibri" w:hAnsi="Calibri" w:cs="Calibri"/>
                <w:color w:val="000000"/>
                <w:sz w:val="16"/>
                <w:szCs w:val="16"/>
              </w:rPr>
              <w:t> </w:t>
            </w:r>
          </w:p>
        </w:tc>
        <w:tc>
          <w:tcPr>
            <w:tcW w:w="209" w:type="pct"/>
            <w:tcBorders>
              <w:top w:val="nil"/>
              <w:left w:val="nil"/>
              <w:bottom w:val="single" w:sz="8" w:space="0" w:color="auto"/>
              <w:right w:val="nil"/>
            </w:tcBorders>
            <w:shd w:val="clear" w:color="auto" w:fill="auto"/>
            <w:noWrap/>
            <w:vAlign w:val="center"/>
            <w:hideMark/>
          </w:tcPr>
          <w:p w14:paraId="5D56D4F4" w14:textId="77777777" w:rsidR="00F82B11" w:rsidRPr="002E2B5B" w:rsidRDefault="00F82B11" w:rsidP="00937ED9">
            <w:pPr>
              <w:spacing w:after="120"/>
              <w:rPr>
                <w:rFonts w:ascii="Calibri" w:hAnsi="Calibri" w:cs="Calibri"/>
                <w:color w:val="000000"/>
                <w:sz w:val="16"/>
                <w:szCs w:val="16"/>
              </w:rPr>
            </w:pPr>
            <w:r w:rsidRPr="002E2B5B">
              <w:rPr>
                <w:rFonts w:ascii="Calibri" w:hAnsi="Calibri" w:cs="Calibri"/>
                <w:color w:val="000000"/>
                <w:sz w:val="16"/>
                <w:szCs w:val="16"/>
              </w:rPr>
              <w:t> </w:t>
            </w:r>
          </w:p>
        </w:tc>
        <w:tc>
          <w:tcPr>
            <w:tcW w:w="847" w:type="pct"/>
            <w:tcBorders>
              <w:top w:val="nil"/>
              <w:left w:val="nil"/>
              <w:bottom w:val="single" w:sz="8" w:space="0" w:color="auto"/>
              <w:right w:val="nil"/>
            </w:tcBorders>
            <w:vAlign w:val="center"/>
          </w:tcPr>
          <w:p w14:paraId="67348A0D" w14:textId="77777777" w:rsidR="00F82B11" w:rsidRPr="002E2B5B" w:rsidRDefault="00F82B11" w:rsidP="00937ED9">
            <w:pPr>
              <w:spacing w:after="120"/>
              <w:jc w:val="right"/>
              <w:rPr>
                <w:rFonts w:ascii="Calibri" w:hAnsi="Calibri" w:cs="Calibri"/>
                <w:b/>
                <w:bCs/>
                <w:color w:val="000000"/>
                <w:sz w:val="16"/>
                <w:szCs w:val="16"/>
              </w:rPr>
            </w:pPr>
          </w:p>
        </w:tc>
        <w:tc>
          <w:tcPr>
            <w:tcW w:w="847" w:type="pct"/>
            <w:tcBorders>
              <w:top w:val="nil"/>
              <w:left w:val="nil"/>
              <w:bottom w:val="single" w:sz="8" w:space="0" w:color="auto"/>
              <w:right w:val="nil"/>
            </w:tcBorders>
            <w:shd w:val="clear" w:color="auto" w:fill="auto"/>
            <w:noWrap/>
            <w:vAlign w:val="center"/>
            <w:hideMark/>
          </w:tcPr>
          <w:p w14:paraId="65A106C3" w14:textId="1EC7CC67" w:rsidR="00F82B11" w:rsidRPr="002E2B5B" w:rsidRDefault="00374B12" w:rsidP="00937ED9">
            <w:pPr>
              <w:spacing w:after="120"/>
              <w:jc w:val="right"/>
              <w:rPr>
                <w:rFonts w:ascii="Calibri" w:hAnsi="Calibri" w:cs="Calibri"/>
                <w:b/>
                <w:bCs/>
                <w:color w:val="000000"/>
                <w:sz w:val="16"/>
                <w:szCs w:val="16"/>
              </w:rPr>
            </w:pPr>
            <w:r>
              <w:rPr>
                <w:rFonts w:ascii="Calibri" w:hAnsi="Calibri" w:cs="Calibri"/>
                <w:b/>
                <w:bCs/>
                <w:color w:val="000000"/>
                <w:sz w:val="16"/>
                <w:szCs w:val="16"/>
              </w:rPr>
              <w:t>30.396</w:t>
            </w:r>
          </w:p>
        </w:tc>
        <w:tc>
          <w:tcPr>
            <w:tcW w:w="925" w:type="pct"/>
            <w:tcBorders>
              <w:top w:val="nil"/>
              <w:left w:val="nil"/>
              <w:bottom w:val="single" w:sz="8" w:space="0" w:color="auto"/>
              <w:right w:val="nil"/>
            </w:tcBorders>
            <w:shd w:val="clear" w:color="auto" w:fill="auto"/>
            <w:noWrap/>
            <w:vAlign w:val="center"/>
            <w:hideMark/>
          </w:tcPr>
          <w:p w14:paraId="6D8D5236" w14:textId="0C21BCEF" w:rsidR="00F82B11" w:rsidRPr="002E2B5B" w:rsidRDefault="003544D3" w:rsidP="00937ED9">
            <w:pPr>
              <w:spacing w:after="120"/>
              <w:jc w:val="right"/>
              <w:rPr>
                <w:rFonts w:ascii="Calibri" w:hAnsi="Calibri" w:cs="Calibri"/>
                <w:b/>
                <w:bCs/>
                <w:color w:val="000000"/>
                <w:sz w:val="16"/>
                <w:szCs w:val="16"/>
              </w:rPr>
            </w:pPr>
            <w:r>
              <w:rPr>
                <w:rFonts w:ascii="Calibri" w:hAnsi="Calibri" w:cs="Calibri"/>
                <w:b/>
                <w:bCs/>
                <w:color w:val="000000"/>
                <w:sz w:val="16"/>
                <w:szCs w:val="16"/>
              </w:rPr>
              <w:t>35.147</w:t>
            </w:r>
          </w:p>
        </w:tc>
      </w:tr>
    </w:tbl>
    <w:p w14:paraId="4DCAE695" w14:textId="02A3C0B8" w:rsidR="007449DE" w:rsidRDefault="00833C55" w:rsidP="000B3A75">
      <w:pPr>
        <w:spacing w:before="120" w:after="120"/>
        <w:jc w:val="both"/>
        <w:rPr>
          <w:rFonts w:ascii="Calibri" w:hAnsi="Calibri" w:cs="Calibri"/>
          <w:sz w:val="22"/>
          <w:szCs w:val="22"/>
        </w:rPr>
      </w:pPr>
      <w:r w:rsidRPr="002E2B5B">
        <w:rPr>
          <w:rFonts w:ascii="Calibri" w:hAnsi="Calibri" w:cs="Calibri"/>
          <w:sz w:val="22"/>
          <w:szCs w:val="22"/>
        </w:rPr>
        <w:t xml:space="preserve">O saldo de R$ </w:t>
      </w:r>
      <w:r w:rsidR="00BC2E03">
        <w:rPr>
          <w:rFonts w:ascii="Calibri" w:hAnsi="Calibri" w:cs="Calibri"/>
          <w:sz w:val="22"/>
          <w:szCs w:val="22"/>
        </w:rPr>
        <w:t>3</w:t>
      </w:r>
      <w:r w:rsidR="00374B12">
        <w:rPr>
          <w:rFonts w:ascii="Calibri" w:hAnsi="Calibri" w:cs="Calibri"/>
          <w:sz w:val="22"/>
          <w:szCs w:val="22"/>
        </w:rPr>
        <w:t>0</w:t>
      </w:r>
      <w:r w:rsidR="008619B2">
        <w:rPr>
          <w:rFonts w:ascii="Calibri" w:hAnsi="Calibri" w:cs="Calibri"/>
          <w:sz w:val="22"/>
          <w:szCs w:val="22"/>
        </w:rPr>
        <w:t xml:space="preserve"> mil</w:t>
      </w:r>
      <w:r w:rsidR="004B6CEF" w:rsidRPr="002E2B5B">
        <w:rPr>
          <w:rFonts w:ascii="Calibri" w:hAnsi="Calibri" w:cs="Calibri"/>
          <w:sz w:val="22"/>
          <w:szCs w:val="22"/>
        </w:rPr>
        <w:t xml:space="preserve"> </w:t>
      </w:r>
      <w:r w:rsidRPr="002E2B5B">
        <w:rPr>
          <w:rFonts w:ascii="Calibri" w:hAnsi="Calibri" w:cs="Calibri"/>
          <w:sz w:val="22"/>
          <w:szCs w:val="22"/>
        </w:rPr>
        <w:t xml:space="preserve">abrange </w:t>
      </w:r>
      <w:r w:rsidR="002A17DE">
        <w:rPr>
          <w:rFonts w:ascii="Calibri" w:hAnsi="Calibri" w:cs="Calibri"/>
          <w:sz w:val="22"/>
          <w:szCs w:val="22"/>
        </w:rPr>
        <w:t>adiantamentos</w:t>
      </w:r>
      <w:r w:rsidRPr="002E2B5B">
        <w:rPr>
          <w:rFonts w:ascii="Calibri" w:hAnsi="Calibri" w:cs="Calibri"/>
          <w:sz w:val="22"/>
          <w:szCs w:val="22"/>
        </w:rPr>
        <w:t xml:space="preserve"> com despesas médicas </w:t>
      </w:r>
      <w:r w:rsidR="002A17DE">
        <w:rPr>
          <w:rFonts w:ascii="Calibri" w:hAnsi="Calibri" w:cs="Calibri"/>
          <w:sz w:val="22"/>
          <w:szCs w:val="22"/>
        </w:rPr>
        <w:t>a</w:t>
      </w:r>
      <w:r w:rsidRPr="002E2B5B">
        <w:rPr>
          <w:rFonts w:ascii="Calibri" w:hAnsi="Calibri" w:cs="Calibri"/>
          <w:sz w:val="22"/>
          <w:szCs w:val="22"/>
        </w:rPr>
        <w:t>os empregados da extinta Empresa Brasileira de Planejamento de Transportes – GEIPOT transferidos para a VALEC</w:t>
      </w:r>
      <w:r w:rsidR="0046500A" w:rsidRPr="002E2B5B">
        <w:rPr>
          <w:rFonts w:ascii="Calibri" w:hAnsi="Calibri" w:cs="Calibri"/>
          <w:sz w:val="22"/>
          <w:szCs w:val="22"/>
        </w:rPr>
        <w:t>. O</w:t>
      </w:r>
      <w:r w:rsidRPr="002E2B5B">
        <w:rPr>
          <w:rFonts w:ascii="Calibri" w:hAnsi="Calibri" w:cs="Calibri"/>
          <w:sz w:val="22"/>
          <w:szCs w:val="22"/>
        </w:rPr>
        <w:t>s descontos desses valores são efetuados mensalmente na Folha de Pagamento dos colaboradores.</w:t>
      </w:r>
      <w:r w:rsidR="00EF021B" w:rsidRPr="002E2B5B">
        <w:rPr>
          <w:rFonts w:ascii="Calibri" w:hAnsi="Calibri" w:cs="Calibri"/>
          <w:sz w:val="22"/>
          <w:szCs w:val="22"/>
        </w:rPr>
        <w:t xml:space="preserve"> </w:t>
      </w:r>
    </w:p>
    <w:p w14:paraId="565DC632" w14:textId="352B6A27" w:rsidR="00596575" w:rsidRPr="002E2B5B" w:rsidRDefault="00D22F5E" w:rsidP="00937ED9">
      <w:pPr>
        <w:spacing w:after="120"/>
        <w:rPr>
          <w:rFonts w:ascii="Calibri" w:hAnsi="Calibri" w:cs="Calibri"/>
          <w:b/>
          <w:sz w:val="22"/>
          <w:szCs w:val="22"/>
        </w:rPr>
      </w:pPr>
      <w:r w:rsidRPr="002E2B5B">
        <w:rPr>
          <w:rFonts w:ascii="Calibri" w:hAnsi="Calibri" w:cs="Calibri"/>
          <w:b/>
          <w:sz w:val="22"/>
          <w:szCs w:val="22"/>
        </w:rPr>
        <w:t xml:space="preserve">NOTA </w:t>
      </w:r>
      <w:r w:rsidR="008619B2">
        <w:rPr>
          <w:rFonts w:ascii="Calibri" w:hAnsi="Calibri" w:cs="Calibri"/>
          <w:b/>
          <w:sz w:val="22"/>
          <w:szCs w:val="22"/>
        </w:rPr>
        <w:t>6</w:t>
      </w:r>
      <w:r w:rsidR="00596575" w:rsidRPr="002E2B5B">
        <w:rPr>
          <w:rFonts w:ascii="Calibri" w:hAnsi="Calibri" w:cs="Calibri"/>
          <w:b/>
          <w:sz w:val="22"/>
          <w:szCs w:val="22"/>
        </w:rPr>
        <w:t xml:space="preserve"> – </w:t>
      </w:r>
      <w:r w:rsidR="00FA2255" w:rsidRPr="002E2B5B">
        <w:rPr>
          <w:rFonts w:ascii="Calibri" w:hAnsi="Calibri" w:cs="Calibri"/>
          <w:b/>
          <w:sz w:val="22"/>
          <w:szCs w:val="22"/>
        </w:rPr>
        <w:t>PERMISSÕES PARA</w:t>
      </w:r>
      <w:r w:rsidR="00251A3C" w:rsidRPr="002E2B5B">
        <w:rPr>
          <w:rFonts w:ascii="Calibri" w:hAnsi="Calibri" w:cs="Calibri"/>
          <w:b/>
          <w:sz w:val="22"/>
          <w:szCs w:val="22"/>
        </w:rPr>
        <w:t xml:space="preserve"> USO</w:t>
      </w:r>
      <w:r w:rsidR="00596575" w:rsidRPr="002E2B5B">
        <w:rPr>
          <w:rFonts w:ascii="Calibri" w:hAnsi="Calibri" w:cs="Calibri"/>
          <w:b/>
          <w:sz w:val="22"/>
          <w:szCs w:val="22"/>
        </w:rPr>
        <w:t xml:space="preserve"> DE PÁTIOS </w:t>
      </w:r>
    </w:p>
    <w:p w14:paraId="6FD60DE1" w14:textId="6E4D1E24" w:rsidR="008F5B96" w:rsidRPr="002E2B5B" w:rsidRDefault="003278F1" w:rsidP="00937ED9">
      <w:pPr>
        <w:spacing w:after="120"/>
        <w:jc w:val="both"/>
        <w:rPr>
          <w:rFonts w:ascii="Calibri" w:hAnsi="Calibri" w:cs="Calibri"/>
          <w:sz w:val="22"/>
          <w:szCs w:val="22"/>
        </w:rPr>
      </w:pPr>
      <w:r w:rsidRPr="002E2B5B">
        <w:rPr>
          <w:rFonts w:ascii="Calibri" w:hAnsi="Calibri" w:cs="Calibri"/>
          <w:sz w:val="22"/>
          <w:szCs w:val="22"/>
        </w:rPr>
        <w:t>Para fomentar o transporte ferroviário, a VALEC outorga por meio de Contratos de Permissão de Uso, Pátios de Integração Multimodal, por prazo não inferior a 15 anos.  A</w:t>
      </w:r>
      <w:r w:rsidR="0046500A" w:rsidRPr="002E2B5B">
        <w:rPr>
          <w:rFonts w:ascii="Calibri" w:hAnsi="Calibri" w:cs="Calibri"/>
          <w:sz w:val="22"/>
          <w:szCs w:val="22"/>
        </w:rPr>
        <w:t>s</w:t>
      </w:r>
      <w:r w:rsidRPr="002E2B5B">
        <w:rPr>
          <w:rFonts w:ascii="Calibri" w:hAnsi="Calibri" w:cs="Calibri"/>
          <w:sz w:val="22"/>
          <w:szCs w:val="22"/>
        </w:rPr>
        <w:t xml:space="preserve"> receitas provindas dessas permissões são consideradas receitas operacionais diferidas pelo prazo </w:t>
      </w:r>
      <w:r w:rsidR="001A3D8C" w:rsidRPr="002E2B5B">
        <w:rPr>
          <w:rFonts w:ascii="Calibri" w:hAnsi="Calibri" w:cs="Calibri"/>
          <w:sz w:val="22"/>
          <w:szCs w:val="22"/>
        </w:rPr>
        <w:t>do contrato</w:t>
      </w:r>
      <w:r w:rsidRPr="002E2B5B">
        <w:rPr>
          <w:rFonts w:ascii="Calibri" w:hAnsi="Calibri" w:cs="Calibri"/>
          <w:sz w:val="22"/>
          <w:szCs w:val="22"/>
        </w:rPr>
        <w:t xml:space="preserve"> e o recebimento é parcelado conforme acordo contratual</w:t>
      </w:r>
      <w:r w:rsidR="0046500A" w:rsidRPr="002E2B5B">
        <w:rPr>
          <w:rFonts w:ascii="Calibri" w:hAnsi="Calibri" w:cs="Calibri"/>
          <w:sz w:val="22"/>
          <w:szCs w:val="22"/>
        </w:rPr>
        <w:t>. O</w:t>
      </w:r>
      <w:r w:rsidRPr="002E2B5B">
        <w:rPr>
          <w:rFonts w:ascii="Calibri" w:hAnsi="Calibri" w:cs="Calibri"/>
          <w:sz w:val="22"/>
          <w:szCs w:val="22"/>
        </w:rPr>
        <w:t>s saldos dos recursos a receber de curto e longo prazo referentes à Permissão para Uso de Pátios</w:t>
      </w:r>
      <w:r w:rsidR="001A3D8C" w:rsidRPr="002E2B5B">
        <w:rPr>
          <w:rFonts w:ascii="Calibri" w:hAnsi="Calibri" w:cs="Calibri"/>
          <w:sz w:val="22"/>
          <w:szCs w:val="22"/>
        </w:rPr>
        <w:t>,</w:t>
      </w:r>
      <w:r w:rsidRPr="002E2B5B">
        <w:rPr>
          <w:rFonts w:ascii="Calibri" w:hAnsi="Calibri" w:cs="Calibri"/>
          <w:sz w:val="22"/>
          <w:szCs w:val="22"/>
        </w:rPr>
        <w:t xml:space="preserve"> em </w:t>
      </w:r>
      <w:r w:rsidR="005B257C">
        <w:rPr>
          <w:rFonts w:ascii="Calibri" w:hAnsi="Calibri" w:cs="Calibri"/>
          <w:sz w:val="22"/>
          <w:szCs w:val="22"/>
        </w:rPr>
        <w:t>3</w:t>
      </w:r>
      <w:r w:rsidR="00374B12">
        <w:rPr>
          <w:rFonts w:ascii="Calibri" w:hAnsi="Calibri" w:cs="Calibri"/>
          <w:sz w:val="22"/>
          <w:szCs w:val="22"/>
        </w:rPr>
        <w:t>0</w:t>
      </w:r>
      <w:r w:rsidR="00A10351" w:rsidRPr="002E2B5B">
        <w:rPr>
          <w:rFonts w:ascii="Calibri" w:hAnsi="Calibri" w:cs="Calibri"/>
          <w:sz w:val="22"/>
          <w:szCs w:val="22"/>
        </w:rPr>
        <w:t xml:space="preserve"> de </w:t>
      </w:r>
      <w:r w:rsidR="00374B12">
        <w:rPr>
          <w:rFonts w:ascii="Calibri" w:hAnsi="Calibri" w:cs="Calibri"/>
          <w:sz w:val="22"/>
          <w:szCs w:val="22"/>
        </w:rPr>
        <w:t>junh</w:t>
      </w:r>
      <w:r w:rsidR="003544D3">
        <w:rPr>
          <w:rFonts w:ascii="Calibri" w:hAnsi="Calibri" w:cs="Calibri"/>
          <w:sz w:val="22"/>
          <w:szCs w:val="22"/>
        </w:rPr>
        <w:t>o</w:t>
      </w:r>
      <w:r w:rsidR="00A10351" w:rsidRPr="002E2B5B">
        <w:rPr>
          <w:rFonts w:ascii="Calibri" w:hAnsi="Calibri" w:cs="Calibri"/>
          <w:sz w:val="22"/>
          <w:szCs w:val="22"/>
        </w:rPr>
        <w:t xml:space="preserve"> de </w:t>
      </w:r>
      <w:r w:rsidRPr="002E2B5B">
        <w:rPr>
          <w:rFonts w:ascii="Calibri" w:hAnsi="Calibri" w:cs="Calibri"/>
          <w:sz w:val="22"/>
          <w:szCs w:val="22"/>
        </w:rPr>
        <w:t>20</w:t>
      </w:r>
      <w:r w:rsidR="004A592B" w:rsidRPr="002E2B5B">
        <w:rPr>
          <w:rFonts w:ascii="Calibri" w:hAnsi="Calibri" w:cs="Calibri"/>
          <w:sz w:val="22"/>
          <w:szCs w:val="22"/>
        </w:rPr>
        <w:t>2</w:t>
      </w:r>
      <w:r w:rsidR="003544D3">
        <w:rPr>
          <w:rFonts w:ascii="Calibri" w:hAnsi="Calibri" w:cs="Calibri"/>
          <w:sz w:val="22"/>
          <w:szCs w:val="22"/>
        </w:rPr>
        <w:t>2</w:t>
      </w:r>
      <w:r w:rsidR="001A3D8C" w:rsidRPr="002E2B5B">
        <w:rPr>
          <w:rFonts w:ascii="Calibri" w:hAnsi="Calibri" w:cs="Calibri"/>
          <w:sz w:val="22"/>
          <w:szCs w:val="22"/>
        </w:rPr>
        <w:t>,</w:t>
      </w:r>
      <w:r w:rsidRPr="002E2B5B">
        <w:rPr>
          <w:rFonts w:ascii="Calibri" w:hAnsi="Calibri" w:cs="Calibri"/>
          <w:sz w:val="22"/>
          <w:szCs w:val="22"/>
        </w:rPr>
        <w:t xml:space="preserve"> são:</w:t>
      </w:r>
    </w:p>
    <w:p w14:paraId="7212EADE" w14:textId="61AE00E7" w:rsidR="00C34E8D" w:rsidRPr="00C34E8D" w:rsidRDefault="00660339" w:rsidP="00937ED9">
      <w:pPr>
        <w:numPr>
          <w:ilvl w:val="0"/>
          <w:numId w:val="11"/>
        </w:numPr>
        <w:spacing w:after="120"/>
        <w:ind w:left="284" w:hanging="284"/>
        <w:rPr>
          <w:rFonts w:ascii="Calibri" w:hAnsi="Calibri" w:cs="Calibri"/>
          <w:b/>
          <w:sz w:val="22"/>
          <w:szCs w:val="22"/>
        </w:rPr>
      </w:pPr>
      <w:r w:rsidRPr="002E2B5B">
        <w:rPr>
          <w:rFonts w:ascii="Calibri" w:hAnsi="Calibri" w:cs="Calibri"/>
          <w:b/>
          <w:sz w:val="22"/>
          <w:szCs w:val="22"/>
        </w:rPr>
        <w:t>Realizáveis a Curto Praz</w:t>
      </w:r>
      <w:r w:rsidR="00C34E8D">
        <w:rPr>
          <w:rFonts w:ascii="Calibri" w:hAnsi="Calibri" w:cs="Calibri"/>
          <w:b/>
          <w:sz w:val="22"/>
          <w:szCs w:val="22"/>
        </w:rPr>
        <w:t>o</w:t>
      </w:r>
    </w:p>
    <w:tbl>
      <w:tblPr>
        <w:tblW w:w="5000" w:type="pct"/>
        <w:tblCellMar>
          <w:left w:w="70" w:type="dxa"/>
          <w:right w:w="70" w:type="dxa"/>
        </w:tblCellMar>
        <w:tblLook w:val="04A0" w:firstRow="1" w:lastRow="0" w:firstColumn="1" w:lastColumn="0" w:noHBand="0" w:noVBand="1"/>
      </w:tblPr>
      <w:tblGrid>
        <w:gridCol w:w="5450"/>
        <w:gridCol w:w="735"/>
        <w:gridCol w:w="735"/>
        <w:gridCol w:w="1047"/>
        <w:gridCol w:w="1298"/>
        <w:gridCol w:w="1202"/>
      </w:tblGrid>
      <w:tr w:rsidR="00491BC0" w14:paraId="371057B5" w14:textId="77777777" w:rsidTr="00C34E8D">
        <w:trPr>
          <w:trHeight w:hRule="exact" w:val="227"/>
        </w:trPr>
        <w:tc>
          <w:tcPr>
            <w:tcW w:w="3305" w:type="pct"/>
            <w:gridSpan w:val="3"/>
            <w:tcBorders>
              <w:top w:val="nil"/>
              <w:left w:val="nil"/>
              <w:bottom w:val="single" w:sz="8" w:space="0" w:color="auto"/>
              <w:right w:val="nil"/>
            </w:tcBorders>
            <w:shd w:val="clear" w:color="auto" w:fill="auto"/>
            <w:noWrap/>
            <w:vAlign w:val="center"/>
            <w:hideMark/>
          </w:tcPr>
          <w:p w14:paraId="2E725A1C" w14:textId="77777777" w:rsidR="00491BC0" w:rsidRDefault="00491BC0" w:rsidP="00937ED9">
            <w:pPr>
              <w:spacing w:after="120"/>
              <w:rPr>
                <w:rFonts w:ascii="Calibri" w:hAnsi="Calibri" w:cs="Calibri"/>
                <w:b/>
                <w:bCs/>
                <w:color w:val="000000"/>
                <w:sz w:val="16"/>
                <w:szCs w:val="16"/>
              </w:rPr>
            </w:pPr>
            <w:r>
              <w:rPr>
                <w:rFonts w:ascii="Calibri" w:hAnsi="Calibri" w:cs="Calibri"/>
                <w:b/>
                <w:bCs/>
                <w:color w:val="000000"/>
                <w:sz w:val="16"/>
                <w:szCs w:val="16"/>
              </w:rPr>
              <w:t>PERMISSÃO PARA USO DE PÁTIOS A RECEBER - CIRCULANTE</w:t>
            </w:r>
          </w:p>
        </w:tc>
        <w:tc>
          <w:tcPr>
            <w:tcW w:w="500" w:type="pct"/>
            <w:tcBorders>
              <w:top w:val="nil"/>
              <w:left w:val="nil"/>
              <w:bottom w:val="single" w:sz="8" w:space="0" w:color="auto"/>
              <w:right w:val="nil"/>
            </w:tcBorders>
            <w:shd w:val="clear" w:color="auto" w:fill="auto"/>
            <w:noWrap/>
            <w:vAlign w:val="center"/>
            <w:hideMark/>
          </w:tcPr>
          <w:p w14:paraId="73F7A5A8" w14:textId="77777777" w:rsidR="00491BC0" w:rsidRDefault="00491BC0" w:rsidP="00937ED9">
            <w:pPr>
              <w:spacing w:after="120"/>
              <w:jc w:val="right"/>
              <w:rPr>
                <w:rFonts w:ascii="Calibri" w:hAnsi="Calibri" w:cs="Calibri"/>
                <w:b/>
                <w:bCs/>
                <w:color w:val="000000"/>
                <w:sz w:val="16"/>
                <w:szCs w:val="16"/>
              </w:rPr>
            </w:pPr>
            <w:r>
              <w:rPr>
                <w:rFonts w:ascii="Calibri" w:hAnsi="Calibri" w:cs="Calibri"/>
                <w:b/>
                <w:bCs/>
                <w:color w:val="000000"/>
                <w:sz w:val="16"/>
                <w:szCs w:val="16"/>
              </w:rPr>
              <w:t> </w:t>
            </w:r>
          </w:p>
        </w:tc>
        <w:tc>
          <w:tcPr>
            <w:tcW w:w="620" w:type="pct"/>
            <w:tcBorders>
              <w:top w:val="nil"/>
              <w:left w:val="nil"/>
              <w:bottom w:val="single" w:sz="8" w:space="0" w:color="auto"/>
              <w:right w:val="nil"/>
            </w:tcBorders>
            <w:shd w:val="clear" w:color="auto" w:fill="auto"/>
            <w:noWrap/>
            <w:vAlign w:val="center"/>
            <w:hideMark/>
          </w:tcPr>
          <w:p w14:paraId="7E9B14CA" w14:textId="07A6F967" w:rsidR="00491BC0" w:rsidRDefault="00491BC0" w:rsidP="00937ED9">
            <w:pPr>
              <w:spacing w:after="120"/>
              <w:jc w:val="right"/>
              <w:rPr>
                <w:rFonts w:ascii="Calibri" w:hAnsi="Calibri" w:cs="Calibri"/>
                <w:b/>
                <w:bCs/>
                <w:color w:val="000000"/>
                <w:sz w:val="16"/>
                <w:szCs w:val="16"/>
              </w:rPr>
            </w:pPr>
            <w:r>
              <w:rPr>
                <w:rFonts w:ascii="Calibri" w:hAnsi="Calibri" w:cs="Calibri"/>
                <w:b/>
                <w:bCs/>
                <w:color w:val="000000"/>
                <w:sz w:val="16"/>
                <w:szCs w:val="16"/>
              </w:rPr>
              <w:t>3</w:t>
            </w:r>
            <w:r w:rsidR="00374B12">
              <w:rPr>
                <w:rFonts w:ascii="Calibri" w:hAnsi="Calibri" w:cs="Calibri"/>
                <w:b/>
                <w:bCs/>
                <w:color w:val="000000"/>
                <w:sz w:val="16"/>
                <w:szCs w:val="16"/>
              </w:rPr>
              <w:t>0</w:t>
            </w:r>
            <w:r>
              <w:rPr>
                <w:rFonts w:ascii="Calibri" w:hAnsi="Calibri" w:cs="Calibri"/>
                <w:b/>
                <w:bCs/>
                <w:color w:val="000000"/>
                <w:sz w:val="16"/>
                <w:szCs w:val="16"/>
              </w:rPr>
              <w:t>/</w:t>
            </w:r>
            <w:r w:rsidR="007B08E9">
              <w:rPr>
                <w:rFonts w:ascii="Calibri" w:hAnsi="Calibri" w:cs="Calibri"/>
                <w:b/>
                <w:bCs/>
                <w:color w:val="000000"/>
                <w:sz w:val="16"/>
                <w:szCs w:val="16"/>
              </w:rPr>
              <w:t>0</w:t>
            </w:r>
            <w:r w:rsidR="00374B12">
              <w:rPr>
                <w:rFonts w:ascii="Calibri" w:hAnsi="Calibri" w:cs="Calibri"/>
                <w:b/>
                <w:bCs/>
                <w:color w:val="000000"/>
                <w:sz w:val="16"/>
                <w:szCs w:val="16"/>
              </w:rPr>
              <w:t>6</w:t>
            </w:r>
            <w:r>
              <w:rPr>
                <w:rFonts w:ascii="Calibri" w:hAnsi="Calibri" w:cs="Calibri"/>
                <w:b/>
                <w:bCs/>
                <w:color w:val="000000"/>
                <w:sz w:val="16"/>
                <w:szCs w:val="16"/>
              </w:rPr>
              <w:t>/202</w:t>
            </w:r>
            <w:r w:rsidR="007B08E9">
              <w:rPr>
                <w:rFonts w:ascii="Calibri" w:hAnsi="Calibri" w:cs="Calibri"/>
                <w:b/>
                <w:bCs/>
                <w:color w:val="000000"/>
                <w:sz w:val="16"/>
                <w:szCs w:val="16"/>
              </w:rPr>
              <w:t>2</w:t>
            </w:r>
          </w:p>
        </w:tc>
        <w:tc>
          <w:tcPr>
            <w:tcW w:w="576" w:type="pct"/>
            <w:tcBorders>
              <w:top w:val="nil"/>
              <w:left w:val="nil"/>
              <w:bottom w:val="single" w:sz="8" w:space="0" w:color="auto"/>
              <w:right w:val="nil"/>
            </w:tcBorders>
            <w:shd w:val="clear" w:color="auto" w:fill="auto"/>
            <w:vAlign w:val="center"/>
            <w:hideMark/>
          </w:tcPr>
          <w:p w14:paraId="1E7985D7" w14:textId="779EA408" w:rsidR="00491BC0" w:rsidRDefault="00491BC0" w:rsidP="00937ED9">
            <w:pPr>
              <w:spacing w:after="120"/>
              <w:jc w:val="right"/>
              <w:rPr>
                <w:rFonts w:ascii="Calibri" w:hAnsi="Calibri" w:cs="Calibri"/>
                <w:b/>
                <w:bCs/>
                <w:color w:val="000000"/>
                <w:sz w:val="16"/>
                <w:szCs w:val="16"/>
              </w:rPr>
            </w:pPr>
            <w:r>
              <w:rPr>
                <w:rFonts w:ascii="Calibri" w:hAnsi="Calibri" w:cs="Calibri"/>
                <w:b/>
                <w:bCs/>
                <w:color w:val="000000"/>
                <w:sz w:val="16"/>
                <w:szCs w:val="16"/>
              </w:rPr>
              <w:t>31/12/202</w:t>
            </w:r>
            <w:r w:rsidR="003544D3">
              <w:rPr>
                <w:rFonts w:ascii="Calibri" w:hAnsi="Calibri" w:cs="Calibri"/>
                <w:b/>
                <w:bCs/>
                <w:color w:val="000000"/>
                <w:sz w:val="16"/>
                <w:szCs w:val="16"/>
              </w:rPr>
              <w:t>1</w:t>
            </w:r>
          </w:p>
        </w:tc>
      </w:tr>
      <w:tr w:rsidR="00491BC0" w14:paraId="26C21314" w14:textId="77777777" w:rsidTr="00C34E8D">
        <w:trPr>
          <w:trHeight w:hRule="exact" w:val="227"/>
        </w:trPr>
        <w:tc>
          <w:tcPr>
            <w:tcW w:w="3305" w:type="pct"/>
            <w:gridSpan w:val="3"/>
            <w:tcBorders>
              <w:top w:val="single" w:sz="8" w:space="0" w:color="auto"/>
              <w:left w:val="nil"/>
              <w:bottom w:val="nil"/>
              <w:right w:val="nil"/>
            </w:tcBorders>
            <w:shd w:val="clear" w:color="auto" w:fill="auto"/>
            <w:noWrap/>
            <w:vAlign w:val="center"/>
            <w:hideMark/>
          </w:tcPr>
          <w:p w14:paraId="090182FD" w14:textId="77777777" w:rsidR="00491BC0" w:rsidRDefault="00491BC0" w:rsidP="00937ED9">
            <w:pPr>
              <w:spacing w:after="120"/>
              <w:rPr>
                <w:rFonts w:ascii="Calibri" w:hAnsi="Calibri" w:cs="Calibri"/>
                <w:color w:val="000000"/>
                <w:sz w:val="16"/>
                <w:szCs w:val="16"/>
              </w:rPr>
            </w:pPr>
            <w:r>
              <w:rPr>
                <w:rFonts w:ascii="Calibri" w:hAnsi="Calibri" w:cs="Calibri"/>
                <w:color w:val="000000"/>
                <w:sz w:val="16"/>
                <w:szCs w:val="16"/>
              </w:rPr>
              <w:t>Saldo do exercício anterior</w:t>
            </w:r>
          </w:p>
        </w:tc>
        <w:tc>
          <w:tcPr>
            <w:tcW w:w="500" w:type="pct"/>
            <w:tcBorders>
              <w:top w:val="nil"/>
              <w:left w:val="nil"/>
              <w:bottom w:val="nil"/>
              <w:right w:val="nil"/>
            </w:tcBorders>
            <w:shd w:val="clear" w:color="auto" w:fill="auto"/>
            <w:noWrap/>
            <w:vAlign w:val="center"/>
            <w:hideMark/>
          </w:tcPr>
          <w:p w14:paraId="1A0ADB49" w14:textId="77777777" w:rsidR="00491BC0" w:rsidRDefault="00491BC0" w:rsidP="00937ED9">
            <w:pPr>
              <w:spacing w:after="120"/>
              <w:rPr>
                <w:rFonts w:ascii="Calibri" w:hAnsi="Calibri" w:cs="Calibri"/>
                <w:color w:val="000000"/>
                <w:sz w:val="16"/>
                <w:szCs w:val="16"/>
              </w:rPr>
            </w:pPr>
          </w:p>
        </w:tc>
        <w:tc>
          <w:tcPr>
            <w:tcW w:w="620" w:type="pct"/>
            <w:tcBorders>
              <w:top w:val="nil"/>
              <w:left w:val="nil"/>
              <w:bottom w:val="nil"/>
              <w:right w:val="nil"/>
            </w:tcBorders>
            <w:shd w:val="clear" w:color="auto" w:fill="auto"/>
            <w:noWrap/>
            <w:vAlign w:val="center"/>
            <w:hideMark/>
          </w:tcPr>
          <w:p w14:paraId="2D8B3BEA" w14:textId="7B100FC4" w:rsidR="00491BC0" w:rsidRDefault="003544D3" w:rsidP="00937ED9">
            <w:pPr>
              <w:spacing w:after="120"/>
              <w:jc w:val="right"/>
              <w:rPr>
                <w:rFonts w:ascii="Calibri" w:hAnsi="Calibri" w:cs="Calibri"/>
                <w:color w:val="000000"/>
                <w:sz w:val="16"/>
                <w:szCs w:val="16"/>
              </w:rPr>
            </w:pPr>
            <w:r>
              <w:rPr>
                <w:rFonts w:ascii="Calibri" w:hAnsi="Calibri" w:cs="Calibri"/>
                <w:color w:val="000000"/>
                <w:sz w:val="16"/>
                <w:szCs w:val="16"/>
              </w:rPr>
              <w:t>2.144.892</w:t>
            </w:r>
          </w:p>
        </w:tc>
        <w:tc>
          <w:tcPr>
            <w:tcW w:w="576" w:type="pct"/>
            <w:tcBorders>
              <w:top w:val="nil"/>
              <w:left w:val="nil"/>
              <w:bottom w:val="nil"/>
              <w:right w:val="nil"/>
            </w:tcBorders>
            <w:shd w:val="clear" w:color="auto" w:fill="auto"/>
            <w:vAlign w:val="center"/>
            <w:hideMark/>
          </w:tcPr>
          <w:p w14:paraId="518642EB" w14:textId="70ADA286" w:rsidR="00491BC0" w:rsidRDefault="003544D3" w:rsidP="00937ED9">
            <w:pPr>
              <w:spacing w:after="120"/>
              <w:jc w:val="right"/>
              <w:rPr>
                <w:rFonts w:ascii="Calibri" w:hAnsi="Calibri" w:cs="Calibri"/>
                <w:color w:val="000000"/>
                <w:sz w:val="16"/>
                <w:szCs w:val="16"/>
              </w:rPr>
            </w:pPr>
            <w:r>
              <w:rPr>
                <w:rFonts w:ascii="Calibri" w:hAnsi="Calibri" w:cs="Calibri"/>
                <w:color w:val="000000"/>
                <w:sz w:val="16"/>
                <w:szCs w:val="16"/>
              </w:rPr>
              <w:t>1.487.338</w:t>
            </w:r>
          </w:p>
        </w:tc>
      </w:tr>
      <w:tr w:rsidR="00491BC0" w14:paraId="7B0B7124" w14:textId="77777777" w:rsidTr="00C34E8D">
        <w:trPr>
          <w:trHeight w:hRule="exact" w:val="227"/>
        </w:trPr>
        <w:tc>
          <w:tcPr>
            <w:tcW w:w="2954" w:type="pct"/>
            <w:gridSpan w:val="2"/>
            <w:tcBorders>
              <w:top w:val="nil"/>
              <w:left w:val="nil"/>
              <w:bottom w:val="nil"/>
              <w:right w:val="nil"/>
            </w:tcBorders>
            <w:shd w:val="clear" w:color="auto" w:fill="auto"/>
            <w:noWrap/>
            <w:vAlign w:val="center"/>
            <w:hideMark/>
          </w:tcPr>
          <w:p w14:paraId="7E62BAB5" w14:textId="77777777" w:rsidR="00491BC0" w:rsidRDefault="00491BC0" w:rsidP="00937ED9">
            <w:pPr>
              <w:spacing w:after="120"/>
              <w:rPr>
                <w:rFonts w:ascii="Calibri" w:hAnsi="Calibri" w:cs="Calibri"/>
                <w:color w:val="000000"/>
                <w:sz w:val="16"/>
                <w:szCs w:val="16"/>
              </w:rPr>
            </w:pPr>
            <w:r>
              <w:rPr>
                <w:rFonts w:ascii="Calibri" w:hAnsi="Calibri" w:cs="Calibri"/>
                <w:color w:val="000000"/>
                <w:sz w:val="16"/>
                <w:szCs w:val="16"/>
              </w:rPr>
              <w:t>Recebimentos</w:t>
            </w:r>
          </w:p>
        </w:tc>
        <w:tc>
          <w:tcPr>
            <w:tcW w:w="351" w:type="pct"/>
            <w:tcBorders>
              <w:top w:val="nil"/>
              <w:left w:val="nil"/>
              <w:bottom w:val="nil"/>
              <w:right w:val="nil"/>
            </w:tcBorders>
            <w:shd w:val="clear" w:color="auto" w:fill="auto"/>
            <w:noWrap/>
            <w:vAlign w:val="center"/>
            <w:hideMark/>
          </w:tcPr>
          <w:p w14:paraId="2CA1A6CB" w14:textId="77777777" w:rsidR="00491BC0" w:rsidRDefault="00491BC0" w:rsidP="00937ED9">
            <w:pPr>
              <w:spacing w:after="120"/>
              <w:rPr>
                <w:rFonts w:ascii="Calibri" w:hAnsi="Calibri" w:cs="Calibri"/>
                <w:color w:val="000000"/>
                <w:sz w:val="16"/>
                <w:szCs w:val="16"/>
              </w:rPr>
            </w:pPr>
          </w:p>
        </w:tc>
        <w:tc>
          <w:tcPr>
            <w:tcW w:w="500" w:type="pct"/>
            <w:tcBorders>
              <w:top w:val="nil"/>
              <w:left w:val="nil"/>
              <w:bottom w:val="nil"/>
              <w:right w:val="nil"/>
            </w:tcBorders>
            <w:shd w:val="clear" w:color="auto" w:fill="auto"/>
            <w:noWrap/>
            <w:vAlign w:val="center"/>
            <w:hideMark/>
          </w:tcPr>
          <w:p w14:paraId="50888918" w14:textId="77777777" w:rsidR="00491BC0" w:rsidRDefault="00491BC0" w:rsidP="00937ED9">
            <w:pPr>
              <w:spacing w:after="120"/>
              <w:rPr>
                <w:sz w:val="20"/>
                <w:szCs w:val="20"/>
              </w:rPr>
            </w:pPr>
          </w:p>
        </w:tc>
        <w:tc>
          <w:tcPr>
            <w:tcW w:w="620" w:type="pct"/>
            <w:tcBorders>
              <w:top w:val="nil"/>
              <w:left w:val="nil"/>
              <w:bottom w:val="nil"/>
              <w:right w:val="nil"/>
            </w:tcBorders>
            <w:shd w:val="clear" w:color="auto" w:fill="auto"/>
            <w:vAlign w:val="center"/>
            <w:hideMark/>
          </w:tcPr>
          <w:p w14:paraId="21004546" w14:textId="0EB0170E" w:rsidR="00491BC0" w:rsidRDefault="00491BC0" w:rsidP="00937ED9">
            <w:pPr>
              <w:spacing w:after="120"/>
              <w:jc w:val="right"/>
              <w:rPr>
                <w:rFonts w:ascii="Calibri" w:hAnsi="Calibri" w:cs="Calibri"/>
                <w:color w:val="000000"/>
                <w:sz w:val="16"/>
                <w:szCs w:val="16"/>
              </w:rPr>
            </w:pPr>
            <w:r>
              <w:rPr>
                <w:rFonts w:ascii="Calibri" w:hAnsi="Calibri" w:cs="Calibri"/>
                <w:color w:val="000000"/>
                <w:sz w:val="16"/>
                <w:szCs w:val="16"/>
              </w:rPr>
              <w:t>(</w:t>
            </w:r>
            <w:r w:rsidR="00BA1211">
              <w:rPr>
                <w:rFonts w:ascii="Calibri" w:hAnsi="Calibri" w:cs="Calibri"/>
                <w:color w:val="000000"/>
                <w:sz w:val="16"/>
                <w:szCs w:val="16"/>
              </w:rPr>
              <w:t>687.441</w:t>
            </w:r>
            <w:r>
              <w:rPr>
                <w:rFonts w:ascii="Calibri" w:hAnsi="Calibri" w:cs="Calibri"/>
                <w:color w:val="000000"/>
                <w:sz w:val="16"/>
                <w:szCs w:val="16"/>
              </w:rPr>
              <w:t>)</w:t>
            </w:r>
          </w:p>
        </w:tc>
        <w:tc>
          <w:tcPr>
            <w:tcW w:w="576" w:type="pct"/>
            <w:tcBorders>
              <w:top w:val="nil"/>
              <w:left w:val="nil"/>
              <w:bottom w:val="nil"/>
              <w:right w:val="nil"/>
            </w:tcBorders>
            <w:shd w:val="clear" w:color="auto" w:fill="auto"/>
            <w:noWrap/>
            <w:vAlign w:val="center"/>
            <w:hideMark/>
          </w:tcPr>
          <w:p w14:paraId="226E42F5" w14:textId="694E16E8" w:rsidR="00491BC0" w:rsidRDefault="003544D3" w:rsidP="00937ED9">
            <w:pPr>
              <w:spacing w:after="120"/>
              <w:jc w:val="right"/>
              <w:rPr>
                <w:rFonts w:ascii="Calibri" w:hAnsi="Calibri" w:cs="Calibri"/>
                <w:color w:val="000000"/>
                <w:sz w:val="16"/>
                <w:szCs w:val="16"/>
              </w:rPr>
            </w:pPr>
            <w:r>
              <w:rPr>
                <w:rFonts w:ascii="Calibri" w:hAnsi="Calibri" w:cs="Calibri"/>
                <w:color w:val="000000"/>
                <w:sz w:val="16"/>
                <w:szCs w:val="16"/>
              </w:rPr>
              <w:t>(1.453.905)</w:t>
            </w:r>
          </w:p>
        </w:tc>
      </w:tr>
      <w:tr w:rsidR="00491BC0" w14:paraId="0923774B" w14:textId="77777777" w:rsidTr="00C34E8D">
        <w:trPr>
          <w:trHeight w:hRule="exact" w:val="227"/>
        </w:trPr>
        <w:tc>
          <w:tcPr>
            <w:tcW w:w="2954" w:type="pct"/>
            <w:gridSpan w:val="2"/>
            <w:tcBorders>
              <w:top w:val="nil"/>
              <w:left w:val="nil"/>
              <w:bottom w:val="nil"/>
              <w:right w:val="nil"/>
            </w:tcBorders>
            <w:shd w:val="clear" w:color="auto" w:fill="auto"/>
            <w:noWrap/>
            <w:vAlign w:val="center"/>
            <w:hideMark/>
          </w:tcPr>
          <w:p w14:paraId="01005E81" w14:textId="0CAFCC02" w:rsidR="00491BC0" w:rsidRDefault="00491BC0" w:rsidP="00937ED9">
            <w:pPr>
              <w:spacing w:after="120"/>
              <w:rPr>
                <w:rFonts w:ascii="Calibri" w:hAnsi="Calibri" w:cs="Calibri"/>
                <w:color w:val="000000"/>
                <w:sz w:val="16"/>
                <w:szCs w:val="16"/>
              </w:rPr>
            </w:pPr>
            <w:r>
              <w:rPr>
                <w:rFonts w:ascii="Calibri" w:hAnsi="Calibri" w:cs="Calibri"/>
                <w:color w:val="000000"/>
                <w:sz w:val="16"/>
                <w:szCs w:val="16"/>
              </w:rPr>
              <w:t>Transf</w:t>
            </w:r>
            <w:r w:rsidR="00196BF6">
              <w:rPr>
                <w:rFonts w:ascii="Calibri" w:hAnsi="Calibri" w:cs="Calibri"/>
                <w:color w:val="000000"/>
                <w:sz w:val="16"/>
                <w:szCs w:val="16"/>
              </w:rPr>
              <w:t>erência</w:t>
            </w:r>
            <w:r>
              <w:rPr>
                <w:rFonts w:ascii="Calibri" w:hAnsi="Calibri" w:cs="Calibri"/>
                <w:color w:val="000000"/>
                <w:sz w:val="16"/>
                <w:szCs w:val="16"/>
              </w:rPr>
              <w:t xml:space="preserve"> do não circulante para circulante</w:t>
            </w:r>
          </w:p>
        </w:tc>
        <w:tc>
          <w:tcPr>
            <w:tcW w:w="351" w:type="pct"/>
            <w:tcBorders>
              <w:top w:val="nil"/>
              <w:left w:val="nil"/>
              <w:bottom w:val="nil"/>
              <w:right w:val="nil"/>
            </w:tcBorders>
            <w:shd w:val="clear" w:color="auto" w:fill="auto"/>
            <w:noWrap/>
            <w:vAlign w:val="center"/>
            <w:hideMark/>
          </w:tcPr>
          <w:p w14:paraId="0636280D" w14:textId="77777777" w:rsidR="00491BC0" w:rsidRDefault="00491BC0" w:rsidP="00937ED9">
            <w:pPr>
              <w:spacing w:after="120"/>
              <w:rPr>
                <w:rFonts w:ascii="Calibri" w:hAnsi="Calibri" w:cs="Calibri"/>
                <w:color w:val="000000"/>
                <w:sz w:val="16"/>
                <w:szCs w:val="16"/>
              </w:rPr>
            </w:pPr>
          </w:p>
        </w:tc>
        <w:tc>
          <w:tcPr>
            <w:tcW w:w="500" w:type="pct"/>
            <w:tcBorders>
              <w:top w:val="nil"/>
              <w:left w:val="nil"/>
              <w:bottom w:val="nil"/>
              <w:right w:val="nil"/>
            </w:tcBorders>
            <w:shd w:val="clear" w:color="auto" w:fill="auto"/>
            <w:noWrap/>
            <w:vAlign w:val="center"/>
            <w:hideMark/>
          </w:tcPr>
          <w:p w14:paraId="66AB1C24" w14:textId="77777777" w:rsidR="00491BC0" w:rsidRDefault="00491BC0" w:rsidP="00937ED9">
            <w:pPr>
              <w:spacing w:after="120"/>
              <w:rPr>
                <w:sz w:val="20"/>
                <w:szCs w:val="20"/>
              </w:rPr>
            </w:pPr>
          </w:p>
        </w:tc>
        <w:tc>
          <w:tcPr>
            <w:tcW w:w="620" w:type="pct"/>
            <w:tcBorders>
              <w:top w:val="nil"/>
              <w:left w:val="nil"/>
              <w:bottom w:val="nil"/>
              <w:right w:val="nil"/>
            </w:tcBorders>
            <w:shd w:val="clear" w:color="auto" w:fill="auto"/>
            <w:vAlign w:val="center"/>
            <w:hideMark/>
          </w:tcPr>
          <w:p w14:paraId="4D6376DD" w14:textId="47E86035" w:rsidR="00491BC0" w:rsidRDefault="00BA1211" w:rsidP="00937ED9">
            <w:pPr>
              <w:spacing w:after="120"/>
              <w:jc w:val="right"/>
              <w:rPr>
                <w:rFonts w:ascii="Calibri" w:hAnsi="Calibri" w:cs="Calibri"/>
                <w:color w:val="000000"/>
                <w:sz w:val="16"/>
                <w:szCs w:val="16"/>
              </w:rPr>
            </w:pPr>
            <w:r>
              <w:rPr>
                <w:rFonts w:ascii="Calibri" w:hAnsi="Calibri" w:cs="Calibri"/>
                <w:color w:val="000000"/>
                <w:sz w:val="16"/>
                <w:szCs w:val="16"/>
              </w:rPr>
              <w:t>687.441</w:t>
            </w:r>
          </w:p>
        </w:tc>
        <w:tc>
          <w:tcPr>
            <w:tcW w:w="576" w:type="pct"/>
            <w:tcBorders>
              <w:top w:val="nil"/>
              <w:left w:val="nil"/>
              <w:bottom w:val="nil"/>
              <w:right w:val="nil"/>
            </w:tcBorders>
            <w:shd w:val="clear" w:color="auto" w:fill="auto"/>
            <w:noWrap/>
            <w:vAlign w:val="center"/>
            <w:hideMark/>
          </w:tcPr>
          <w:p w14:paraId="7BD3D872" w14:textId="0907F7A8" w:rsidR="00491BC0" w:rsidRDefault="003544D3" w:rsidP="00937ED9">
            <w:pPr>
              <w:spacing w:after="120"/>
              <w:jc w:val="right"/>
              <w:rPr>
                <w:rFonts w:ascii="Calibri" w:hAnsi="Calibri" w:cs="Calibri"/>
                <w:color w:val="000000"/>
                <w:sz w:val="16"/>
                <w:szCs w:val="16"/>
              </w:rPr>
            </w:pPr>
            <w:r>
              <w:rPr>
                <w:rFonts w:ascii="Calibri" w:hAnsi="Calibri" w:cs="Calibri"/>
                <w:color w:val="000000"/>
                <w:sz w:val="16"/>
                <w:szCs w:val="16"/>
              </w:rPr>
              <w:t>1.242.315</w:t>
            </w:r>
          </w:p>
        </w:tc>
      </w:tr>
      <w:tr w:rsidR="00491BC0" w14:paraId="70B0E88D" w14:textId="77777777" w:rsidTr="00C34E8D">
        <w:trPr>
          <w:trHeight w:hRule="exact" w:val="227"/>
        </w:trPr>
        <w:tc>
          <w:tcPr>
            <w:tcW w:w="2954" w:type="pct"/>
            <w:gridSpan w:val="2"/>
            <w:tcBorders>
              <w:top w:val="nil"/>
              <w:left w:val="nil"/>
              <w:bottom w:val="nil"/>
              <w:right w:val="nil"/>
            </w:tcBorders>
            <w:shd w:val="clear" w:color="auto" w:fill="auto"/>
            <w:noWrap/>
            <w:vAlign w:val="center"/>
            <w:hideMark/>
          </w:tcPr>
          <w:p w14:paraId="30A41EB0" w14:textId="77777777" w:rsidR="00491BC0" w:rsidRDefault="00491BC0" w:rsidP="00937ED9">
            <w:pPr>
              <w:spacing w:after="120"/>
              <w:rPr>
                <w:rFonts w:ascii="Calibri" w:hAnsi="Calibri" w:cs="Calibri"/>
                <w:color w:val="000000"/>
                <w:sz w:val="16"/>
                <w:szCs w:val="16"/>
              </w:rPr>
            </w:pPr>
            <w:r>
              <w:rPr>
                <w:rFonts w:ascii="Calibri" w:hAnsi="Calibri" w:cs="Calibri"/>
                <w:color w:val="000000"/>
                <w:sz w:val="16"/>
                <w:szCs w:val="16"/>
              </w:rPr>
              <w:t>Atualização monetária do período</w:t>
            </w:r>
          </w:p>
        </w:tc>
        <w:tc>
          <w:tcPr>
            <w:tcW w:w="351" w:type="pct"/>
            <w:tcBorders>
              <w:top w:val="nil"/>
              <w:left w:val="nil"/>
              <w:bottom w:val="nil"/>
              <w:right w:val="nil"/>
            </w:tcBorders>
            <w:shd w:val="clear" w:color="auto" w:fill="auto"/>
            <w:noWrap/>
            <w:vAlign w:val="center"/>
            <w:hideMark/>
          </w:tcPr>
          <w:p w14:paraId="233A0062" w14:textId="77777777" w:rsidR="00491BC0" w:rsidRDefault="00491BC0" w:rsidP="00937ED9">
            <w:pPr>
              <w:spacing w:after="120"/>
              <w:rPr>
                <w:rFonts w:ascii="Calibri" w:hAnsi="Calibri" w:cs="Calibri"/>
                <w:color w:val="000000"/>
                <w:sz w:val="16"/>
                <w:szCs w:val="16"/>
              </w:rPr>
            </w:pPr>
          </w:p>
        </w:tc>
        <w:tc>
          <w:tcPr>
            <w:tcW w:w="500" w:type="pct"/>
            <w:tcBorders>
              <w:top w:val="nil"/>
              <w:left w:val="nil"/>
              <w:bottom w:val="nil"/>
              <w:right w:val="nil"/>
            </w:tcBorders>
            <w:shd w:val="clear" w:color="auto" w:fill="auto"/>
            <w:noWrap/>
            <w:vAlign w:val="center"/>
            <w:hideMark/>
          </w:tcPr>
          <w:p w14:paraId="032D7D28" w14:textId="77777777" w:rsidR="00491BC0" w:rsidRDefault="00491BC0" w:rsidP="00937ED9">
            <w:pPr>
              <w:spacing w:after="120"/>
              <w:rPr>
                <w:sz w:val="20"/>
                <w:szCs w:val="20"/>
              </w:rPr>
            </w:pPr>
          </w:p>
        </w:tc>
        <w:tc>
          <w:tcPr>
            <w:tcW w:w="620" w:type="pct"/>
            <w:tcBorders>
              <w:top w:val="nil"/>
              <w:left w:val="nil"/>
              <w:bottom w:val="nil"/>
              <w:right w:val="nil"/>
            </w:tcBorders>
            <w:shd w:val="clear" w:color="auto" w:fill="auto"/>
            <w:vAlign w:val="center"/>
            <w:hideMark/>
          </w:tcPr>
          <w:p w14:paraId="03271AF0" w14:textId="5441A341" w:rsidR="00491BC0" w:rsidRDefault="00CB52CB" w:rsidP="00937ED9">
            <w:pPr>
              <w:spacing w:after="120"/>
              <w:jc w:val="right"/>
              <w:rPr>
                <w:rFonts w:ascii="Calibri" w:hAnsi="Calibri" w:cs="Calibri"/>
                <w:color w:val="000000"/>
                <w:sz w:val="16"/>
                <w:szCs w:val="16"/>
              </w:rPr>
            </w:pPr>
            <w:r>
              <w:rPr>
                <w:rFonts w:ascii="Calibri" w:hAnsi="Calibri" w:cs="Calibri"/>
                <w:color w:val="000000"/>
                <w:sz w:val="16"/>
                <w:szCs w:val="16"/>
              </w:rPr>
              <w:t>108.960</w:t>
            </w:r>
          </w:p>
        </w:tc>
        <w:tc>
          <w:tcPr>
            <w:tcW w:w="576" w:type="pct"/>
            <w:tcBorders>
              <w:top w:val="nil"/>
              <w:left w:val="nil"/>
              <w:bottom w:val="nil"/>
              <w:right w:val="nil"/>
            </w:tcBorders>
            <w:shd w:val="clear" w:color="auto" w:fill="auto"/>
            <w:noWrap/>
            <w:vAlign w:val="center"/>
            <w:hideMark/>
          </w:tcPr>
          <w:p w14:paraId="0E410D89" w14:textId="58D341B6" w:rsidR="00491BC0" w:rsidRDefault="003544D3" w:rsidP="00937ED9">
            <w:pPr>
              <w:spacing w:after="120"/>
              <w:jc w:val="right"/>
              <w:rPr>
                <w:rFonts w:ascii="Calibri" w:hAnsi="Calibri" w:cs="Calibri"/>
                <w:color w:val="000000"/>
                <w:sz w:val="16"/>
                <w:szCs w:val="16"/>
              </w:rPr>
            </w:pPr>
            <w:r>
              <w:rPr>
                <w:rFonts w:ascii="Calibri" w:hAnsi="Calibri" w:cs="Calibri"/>
                <w:color w:val="000000"/>
                <w:sz w:val="16"/>
                <w:szCs w:val="16"/>
              </w:rPr>
              <w:t>(33.438)</w:t>
            </w:r>
          </w:p>
        </w:tc>
      </w:tr>
      <w:tr w:rsidR="00491BC0" w14:paraId="7D71B3FF" w14:textId="77777777" w:rsidTr="00C34E8D">
        <w:trPr>
          <w:trHeight w:hRule="exact" w:val="227"/>
        </w:trPr>
        <w:tc>
          <w:tcPr>
            <w:tcW w:w="2954" w:type="pct"/>
            <w:gridSpan w:val="2"/>
            <w:tcBorders>
              <w:top w:val="nil"/>
              <w:left w:val="nil"/>
              <w:bottom w:val="single" w:sz="8" w:space="0" w:color="auto"/>
              <w:right w:val="nil"/>
            </w:tcBorders>
            <w:shd w:val="clear" w:color="auto" w:fill="auto"/>
            <w:noWrap/>
            <w:vAlign w:val="center"/>
            <w:hideMark/>
          </w:tcPr>
          <w:p w14:paraId="4DD64CBF" w14:textId="77777777" w:rsidR="00491BC0" w:rsidRDefault="00491BC0" w:rsidP="00937ED9">
            <w:pPr>
              <w:spacing w:after="120"/>
              <w:rPr>
                <w:rFonts w:ascii="Calibri" w:hAnsi="Calibri" w:cs="Calibri"/>
                <w:color w:val="000000"/>
                <w:sz w:val="16"/>
                <w:szCs w:val="16"/>
              </w:rPr>
            </w:pPr>
            <w:r>
              <w:rPr>
                <w:rFonts w:ascii="Calibri" w:hAnsi="Calibri" w:cs="Calibri"/>
                <w:color w:val="000000"/>
                <w:sz w:val="16"/>
                <w:szCs w:val="16"/>
              </w:rPr>
              <w:t>Novas permissões</w:t>
            </w:r>
          </w:p>
        </w:tc>
        <w:tc>
          <w:tcPr>
            <w:tcW w:w="351" w:type="pct"/>
            <w:tcBorders>
              <w:top w:val="nil"/>
              <w:left w:val="nil"/>
              <w:bottom w:val="single" w:sz="8" w:space="0" w:color="auto"/>
              <w:right w:val="nil"/>
            </w:tcBorders>
            <w:shd w:val="clear" w:color="auto" w:fill="auto"/>
            <w:noWrap/>
            <w:vAlign w:val="center"/>
            <w:hideMark/>
          </w:tcPr>
          <w:p w14:paraId="314B15D4" w14:textId="77777777" w:rsidR="00491BC0" w:rsidRDefault="00491BC0" w:rsidP="00937ED9">
            <w:pPr>
              <w:spacing w:after="120"/>
              <w:jc w:val="right"/>
              <w:rPr>
                <w:rFonts w:ascii="Calibri" w:hAnsi="Calibri" w:cs="Calibri"/>
                <w:color w:val="000000"/>
                <w:sz w:val="16"/>
                <w:szCs w:val="16"/>
              </w:rPr>
            </w:pPr>
            <w:r>
              <w:rPr>
                <w:rFonts w:ascii="Calibri" w:hAnsi="Calibri" w:cs="Calibri"/>
                <w:color w:val="000000"/>
                <w:sz w:val="16"/>
                <w:szCs w:val="16"/>
              </w:rPr>
              <w:t> </w:t>
            </w:r>
          </w:p>
        </w:tc>
        <w:tc>
          <w:tcPr>
            <w:tcW w:w="500" w:type="pct"/>
            <w:tcBorders>
              <w:top w:val="nil"/>
              <w:left w:val="nil"/>
              <w:bottom w:val="single" w:sz="8" w:space="0" w:color="auto"/>
              <w:right w:val="nil"/>
            </w:tcBorders>
            <w:shd w:val="clear" w:color="auto" w:fill="auto"/>
            <w:noWrap/>
            <w:vAlign w:val="center"/>
            <w:hideMark/>
          </w:tcPr>
          <w:p w14:paraId="289122B6" w14:textId="77777777" w:rsidR="00491BC0" w:rsidRDefault="00491BC0" w:rsidP="00937ED9">
            <w:pPr>
              <w:spacing w:after="120"/>
              <w:jc w:val="right"/>
              <w:rPr>
                <w:rFonts w:ascii="Calibri" w:hAnsi="Calibri" w:cs="Calibri"/>
                <w:color w:val="000000"/>
                <w:sz w:val="16"/>
                <w:szCs w:val="16"/>
              </w:rPr>
            </w:pPr>
            <w:r>
              <w:rPr>
                <w:rFonts w:ascii="Calibri" w:hAnsi="Calibri" w:cs="Calibri"/>
                <w:color w:val="000000"/>
                <w:sz w:val="16"/>
                <w:szCs w:val="16"/>
              </w:rPr>
              <w:t> </w:t>
            </w:r>
          </w:p>
        </w:tc>
        <w:tc>
          <w:tcPr>
            <w:tcW w:w="620" w:type="pct"/>
            <w:tcBorders>
              <w:top w:val="nil"/>
              <w:left w:val="nil"/>
              <w:bottom w:val="single" w:sz="8" w:space="0" w:color="auto"/>
              <w:right w:val="nil"/>
            </w:tcBorders>
            <w:shd w:val="clear" w:color="auto" w:fill="auto"/>
            <w:vAlign w:val="center"/>
            <w:hideMark/>
          </w:tcPr>
          <w:p w14:paraId="62ED5889" w14:textId="0408A694" w:rsidR="00491BC0" w:rsidRDefault="00F47CFC" w:rsidP="00937ED9">
            <w:pPr>
              <w:spacing w:after="120"/>
              <w:jc w:val="right"/>
              <w:rPr>
                <w:rFonts w:ascii="Calibri" w:hAnsi="Calibri" w:cs="Calibri"/>
                <w:color w:val="000000"/>
                <w:sz w:val="16"/>
                <w:szCs w:val="16"/>
              </w:rPr>
            </w:pPr>
            <w:r>
              <w:rPr>
                <w:rFonts w:ascii="Calibri" w:hAnsi="Calibri" w:cs="Calibri"/>
                <w:color w:val="000000"/>
                <w:sz w:val="16"/>
                <w:szCs w:val="16"/>
              </w:rPr>
              <w:t>618.8</w:t>
            </w:r>
            <w:r w:rsidR="00CB52CB">
              <w:rPr>
                <w:rFonts w:ascii="Calibri" w:hAnsi="Calibri" w:cs="Calibri"/>
                <w:color w:val="000000"/>
                <w:sz w:val="16"/>
                <w:szCs w:val="16"/>
              </w:rPr>
              <w:t>50</w:t>
            </w:r>
            <w:r w:rsidR="00491BC0">
              <w:rPr>
                <w:rFonts w:ascii="Calibri" w:hAnsi="Calibri" w:cs="Calibri"/>
                <w:color w:val="000000"/>
                <w:sz w:val="16"/>
                <w:szCs w:val="16"/>
              </w:rPr>
              <w:t xml:space="preserve">   </w:t>
            </w:r>
          </w:p>
        </w:tc>
        <w:tc>
          <w:tcPr>
            <w:tcW w:w="576" w:type="pct"/>
            <w:tcBorders>
              <w:top w:val="nil"/>
              <w:left w:val="nil"/>
              <w:bottom w:val="single" w:sz="8" w:space="0" w:color="auto"/>
              <w:right w:val="nil"/>
            </w:tcBorders>
            <w:shd w:val="clear" w:color="auto" w:fill="auto"/>
            <w:noWrap/>
            <w:vAlign w:val="center"/>
            <w:hideMark/>
          </w:tcPr>
          <w:p w14:paraId="466A775B" w14:textId="4A89EE4D" w:rsidR="00491BC0" w:rsidRDefault="003544D3" w:rsidP="00937ED9">
            <w:pPr>
              <w:spacing w:after="120"/>
              <w:jc w:val="right"/>
              <w:rPr>
                <w:rFonts w:ascii="Calibri" w:hAnsi="Calibri" w:cs="Calibri"/>
                <w:color w:val="000000"/>
                <w:sz w:val="16"/>
                <w:szCs w:val="16"/>
              </w:rPr>
            </w:pPr>
            <w:r>
              <w:rPr>
                <w:rFonts w:ascii="Calibri" w:hAnsi="Calibri" w:cs="Calibri"/>
                <w:color w:val="000000"/>
                <w:sz w:val="16"/>
                <w:szCs w:val="16"/>
              </w:rPr>
              <w:t xml:space="preserve">902.582   </w:t>
            </w:r>
          </w:p>
        </w:tc>
      </w:tr>
      <w:tr w:rsidR="00491BC0" w14:paraId="56A1A315" w14:textId="77777777" w:rsidTr="00C34E8D">
        <w:trPr>
          <w:trHeight w:hRule="exact" w:val="227"/>
        </w:trPr>
        <w:tc>
          <w:tcPr>
            <w:tcW w:w="2604" w:type="pct"/>
            <w:tcBorders>
              <w:top w:val="nil"/>
              <w:left w:val="nil"/>
              <w:bottom w:val="single" w:sz="8" w:space="0" w:color="auto"/>
              <w:right w:val="nil"/>
            </w:tcBorders>
            <w:shd w:val="clear" w:color="auto" w:fill="auto"/>
            <w:noWrap/>
            <w:vAlign w:val="center"/>
            <w:hideMark/>
          </w:tcPr>
          <w:p w14:paraId="0E134AF4" w14:textId="77777777" w:rsidR="00491BC0" w:rsidRDefault="00491BC0" w:rsidP="00937ED9">
            <w:pPr>
              <w:spacing w:after="120"/>
              <w:rPr>
                <w:rFonts w:ascii="Calibri" w:hAnsi="Calibri" w:cs="Calibri"/>
                <w:b/>
                <w:bCs/>
                <w:color w:val="000000"/>
                <w:sz w:val="16"/>
                <w:szCs w:val="16"/>
              </w:rPr>
            </w:pPr>
            <w:r>
              <w:rPr>
                <w:rFonts w:ascii="Calibri" w:hAnsi="Calibri" w:cs="Calibri"/>
                <w:b/>
                <w:bCs/>
                <w:color w:val="000000"/>
                <w:sz w:val="16"/>
                <w:szCs w:val="16"/>
              </w:rPr>
              <w:t xml:space="preserve"> TOTAL </w:t>
            </w:r>
          </w:p>
        </w:tc>
        <w:tc>
          <w:tcPr>
            <w:tcW w:w="351" w:type="pct"/>
            <w:tcBorders>
              <w:top w:val="nil"/>
              <w:left w:val="nil"/>
              <w:bottom w:val="single" w:sz="8" w:space="0" w:color="auto"/>
              <w:right w:val="nil"/>
            </w:tcBorders>
            <w:shd w:val="clear" w:color="auto" w:fill="auto"/>
            <w:noWrap/>
            <w:vAlign w:val="center"/>
            <w:hideMark/>
          </w:tcPr>
          <w:p w14:paraId="152F3C4C" w14:textId="77777777" w:rsidR="00491BC0" w:rsidRDefault="00491BC0" w:rsidP="00937ED9">
            <w:pPr>
              <w:spacing w:after="120"/>
              <w:rPr>
                <w:rFonts w:ascii="Calibri" w:hAnsi="Calibri" w:cs="Calibri"/>
                <w:color w:val="000000"/>
                <w:sz w:val="16"/>
                <w:szCs w:val="16"/>
              </w:rPr>
            </w:pPr>
            <w:r>
              <w:rPr>
                <w:rFonts w:ascii="Calibri" w:hAnsi="Calibri" w:cs="Calibri"/>
                <w:color w:val="000000"/>
                <w:sz w:val="16"/>
                <w:szCs w:val="16"/>
              </w:rPr>
              <w:t> </w:t>
            </w:r>
          </w:p>
        </w:tc>
        <w:tc>
          <w:tcPr>
            <w:tcW w:w="351" w:type="pct"/>
            <w:tcBorders>
              <w:top w:val="nil"/>
              <w:left w:val="nil"/>
              <w:bottom w:val="single" w:sz="8" w:space="0" w:color="auto"/>
              <w:right w:val="nil"/>
            </w:tcBorders>
            <w:shd w:val="clear" w:color="auto" w:fill="auto"/>
            <w:noWrap/>
            <w:vAlign w:val="center"/>
            <w:hideMark/>
          </w:tcPr>
          <w:p w14:paraId="5028F84A" w14:textId="77777777" w:rsidR="00491BC0" w:rsidRDefault="00491BC0" w:rsidP="00937ED9">
            <w:pPr>
              <w:spacing w:after="120"/>
              <w:jc w:val="right"/>
              <w:rPr>
                <w:rFonts w:ascii="Calibri" w:hAnsi="Calibri" w:cs="Calibri"/>
                <w:b/>
                <w:bCs/>
                <w:color w:val="000000"/>
                <w:sz w:val="16"/>
                <w:szCs w:val="16"/>
              </w:rPr>
            </w:pPr>
            <w:r>
              <w:rPr>
                <w:rFonts w:ascii="Calibri" w:hAnsi="Calibri" w:cs="Calibri"/>
                <w:b/>
                <w:bCs/>
                <w:color w:val="000000"/>
                <w:sz w:val="16"/>
                <w:szCs w:val="16"/>
              </w:rPr>
              <w:t> </w:t>
            </w:r>
          </w:p>
        </w:tc>
        <w:tc>
          <w:tcPr>
            <w:tcW w:w="500" w:type="pct"/>
            <w:tcBorders>
              <w:top w:val="nil"/>
              <w:left w:val="nil"/>
              <w:bottom w:val="single" w:sz="8" w:space="0" w:color="auto"/>
              <w:right w:val="nil"/>
            </w:tcBorders>
            <w:shd w:val="clear" w:color="auto" w:fill="auto"/>
            <w:vAlign w:val="center"/>
            <w:hideMark/>
          </w:tcPr>
          <w:p w14:paraId="4ECA1010" w14:textId="77777777" w:rsidR="00491BC0" w:rsidRDefault="00491BC0" w:rsidP="00937ED9">
            <w:pPr>
              <w:spacing w:after="120"/>
              <w:jc w:val="right"/>
              <w:rPr>
                <w:rFonts w:ascii="Calibri" w:hAnsi="Calibri" w:cs="Calibri"/>
                <w:b/>
                <w:bCs/>
                <w:color w:val="000000"/>
                <w:sz w:val="16"/>
                <w:szCs w:val="16"/>
              </w:rPr>
            </w:pPr>
            <w:r>
              <w:rPr>
                <w:rFonts w:ascii="Calibri" w:hAnsi="Calibri" w:cs="Calibri"/>
                <w:b/>
                <w:bCs/>
                <w:color w:val="000000"/>
                <w:sz w:val="16"/>
                <w:szCs w:val="16"/>
              </w:rPr>
              <w:t> </w:t>
            </w:r>
          </w:p>
        </w:tc>
        <w:tc>
          <w:tcPr>
            <w:tcW w:w="620" w:type="pct"/>
            <w:tcBorders>
              <w:top w:val="nil"/>
              <w:left w:val="nil"/>
              <w:bottom w:val="single" w:sz="8" w:space="0" w:color="auto"/>
              <w:right w:val="nil"/>
            </w:tcBorders>
            <w:shd w:val="clear" w:color="auto" w:fill="auto"/>
            <w:noWrap/>
            <w:vAlign w:val="center"/>
            <w:hideMark/>
          </w:tcPr>
          <w:p w14:paraId="38D72635" w14:textId="6032CF13" w:rsidR="00491BC0" w:rsidRDefault="00CB52CB" w:rsidP="00937ED9">
            <w:pPr>
              <w:spacing w:after="120"/>
              <w:jc w:val="right"/>
              <w:rPr>
                <w:rFonts w:ascii="Calibri" w:hAnsi="Calibri" w:cs="Calibri"/>
                <w:b/>
                <w:bCs/>
                <w:color w:val="000000"/>
                <w:sz w:val="16"/>
                <w:szCs w:val="16"/>
              </w:rPr>
            </w:pPr>
            <w:r>
              <w:rPr>
                <w:rFonts w:ascii="Calibri" w:hAnsi="Calibri" w:cs="Calibri"/>
                <w:b/>
                <w:bCs/>
                <w:color w:val="000000"/>
                <w:sz w:val="16"/>
                <w:szCs w:val="16"/>
              </w:rPr>
              <w:t>2.872.702</w:t>
            </w:r>
          </w:p>
        </w:tc>
        <w:tc>
          <w:tcPr>
            <w:tcW w:w="576" w:type="pct"/>
            <w:tcBorders>
              <w:top w:val="nil"/>
              <w:left w:val="nil"/>
              <w:bottom w:val="single" w:sz="8" w:space="0" w:color="auto"/>
              <w:right w:val="nil"/>
            </w:tcBorders>
            <w:shd w:val="clear" w:color="auto" w:fill="auto"/>
            <w:noWrap/>
            <w:vAlign w:val="center"/>
            <w:hideMark/>
          </w:tcPr>
          <w:p w14:paraId="30E1846A" w14:textId="167504D0" w:rsidR="00491BC0" w:rsidRDefault="003544D3" w:rsidP="00937ED9">
            <w:pPr>
              <w:spacing w:after="120"/>
              <w:jc w:val="right"/>
              <w:rPr>
                <w:rFonts w:ascii="Calibri" w:hAnsi="Calibri" w:cs="Calibri"/>
                <w:b/>
                <w:bCs/>
                <w:color w:val="000000"/>
                <w:sz w:val="16"/>
                <w:szCs w:val="16"/>
              </w:rPr>
            </w:pPr>
            <w:r>
              <w:rPr>
                <w:rFonts w:ascii="Calibri" w:hAnsi="Calibri" w:cs="Calibri"/>
                <w:b/>
                <w:bCs/>
                <w:color w:val="000000"/>
                <w:sz w:val="16"/>
                <w:szCs w:val="16"/>
              </w:rPr>
              <w:t>2.144.892</w:t>
            </w:r>
          </w:p>
        </w:tc>
      </w:tr>
    </w:tbl>
    <w:p w14:paraId="2B2EA8AF" w14:textId="5AC9376A" w:rsidR="00596575" w:rsidRDefault="00580D61" w:rsidP="00937ED9">
      <w:pPr>
        <w:numPr>
          <w:ilvl w:val="0"/>
          <w:numId w:val="11"/>
        </w:numPr>
        <w:spacing w:before="240" w:after="120"/>
        <w:ind w:left="284" w:hanging="284"/>
        <w:rPr>
          <w:rFonts w:ascii="Calibri" w:hAnsi="Calibri" w:cs="Calibri"/>
          <w:b/>
          <w:sz w:val="22"/>
          <w:szCs w:val="22"/>
        </w:rPr>
      </w:pPr>
      <w:r w:rsidRPr="002E2B5B">
        <w:rPr>
          <w:rFonts w:ascii="Calibri" w:hAnsi="Calibri" w:cs="Calibri"/>
          <w:b/>
          <w:sz w:val="22"/>
          <w:szCs w:val="22"/>
        </w:rPr>
        <w:t>Realizável a Longo Prazo</w:t>
      </w:r>
    </w:p>
    <w:tbl>
      <w:tblPr>
        <w:tblW w:w="5000" w:type="pct"/>
        <w:tblCellMar>
          <w:left w:w="70" w:type="dxa"/>
          <w:right w:w="70" w:type="dxa"/>
        </w:tblCellMar>
        <w:tblLook w:val="04A0" w:firstRow="1" w:lastRow="0" w:firstColumn="1" w:lastColumn="0" w:noHBand="0" w:noVBand="1"/>
      </w:tblPr>
      <w:tblGrid>
        <w:gridCol w:w="5578"/>
        <w:gridCol w:w="293"/>
        <w:gridCol w:w="1047"/>
        <w:gridCol w:w="1047"/>
        <w:gridCol w:w="1298"/>
        <w:gridCol w:w="1204"/>
      </w:tblGrid>
      <w:tr w:rsidR="00491BC0" w14:paraId="7F783AD3" w14:textId="77777777" w:rsidTr="00910934">
        <w:trPr>
          <w:trHeight w:hRule="exact" w:val="227"/>
        </w:trPr>
        <w:tc>
          <w:tcPr>
            <w:tcW w:w="2805" w:type="pct"/>
            <w:gridSpan w:val="2"/>
            <w:tcBorders>
              <w:top w:val="nil"/>
              <w:left w:val="nil"/>
              <w:bottom w:val="single" w:sz="8" w:space="0" w:color="auto"/>
              <w:right w:val="nil"/>
            </w:tcBorders>
            <w:shd w:val="clear" w:color="auto" w:fill="auto"/>
            <w:noWrap/>
            <w:vAlign w:val="center"/>
            <w:hideMark/>
          </w:tcPr>
          <w:p w14:paraId="0A7434B2" w14:textId="77777777" w:rsidR="00491BC0" w:rsidRDefault="00491BC0" w:rsidP="00937ED9">
            <w:pPr>
              <w:spacing w:after="120"/>
              <w:rPr>
                <w:rFonts w:ascii="Calibri" w:hAnsi="Calibri" w:cs="Calibri"/>
                <w:b/>
                <w:bCs/>
                <w:color w:val="000000"/>
                <w:sz w:val="16"/>
                <w:szCs w:val="16"/>
              </w:rPr>
            </w:pPr>
            <w:r>
              <w:rPr>
                <w:rFonts w:ascii="Calibri" w:hAnsi="Calibri" w:cs="Calibri"/>
                <w:b/>
                <w:bCs/>
                <w:color w:val="000000"/>
                <w:sz w:val="16"/>
                <w:szCs w:val="16"/>
              </w:rPr>
              <w:t>PERMISSÃO DE USO DE PÁTIOS A RECEBER – NÃO CIRCULANTE</w:t>
            </w:r>
          </w:p>
        </w:tc>
        <w:tc>
          <w:tcPr>
            <w:tcW w:w="1000" w:type="pct"/>
            <w:gridSpan w:val="2"/>
            <w:tcBorders>
              <w:top w:val="nil"/>
              <w:left w:val="nil"/>
              <w:bottom w:val="single" w:sz="8" w:space="0" w:color="auto"/>
              <w:right w:val="nil"/>
            </w:tcBorders>
            <w:shd w:val="clear" w:color="auto" w:fill="auto"/>
            <w:noWrap/>
            <w:vAlign w:val="center"/>
            <w:hideMark/>
          </w:tcPr>
          <w:p w14:paraId="2716421E" w14:textId="77777777" w:rsidR="00491BC0" w:rsidRDefault="00491BC0" w:rsidP="00937ED9">
            <w:pPr>
              <w:spacing w:after="120"/>
              <w:jc w:val="right"/>
              <w:rPr>
                <w:rFonts w:ascii="Calibri" w:hAnsi="Calibri" w:cs="Calibri"/>
                <w:b/>
                <w:bCs/>
                <w:color w:val="000000"/>
                <w:sz w:val="16"/>
                <w:szCs w:val="16"/>
              </w:rPr>
            </w:pPr>
            <w:r>
              <w:rPr>
                <w:rFonts w:ascii="Calibri" w:hAnsi="Calibri" w:cs="Calibri"/>
                <w:b/>
                <w:bCs/>
                <w:color w:val="000000"/>
                <w:sz w:val="16"/>
                <w:szCs w:val="16"/>
              </w:rPr>
              <w:t> </w:t>
            </w:r>
          </w:p>
        </w:tc>
        <w:tc>
          <w:tcPr>
            <w:tcW w:w="620" w:type="pct"/>
            <w:tcBorders>
              <w:top w:val="nil"/>
              <w:left w:val="nil"/>
              <w:bottom w:val="single" w:sz="8" w:space="0" w:color="auto"/>
              <w:right w:val="nil"/>
            </w:tcBorders>
            <w:shd w:val="clear" w:color="auto" w:fill="auto"/>
            <w:noWrap/>
            <w:vAlign w:val="center"/>
            <w:hideMark/>
          </w:tcPr>
          <w:p w14:paraId="1BF34E3F" w14:textId="1CF5107E" w:rsidR="00491BC0" w:rsidRDefault="00491BC0" w:rsidP="00937ED9">
            <w:pPr>
              <w:spacing w:after="120"/>
              <w:jc w:val="right"/>
              <w:rPr>
                <w:rFonts w:ascii="Calibri" w:hAnsi="Calibri" w:cs="Calibri"/>
                <w:b/>
                <w:bCs/>
                <w:color w:val="000000"/>
                <w:sz w:val="16"/>
                <w:szCs w:val="16"/>
              </w:rPr>
            </w:pPr>
            <w:r>
              <w:rPr>
                <w:rFonts w:ascii="Calibri" w:hAnsi="Calibri" w:cs="Calibri"/>
                <w:b/>
                <w:bCs/>
                <w:color w:val="000000"/>
                <w:sz w:val="16"/>
                <w:szCs w:val="16"/>
              </w:rPr>
              <w:t>3</w:t>
            </w:r>
            <w:r w:rsidR="00196BF6">
              <w:rPr>
                <w:rFonts w:ascii="Calibri" w:hAnsi="Calibri" w:cs="Calibri"/>
                <w:b/>
                <w:bCs/>
                <w:color w:val="000000"/>
                <w:sz w:val="16"/>
                <w:szCs w:val="16"/>
              </w:rPr>
              <w:t>0</w:t>
            </w:r>
            <w:r>
              <w:rPr>
                <w:rFonts w:ascii="Calibri" w:hAnsi="Calibri" w:cs="Calibri"/>
                <w:b/>
                <w:bCs/>
                <w:color w:val="000000"/>
                <w:sz w:val="16"/>
                <w:szCs w:val="16"/>
              </w:rPr>
              <w:t>/</w:t>
            </w:r>
            <w:r w:rsidR="009F2530">
              <w:rPr>
                <w:rFonts w:ascii="Calibri" w:hAnsi="Calibri" w:cs="Calibri"/>
                <w:b/>
                <w:bCs/>
                <w:color w:val="000000"/>
                <w:sz w:val="16"/>
                <w:szCs w:val="16"/>
              </w:rPr>
              <w:t>0</w:t>
            </w:r>
            <w:r w:rsidR="00196BF6">
              <w:rPr>
                <w:rFonts w:ascii="Calibri" w:hAnsi="Calibri" w:cs="Calibri"/>
                <w:b/>
                <w:bCs/>
                <w:color w:val="000000"/>
                <w:sz w:val="16"/>
                <w:szCs w:val="16"/>
              </w:rPr>
              <w:t>6</w:t>
            </w:r>
            <w:r>
              <w:rPr>
                <w:rFonts w:ascii="Calibri" w:hAnsi="Calibri" w:cs="Calibri"/>
                <w:b/>
                <w:bCs/>
                <w:color w:val="000000"/>
                <w:sz w:val="16"/>
                <w:szCs w:val="16"/>
              </w:rPr>
              <w:t>/202</w:t>
            </w:r>
            <w:r w:rsidR="009F2530">
              <w:rPr>
                <w:rFonts w:ascii="Calibri" w:hAnsi="Calibri" w:cs="Calibri"/>
                <w:b/>
                <w:bCs/>
                <w:color w:val="000000"/>
                <w:sz w:val="16"/>
                <w:szCs w:val="16"/>
              </w:rPr>
              <w:t>2</w:t>
            </w:r>
          </w:p>
        </w:tc>
        <w:tc>
          <w:tcPr>
            <w:tcW w:w="575" w:type="pct"/>
            <w:tcBorders>
              <w:top w:val="nil"/>
              <w:left w:val="nil"/>
              <w:bottom w:val="single" w:sz="8" w:space="0" w:color="auto"/>
              <w:right w:val="nil"/>
            </w:tcBorders>
            <w:shd w:val="clear" w:color="auto" w:fill="auto"/>
            <w:noWrap/>
            <w:vAlign w:val="center"/>
            <w:hideMark/>
          </w:tcPr>
          <w:p w14:paraId="600D7617" w14:textId="7036D7F5" w:rsidR="00491BC0" w:rsidRDefault="00491BC0" w:rsidP="00937ED9">
            <w:pPr>
              <w:spacing w:after="120"/>
              <w:jc w:val="right"/>
              <w:rPr>
                <w:rFonts w:ascii="Calibri" w:hAnsi="Calibri" w:cs="Calibri"/>
                <w:b/>
                <w:bCs/>
                <w:color w:val="000000"/>
                <w:sz w:val="16"/>
                <w:szCs w:val="16"/>
              </w:rPr>
            </w:pPr>
            <w:r>
              <w:rPr>
                <w:rFonts w:ascii="Calibri" w:hAnsi="Calibri" w:cs="Calibri"/>
                <w:b/>
                <w:bCs/>
                <w:color w:val="000000"/>
                <w:sz w:val="16"/>
                <w:szCs w:val="16"/>
              </w:rPr>
              <w:t>31/12/202</w:t>
            </w:r>
            <w:r w:rsidR="009F2530">
              <w:rPr>
                <w:rFonts w:ascii="Calibri" w:hAnsi="Calibri" w:cs="Calibri"/>
                <w:b/>
                <w:bCs/>
                <w:color w:val="000000"/>
                <w:sz w:val="16"/>
                <w:szCs w:val="16"/>
              </w:rPr>
              <w:t>1</w:t>
            </w:r>
          </w:p>
        </w:tc>
      </w:tr>
      <w:tr w:rsidR="00491BC0" w14:paraId="4741C286" w14:textId="77777777" w:rsidTr="00910934">
        <w:trPr>
          <w:trHeight w:hRule="exact" w:val="227"/>
        </w:trPr>
        <w:tc>
          <w:tcPr>
            <w:tcW w:w="2805" w:type="pct"/>
            <w:gridSpan w:val="2"/>
            <w:tcBorders>
              <w:top w:val="single" w:sz="8" w:space="0" w:color="auto"/>
              <w:left w:val="nil"/>
              <w:bottom w:val="nil"/>
              <w:right w:val="nil"/>
            </w:tcBorders>
            <w:shd w:val="clear" w:color="auto" w:fill="auto"/>
            <w:noWrap/>
            <w:vAlign w:val="center"/>
            <w:hideMark/>
          </w:tcPr>
          <w:p w14:paraId="4275B520" w14:textId="77777777" w:rsidR="00491BC0" w:rsidRDefault="00491BC0" w:rsidP="00937ED9">
            <w:pPr>
              <w:spacing w:after="120"/>
              <w:rPr>
                <w:rFonts w:ascii="Calibri" w:hAnsi="Calibri" w:cs="Calibri"/>
                <w:color w:val="000000"/>
                <w:sz w:val="16"/>
                <w:szCs w:val="16"/>
              </w:rPr>
            </w:pPr>
            <w:r>
              <w:rPr>
                <w:rFonts w:ascii="Calibri" w:hAnsi="Calibri" w:cs="Calibri"/>
                <w:color w:val="000000"/>
                <w:sz w:val="16"/>
                <w:szCs w:val="16"/>
              </w:rPr>
              <w:t>Saldo do exercício anterior</w:t>
            </w:r>
          </w:p>
        </w:tc>
        <w:tc>
          <w:tcPr>
            <w:tcW w:w="1000" w:type="pct"/>
            <w:gridSpan w:val="2"/>
            <w:tcBorders>
              <w:top w:val="single" w:sz="8" w:space="0" w:color="auto"/>
              <w:left w:val="nil"/>
              <w:bottom w:val="nil"/>
              <w:right w:val="nil"/>
            </w:tcBorders>
            <w:shd w:val="clear" w:color="auto" w:fill="auto"/>
            <w:noWrap/>
            <w:vAlign w:val="center"/>
            <w:hideMark/>
          </w:tcPr>
          <w:p w14:paraId="38B26BDC" w14:textId="77777777" w:rsidR="00491BC0" w:rsidRDefault="00491BC0" w:rsidP="00937ED9">
            <w:pPr>
              <w:spacing w:after="120"/>
              <w:jc w:val="right"/>
              <w:rPr>
                <w:rFonts w:ascii="Calibri" w:hAnsi="Calibri" w:cs="Calibri"/>
                <w:color w:val="000000"/>
                <w:sz w:val="16"/>
                <w:szCs w:val="16"/>
              </w:rPr>
            </w:pPr>
            <w:r>
              <w:rPr>
                <w:rFonts w:ascii="Calibri" w:hAnsi="Calibri" w:cs="Calibri"/>
                <w:color w:val="000000"/>
                <w:sz w:val="16"/>
                <w:szCs w:val="16"/>
              </w:rPr>
              <w:t> </w:t>
            </w:r>
          </w:p>
        </w:tc>
        <w:tc>
          <w:tcPr>
            <w:tcW w:w="620" w:type="pct"/>
            <w:tcBorders>
              <w:top w:val="nil"/>
              <w:left w:val="nil"/>
              <w:bottom w:val="nil"/>
              <w:right w:val="nil"/>
            </w:tcBorders>
            <w:shd w:val="clear" w:color="auto" w:fill="auto"/>
            <w:noWrap/>
            <w:vAlign w:val="center"/>
            <w:hideMark/>
          </w:tcPr>
          <w:p w14:paraId="2FE0AB98" w14:textId="771D1434" w:rsidR="00491BC0" w:rsidRDefault="009F2530" w:rsidP="00937ED9">
            <w:pPr>
              <w:spacing w:after="120"/>
              <w:jc w:val="right"/>
              <w:rPr>
                <w:rFonts w:ascii="Calibri" w:hAnsi="Calibri" w:cs="Calibri"/>
                <w:color w:val="000000"/>
                <w:sz w:val="16"/>
                <w:szCs w:val="16"/>
              </w:rPr>
            </w:pPr>
            <w:r w:rsidRPr="009F2530">
              <w:rPr>
                <w:rFonts w:ascii="Calibri" w:hAnsi="Calibri" w:cs="Calibri"/>
                <w:color w:val="000000"/>
                <w:sz w:val="16"/>
                <w:szCs w:val="16"/>
              </w:rPr>
              <w:t>41.112.262</w:t>
            </w:r>
          </w:p>
        </w:tc>
        <w:tc>
          <w:tcPr>
            <w:tcW w:w="575" w:type="pct"/>
            <w:tcBorders>
              <w:top w:val="nil"/>
              <w:left w:val="nil"/>
              <w:bottom w:val="nil"/>
              <w:right w:val="nil"/>
            </w:tcBorders>
            <w:shd w:val="clear" w:color="auto" w:fill="auto"/>
            <w:noWrap/>
            <w:vAlign w:val="center"/>
            <w:hideMark/>
          </w:tcPr>
          <w:p w14:paraId="5923A36F" w14:textId="71A7E576" w:rsidR="00491BC0" w:rsidRDefault="009F2530" w:rsidP="00937ED9">
            <w:pPr>
              <w:spacing w:after="120"/>
              <w:jc w:val="right"/>
              <w:rPr>
                <w:rFonts w:ascii="Calibri" w:hAnsi="Calibri" w:cs="Calibri"/>
                <w:color w:val="000000"/>
                <w:sz w:val="16"/>
                <w:szCs w:val="16"/>
              </w:rPr>
            </w:pPr>
            <w:r>
              <w:rPr>
                <w:rFonts w:ascii="Calibri" w:hAnsi="Calibri" w:cs="Calibri"/>
                <w:color w:val="000000"/>
                <w:sz w:val="16"/>
                <w:szCs w:val="16"/>
              </w:rPr>
              <w:t>25.488.517</w:t>
            </w:r>
          </w:p>
        </w:tc>
      </w:tr>
      <w:tr w:rsidR="00491BC0" w14:paraId="1F3F8717" w14:textId="77777777" w:rsidTr="00910934">
        <w:trPr>
          <w:trHeight w:hRule="exact" w:val="227"/>
        </w:trPr>
        <w:tc>
          <w:tcPr>
            <w:tcW w:w="2805" w:type="pct"/>
            <w:gridSpan w:val="2"/>
            <w:tcBorders>
              <w:top w:val="nil"/>
              <w:left w:val="nil"/>
              <w:bottom w:val="nil"/>
              <w:right w:val="nil"/>
            </w:tcBorders>
            <w:shd w:val="clear" w:color="auto" w:fill="auto"/>
            <w:noWrap/>
            <w:vAlign w:val="center"/>
            <w:hideMark/>
          </w:tcPr>
          <w:p w14:paraId="40D0696B" w14:textId="77777777" w:rsidR="00491BC0" w:rsidRDefault="00491BC0" w:rsidP="00937ED9">
            <w:pPr>
              <w:spacing w:after="120"/>
              <w:rPr>
                <w:rFonts w:ascii="Calibri" w:hAnsi="Calibri" w:cs="Calibri"/>
                <w:color w:val="000000"/>
                <w:sz w:val="16"/>
                <w:szCs w:val="16"/>
              </w:rPr>
            </w:pPr>
            <w:r>
              <w:rPr>
                <w:rFonts w:ascii="Calibri" w:hAnsi="Calibri" w:cs="Calibri"/>
                <w:color w:val="000000"/>
                <w:sz w:val="16"/>
                <w:szCs w:val="16"/>
              </w:rPr>
              <w:t xml:space="preserve">Recebimentos </w:t>
            </w:r>
          </w:p>
        </w:tc>
        <w:tc>
          <w:tcPr>
            <w:tcW w:w="500" w:type="pct"/>
            <w:tcBorders>
              <w:top w:val="nil"/>
              <w:left w:val="nil"/>
              <w:bottom w:val="nil"/>
              <w:right w:val="nil"/>
            </w:tcBorders>
            <w:shd w:val="clear" w:color="auto" w:fill="auto"/>
            <w:noWrap/>
            <w:vAlign w:val="center"/>
            <w:hideMark/>
          </w:tcPr>
          <w:p w14:paraId="16690670" w14:textId="77777777" w:rsidR="00491BC0" w:rsidRDefault="00491BC0" w:rsidP="00937ED9">
            <w:pPr>
              <w:spacing w:after="120"/>
              <w:rPr>
                <w:rFonts w:ascii="Calibri" w:hAnsi="Calibri" w:cs="Calibri"/>
                <w:color w:val="000000"/>
                <w:sz w:val="16"/>
                <w:szCs w:val="16"/>
              </w:rPr>
            </w:pPr>
          </w:p>
        </w:tc>
        <w:tc>
          <w:tcPr>
            <w:tcW w:w="500" w:type="pct"/>
            <w:tcBorders>
              <w:top w:val="nil"/>
              <w:left w:val="nil"/>
              <w:bottom w:val="nil"/>
              <w:right w:val="nil"/>
            </w:tcBorders>
            <w:shd w:val="clear" w:color="auto" w:fill="auto"/>
            <w:noWrap/>
            <w:vAlign w:val="center"/>
            <w:hideMark/>
          </w:tcPr>
          <w:p w14:paraId="5628C4FD" w14:textId="77777777" w:rsidR="00491BC0" w:rsidRDefault="00491BC0" w:rsidP="00937ED9">
            <w:pPr>
              <w:spacing w:after="120"/>
              <w:rPr>
                <w:sz w:val="20"/>
                <w:szCs w:val="20"/>
              </w:rPr>
            </w:pPr>
          </w:p>
        </w:tc>
        <w:tc>
          <w:tcPr>
            <w:tcW w:w="620" w:type="pct"/>
            <w:tcBorders>
              <w:top w:val="nil"/>
              <w:left w:val="nil"/>
              <w:bottom w:val="nil"/>
              <w:right w:val="nil"/>
            </w:tcBorders>
            <w:shd w:val="clear" w:color="auto" w:fill="auto"/>
            <w:noWrap/>
            <w:vAlign w:val="center"/>
            <w:hideMark/>
          </w:tcPr>
          <w:p w14:paraId="7519F0A1" w14:textId="75FFABC8" w:rsidR="00491BC0" w:rsidRDefault="00491BC0" w:rsidP="00937ED9">
            <w:pPr>
              <w:spacing w:after="120"/>
              <w:jc w:val="right"/>
              <w:rPr>
                <w:rFonts w:ascii="Calibri" w:hAnsi="Calibri" w:cs="Calibri"/>
                <w:color w:val="000000"/>
                <w:sz w:val="16"/>
                <w:szCs w:val="16"/>
              </w:rPr>
            </w:pPr>
            <w:r>
              <w:rPr>
                <w:rFonts w:ascii="Calibri" w:hAnsi="Calibri" w:cs="Calibri"/>
                <w:color w:val="000000"/>
                <w:sz w:val="16"/>
                <w:szCs w:val="16"/>
              </w:rPr>
              <w:t>(</w:t>
            </w:r>
            <w:r w:rsidR="00196BF6">
              <w:rPr>
                <w:rFonts w:ascii="Calibri" w:hAnsi="Calibri" w:cs="Calibri"/>
                <w:color w:val="000000"/>
                <w:sz w:val="16"/>
                <w:szCs w:val="16"/>
              </w:rPr>
              <w:t>622.572</w:t>
            </w:r>
            <w:r>
              <w:rPr>
                <w:rFonts w:ascii="Calibri" w:hAnsi="Calibri" w:cs="Calibri"/>
                <w:color w:val="000000"/>
                <w:sz w:val="16"/>
                <w:szCs w:val="16"/>
              </w:rPr>
              <w:t xml:space="preserve">) </w:t>
            </w:r>
          </w:p>
        </w:tc>
        <w:tc>
          <w:tcPr>
            <w:tcW w:w="575" w:type="pct"/>
            <w:tcBorders>
              <w:top w:val="nil"/>
              <w:left w:val="nil"/>
              <w:bottom w:val="nil"/>
              <w:right w:val="nil"/>
            </w:tcBorders>
            <w:shd w:val="clear" w:color="auto" w:fill="auto"/>
            <w:noWrap/>
            <w:vAlign w:val="center"/>
            <w:hideMark/>
          </w:tcPr>
          <w:p w14:paraId="7F313EB4" w14:textId="21FF9290" w:rsidR="00491BC0" w:rsidRDefault="009F2530" w:rsidP="00937ED9">
            <w:pPr>
              <w:spacing w:after="120"/>
              <w:jc w:val="right"/>
              <w:rPr>
                <w:rFonts w:ascii="Calibri" w:hAnsi="Calibri" w:cs="Calibri"/>
                <w:color w:val="000000"/>
                <w:sz w:val="16"/>
                <w:szCs w:val="16"/>
              </w:rPr>
            </w:pPr>
            <w:r>
              <w:rPr>
                <w:rFonts w:ascii="Calibri" w:hAnsi="Calibri" w:cs="Calibri"/>
                <w:color w:val="000000"/>
                <w:sz w:val="16"/>
                <w:szCs w:val="16"/>
              </w:rPr>
              <w:t>(395.501)</w:t>
            </w:r>
          </w:p>
        </w:tc>
      </w:tr>
      <w:tr w:rsidR="00491BC0" w14:paraId="0571BA56" w14:textId="77777777" w:rsidTr="00910934">
        <w:trPr>
          <w:trHeight w:hRule="exact" w:val="227"/>
        </w:trPr>
        <w:tc>
          <w:tcPr>
            <w:tcW w:w="2805" w:type="pct"/>
            <w:gridSpan w:val="2"/>
            <w:tcBorders>
              <w:top w:val="nil"/>
              <w:left w:val="nil"/>
              <w:bottom w:val="nil"/>
              <w:right w:val="nil"/>
            </w:tcBorders>
            <w:shd w:val="clear" w:color="auto" w:fill="auto"/>
            <w:noWrap/>
            <w:vAlign w:val="center"/>
            <w:hideMark/>
          </w:tcPr>
          <w:p w14:paraId="632E2F08" w14:textId="4A7C3FD2" w:rsidR="00491BC0" w:rsidRDefault="00491BC0" w:rsidP="00937ED9">
            <w:pPr>
              <w:spacing w:after="120"/>
              <w:rPr>
                <w:rFonts w:ascii="Calibri" w:hAnsi="Calibri" w:cs="Calibri"/>
                <w:color w:val="000000"/>
                <w:sz w:val="16"/>
                <w:szCs w:val="16"/>
              </w:rPr>
            </w:pPr>
            <w:r>
              <w:rPr>
                <w:rFonts w:ascii="Calibri" w:hAnsi="Calibri" w:cs="Calibri"/>
                <w:color w:val="000000"/>
                <w:sz w:val="16"/>
                <w:szCs w:val="16"/>
              </w:rPr>
              <w:t>Transf</w:t>
            </w:r>
            <w:r w:rsidR="00196BF6">
              <w:rPr>
                <w:rFonts w:ascii="Calibri" w:hAnsi="Calibri" w:cs="Calibri"/>
                <w:color w:val="000000"/>
                <w:sz w:val="16"/>
                <w:szCs w:val="16"/>
              </w:rPr>
              <w:t>erência</w:t>
            </w:r>
            <w:r>
              <w:rPr>
                <w:rFonts w:ascii="Calibri" w:hAnsi="Calibri" w:cs="Calibri"/>
                <w:color w:val="000000"/>
                <w:sz w:val="16"/>
                <w:szCs w:val="16"/>
              </w:rPr>
              <w:t xml:space="preserve"> do não circulante para circulante</w:t>
            </w:r>
          </w:p>
        </w:tc>
        <w:tc>
          <w:tcPr>
            <w:tcW w:w="500" w:type="pct"/>
            <w:tcBorders>
              <w:top w:val="nil"/>
              <w:left w:val="nil"/>
              <w:bottom w:val="nil"/>
              <w:right w:val="nil"/>
            </w:tcBorders>
            <w:shd w:val="clear" w:color="auto" w:fill="auto"/>
            <w:noWrap/>
            <w:vAlign w:val="center"/>
            <w:hideMark/>
          </w:tcPr>
          <w:p w14:paraId="7DCF3027" w14:textId="77777777" w:rsidR="00491BC0" w:rsidRDefault="00491BC0" w:rsidP="00937ED9">
            <w:pPr>
              <w:spacing w:after="120"/>
              <w:rPr>
                <w:rFonts w:ascii="Calibri" w:hAnsi="Calibri" w:cs="Calibri"/>
                <w:color w:val="000000"/>
                <w:sz w:val="16"/>
                <w:szCs w:val="16"/>
              </w:rPr>
            </w:pPr>
          </w:p>
        </w:tc>
        <w:tc>
          <w:tcPr>
            <w:tcW w:w="500" w:type="pct"/>
            <w:tcBorders>
              <w:top w:val="nil"/>
              <w:left w:val="nil"/>
              <w:bottom w:val="nil"/>
              <w:right w:val="nil"/>
            </w:tcBorders>
            <w:shd w:val="clear" w:color="auto" w:fill="auto"/>
            <w:noWrap/>
            <w:vAlign w:val="center"/>
            <w:hideMark/>
          </w:tcPr>
          <w:p w14:paraId="107737BD" w14:textId="77777777" w:rsidR="00491BC0" w:rsidRDefault="00491BC0" w:rsidP="00937ED9">
            <w:pPr>
              <w:spacing w:after="120"/>
              <w:rPr>
                <w:sz w:val="20"/>
                <w:szCs w:val="20"/>
              </w:rPr>
            </w:pPr>
          </w:p>
        </w:tc>
        <w:tc>
          <w:tcPr>
            <w:tcW w:w="620" w:type="pct"/>
            <w:tcBorders>
              <w:top w:val="nil"/>
              <w:left w:val="nil"/>
              <w:bottom w:val="nil"/>
              <w:right w:val="nil"/>
            </w:tcBorders>
            <w:shd w:val="clear" w:color="auto" w:fill="auto"/>
            <w:vAlign w:val="center"/>
            <w:hideMark/>
          </w:tcPr>
          <w:p w14:paraId="48A212F8" w14:textId="3CAFFA47" w:rsidR="00491BC0" w:rsidRDefault="00491BC0" w:rsidP="00937ED9">
            <w:pPr>
              <w:spacing w:after="120"/>
              <w:jc w:val="right"/>
              <w:rPr>
                <w:rFonts w:ascii="Calibri" w:hAnsi="Calibri" w:cs="Calibri"/>
                <w:color w:val="000000"/>
                <w:sz w:val="16"/>
                <w:szCs w:val="16"/>
              </w:rPr>
            </w:pPr>
            <w:r>
              <w:rPr>
                <w:rFonts w:ascii="Calibri" w:hAnsi="Calibri" w:cs="Calibri"/>
                <w:color w:val="000000"/>
                <w:sz w:val="16"/>
                <w:szCs w:val="16"/>
              </w:rPr>
              <w:t>(</w:t>
            </w:r>
            <w:r w:rsidR="00196BF6">
              <w:rPr>
                <w:rFonts w:ascii="Calibri" w:hAnsi="Calibri" w:cs="Calibri"/>
                <w:color w:val="000000"/>
                <w:sz w:val="16"/>
                <w:szCs w:val="16"/>
              </w:rPr>
              <w:t>687.441</w:t>
            </w:r>
            <w:r>
              <w:rPr>
                <w:rFonts w:ascii="Calibri" w:hAnsi="Calibri" w:cs="Calibri"/>
                <w:color w:val="000000"/>
                <w:sz w:val="16"/>
                <w:szCs w:val="16"/>
              </w:rPr>
              <w:t>)</w:t>
            </w:r>
          </w:p>
        </w:tc>
        <w:tc>
          <w:tcPr>
            <w:tcW w:w="575" w:type="pct"/>
            <w:tcBorders>
              <w:top w:val="nil"/>
              <w:left w:val="nil"/>
              <w:bottom w:val="nil"/>
              <w:right w:val="nil"/>
            </w:tcBorders>
            <w:shd w:val="clear" w:color="auto" w:fill="auto"/>
            <w:noWrap/>
            <w:vAlign w:val="center"/>
            <w:hideMark/>
          </w:tcPr>
          <w:p w14:paraId="0CBE8E9C" w14:textId="615B9AE1" w:rsidR="00491BC0" w:rsidRDefault="009F2530" w:rsidP="00937ED9">
            <w:pPr>
              <w:spacing w:after="120"/>
              <w:jc w:val="right"/>
              <w:rPr>
                <w:rFonts w:ascii="Calibri" w:hAnsi="Calibri" w:cs="Calibri"/>
                <w:color w:val="000000"/>
                <w:sz w:val="16"/>
                <w:szCs w:val="16"/>
              </w:rPr>
            </w:pPr>
            <w:r>
              <w:rPr>
                <w:rFonts w:ascii="Calibri" w:hAnsi="Calibri" w:cs="Calibri"/>
                <w:color w:val="000000"/>
                <w:sz w:val="16"/>
                <w:szCs w:val="16"/>
              </w:rPr>
              <w:t>(1.242.315)</w:t>
            </w:r>
          </w:p>
        </w:tc>
      </w:tr>
      <w:tr w:rsidR="00491BC0" w14:paraId="30ED3FDE" w14:textId="77777777" w:rsidTr="00910934">
        <w:trPr>
          <w:trHeight w:hRule="exact" w:val="227"/>
        </w:trPr>
        <w:tc>
          <w:tcPr>
            <w:tcW w:w="2805" w:type="pct"/>
            <w:gridSpan w:val="2"/>
            <w:tcBorders>
              <w:top w:val="nil"/>
              <w:left w:val="nil"/>
              <w:bottom w:val="nil"/>
              <w:right w:val="nil"/>
            </w:tcBorders>
            <w:shd w:val="clear" w:color="auto" w:fill="auto"/>
            <w:noWrap/>
            <w:vAlign w:val="center"/>
            <w:hideMark/>
          </w:tcPr>
          <w:p w14:paraId="7706298A" w14:textId="77777777" w:rsidR="00491BC0" w:rsidRDefault="00491BC0" w:rsidP="00937ED9">
            <w:pPr>
              <w:spacing w:after="120"/>
              <w:rPr>
                <w:rFonts w:ascii="Calibri" w:hAnsi="Calibri" w:cs="Calibri"/>
                <w:color w:val="000000"/>
                <w:sz w:val="16"/>
                <w:szCs w:val="16"/>
              </w:rPr>
            </w:pPr>
            <w:r>
              <w:rPr>
                <w:rFonts w:ascii="Calibri" w:hAnsi="Calibri" w:cs="Calibri"/>
                <w:color w:val="000000"/>
                <w:sz w:val="16"/>
                <w:szCs w:val="16"/>
              </w:rPr>
              <w:t>Atualização monetária do período</w:t>
            </w:r>
          </w:p>
        </w:tc>
        <w:tc>
          <w:tcPr>
            <w:tcW w:w="1000" w:type="pct"/>
            <w:gridSpan w:val="2"/>
            <w:tcBorders>
              <w:top w:val="nil"/>
              <w:left w:val="nil"/>
              <w:bottom w:val="nil"/>
              <w:right w:val="nil"/>
            </w:tcBorders>
            <w:shd w:val="clear" w:color="auto" w:fill="auto"/>
            <w:noWrap/>
            <w:vAlign w:val="center"/>
            <w:hideMark/>
          </w:tcPr>
          <w:p w14:paraId="42748B18" w14:textId="77777777" w:rsidR="00491BC0" w:rsidRDefault="00491BC0" w:rsidP="00937ED9">
            <w:pPr>
              <w:spacing w:after="120"/>
              <w:rPr>
                <w:rFonts w:ascii="Calibri" w:hAnsi="Calibri" w:cs="Calibri"/>
                <w:color w:val="000000"/>
                <w:sz w:val="16"/>
                <w:szCs w:val="16"/>
              </w:rPr>
            </w:pPr>
          </w:p>
        </w:tc>
        <w:tc>
          <w:tcPr>
            <w:tcW w:w="620" w:type="pct"/>
            <w:tcBorders>
              <w:top w:val="nil"/>
              <w:left w:val="nil"/>
              <w:bottom w:val="nil"/>
              <w:right w:val="nil"/>
            </w:tcBorders>
            <w:shd w:val="clear" w:color="auto" w:fill="auto"/>
            <w:noWrap/>
            <w:vAlign w:val="center"/>
            <w:hideMark/>
          </w:tcPr>
          <w:p w14:paraId="0C08EA38" w14:textId="2A02FC8D" w:rsidR="00491BC0" w:rsidRDefault="00196BF6" w:rsidP="00937ED9">
            <w:pPr>
              <w:spacing w:after="120"/>
              <w:jc w:val="right"/>
              <w:rPr>
                <w:rFonts w:ascii="Calibri" w:hAnsi="Calibri" w:cs="Calibri"/>
                <w:color w:val="000000"/>
                <w:sz w:val="16"/>
                <w:szCs w:val="16"/>
              </w:rPr>
            </w:pPr>
            <w:r>
              <w:rPr>
                <w:rFonts w:ascii="Calibri" w:hAnsi="Calibri" w:cs="Calibri"/>
                <w:color w:val="000000"/>
                <w:sz w:val="16"/>
                <w:szCs w:val="16"/>
              </w:rPr>
              <w:t>3.481.67</w:t>
            </w:r>
            <w:r w:rsidR="00CB3B87">
              <w:rPr>
                <w:rFonts w:ascii="Calibri" w:hAnsi="Calibri" w:cs="Calibri"/>
                <w:color w:val="000000"/>
                <w:sz w:val="16"/>
                <w:szCs w:val="16"/>
              </w:rPr>
              <w:t>7</w:t>
            </w:r>
          </w:p>
        </w:tc>
        <w:tc>
          <w:tcPr>
            <w:tcW w:w="575" w:type="pct"/>
            <w:tcBorders>
              <w:top w:val="nil"/>
              <w:left w:val="nil"/>
              <w:bottom w:val="nil"/>
              <w:right w:val="nil"/>
            </w:tcBorders>
            <w:shd w:val="clear" w:color="auto" w:fill="auto"/>
            <w:noWrap/>
            <w:vAlign w:val="center"/>
            <w:hideMark/>
          </w:tcPr>
          <w:p w14:paraId="4D0E194B" w14:textId="3D3D93AB" w:rsidR="00491BC0" w:rsidRDefault="009F2530" w:rsidP="00937ED9">
            <w:pPr>
              <w:spacing w:after="120"/>
              <w:jc w:val="right"/>
              <w:rPr>
                <w:rFonts w:ascii="Calibri" w:hAnsi="Calibri" w:cs="Calibri"/>
                <w:color w:val="000000"/>
                <w:sz w:val="16"/>
                <w:szCs w:val="16"/>
              </w:rPr>
            </w:pPr>
            <w:r>
              <w:rPr>
                <w:rFonts w:ascii="Calibri" w:hAnsi="Calibri" w:cs="Calibri"/>
                <w:color w:val="000000"/>
                <w:sz w:val="16"/>
                <w:szCs w:val="16"/>
              </w:rPr>
              <w:t>4.754.140</w:t>
            </w:r>
          </w:p>
        </w:tc>
      </w:tr>
      <w:tr w:rsidR="00491BC0" w14:paraId="03A25F53" w14:textId="77777777" w:rsidTr="00910934">
        <w:trPr>
          <w:trHeight w:hRule="exact" w:val="227"/>
        </w:trPr>
        <w:tc>
          <w:tcPr>
            <w:tcW w:w="2805" w:type="pct"/>
            <w:gridSpan w:val="2"/>
            <w:tcBorders>
              <w:top w:val="nil"/>
              <w:left w:val="nil"/>
              <w:bottom w:val="single" w:sz="8" w:space="0" w:color="auto"/>
              <w:right w:val="nil"/>
            </w:tcBorders>
            <w:shd w:val="clear" w:color="auto" w:fill="auto"/>
            <w:noWrap/>
            <w:vAlign w:val="center"/>
            <w:hideMark/>
          </w:tcPr>
          <w:p w14:paraId="18B7F786" w14:textId="77777777" w:rsidR="00491BC0" w:rsidRDefault="00491BC0" w:rsidP="00937ED9">
            <w:pPr>
              <w:spacing w:after="120"/>
              <w:rPr>
                <w:rFonts w:ascii="Calibri" w:hAnsi="Calibri" w:cs="Calibri"/>
                <w:color w:val="000000"/>
                <w:sz w:val="16"/>
                <w:szCs w:val="16"/>
              </w:rPr>
            </w:pPr>
            <w:r>
              <w:rPr>
                <w:rFonts w:ascii="Calibri" w:hAnsi="Calibri" w:cs="Calibri"/>
                <w:color w:val="000000"/>
                <w:sz w:val="16"/>
                <w:szCs w:val="16"/>
              </w:rPr>
              <w:t>Novas permissões</w:t>
            </w:r>
          </w:p>
        </w:tc>
        <w:tc>
          <w:tcPr>
            <w:tcW w:w="500" w:type="pct"/>
            <w:tcBorders>
              <w:top w:val="nil"/>
              <w:left w:val="nil"/>
              <w:bottom w:val="single" w:sz="8" w:space="0" w:color="auto"/>
              <w:right w:val="nil"/>
            </w:tcBorders>
            <w:shd w:val="clear" w:color="auto" w:fill="auto"/>
            <w:noWrap/>
            <w:vAlign w:val="center"/>
            <w:hideMark/>
          </w:tcPr>
          <w:p w14:paraId="649F9B48" w14:textId="77777777" w:rsidR="00491BC0" w:rsidRDefault="00491BC0" w:rsidP="00937ED9">
            <w:pPr>
              <w:spacing w:after="120"/>
              <w:jc w:val="right"/>
              <w:rPr>
                <w:rFonts w:ascii="Calibri" w:hAnsi="Calibri" w:cs="Calibri"/>
                <w:color w:val="000000"/>
                <w:sz w:val="16"/>
                <w:szCs w:val="16"/>
              </w:rPr>
            </w:pPr>
            <w:r>
              <w:rPr>
                <w:rFonts w:ascii="Calibri" w:hAnsi="Calibri" w:cs="Calibri"/>
                <w:color w:val="000000"/>
                <w:sz w:val="16"/>
                <w:szCs w:val="16"/>
              </w:rPr>
              <w:t> </w:t>
            </w:r>
          </w:p>
        </w:tc>
        <w:tc>
          <w:tcPr>
            <w:tcW w:w="500" w:type="pct"/>
            <w:tcBorders>
              <w:top w:val="nil"/>
              <w:left w:val="nil"/>
              <w:bottom w:val="single" w:sz="8" w:space="0" w:color="auto"/>
              <w:right w:val="nil"/>
            </w:tcBorders>
            <w:shd w:val="clear" w:color="auto" w:fill="auto"/>
            <w:noWrap/>
            <w:vAlign w:val="center"/>
            <w:hideMark/>
          </w:tcPr>
          <w:p w14:paraId="5A14FD8F" w14:textId="77777777" w:rsidR="00491BC0" w:rsidRDefault="00491BC0" w:rsidP="00937ED9">
            <w:pPr>
              <w:spacing w:after="120"/>
              <w:jc w:val="right"/>
              <w:rPr>
                <w:rFonts w:ascii="Calibri" w:hAnsi="Calibri" w:cs="Calibri"/>
                <w:color w:val="000000"/>
                <w:sz w:val="16"/>
                <w:szCs w:val="16"/>
              </w:rPr>
            </w:pPr>
            <w:r>
              <w:rPr>
                <w:rFonts w:ascii="Calibri" w:hAnsi="Calibri" w:cs="Calibri"/>
                <w:color w:val="000000"/>
                <w:sz w:val="16"/>
                <w:szCs w:val="16"/>
              </w:rPr>
              <w:t> </w:t>
            </w:r>
          </w:p>
        </w:tc>
        <w:tc>
          <w:tcPr>
            <w:tcW w:w="620" w:type="pct"/>
            <w:tcBorders>
              <w:top w:val="nil"/>
              <w:left w:val="nil"/>
              <w:bottom w:val="single" w:sz="8" w:space="0" w:color="auto"/>
              <w:right w:val="nil"/>
            </w:tcBorders>
            <w:shd w:val="clear" w:color="auto" w:fill="auto"/>
            <w:noWrap/>
            <w:vAlign w:val="center"/>
            <w:hideMark/>
          </w:tcPr>
          <w:p w14:paraId="72504012" w14:textId="5916CDA2" w:rsidR="00491BC0" w:rsidRDefault="00F47CFC" w:rsidP="00937ED9">
            <w:pPr>
              <w:spacing w:after="120"/>
              <w:jc w:val="right"/>
              <w:rPr>
                <w:rFonts w:ascii="Calibri" w:hAnsi="Calibri" w:cs="Calibri"/>
                <w:color w:val="000000"/>
                <w:sz w:val="16"/>
                <w:szCs w:val="16"/>
              </w:rPr>
            </w:pPr>
            <w:r>
              <w:rPr>
                <w:rFonts w:ascii="Calibri" w:hAnsi="Calibri" w:cs="Calibri"/>
                <w:color w:val="000000"/>
                <w:sz w:val="16"/>
                <w:szCs w:val="16"/>
              </w:rPr>
              <w:t>8.329.701</w:t>
            </w:r>
          </w:p>
        </w:tc>
        <w:tc>
          <w:tcPr>
            <w:tcW w:w="575" w:type="pct"/>
            <w:tcBorders>
              <w:top w:val="nil"/>
              <w:left w:val="nil"/>
              <w:bottom w:val="single" w:sz="8" w:space="0" w:color="auto"/>
              <w:right w:val="nil"/>
            </w:tcBorders>
            <w:shd w:val="clear" w:color="auto" w:fill="auto"/>
            <w:noWrap/>
            <w:vAlign w:val="center"/>
            <w:hideMark/>
          </w:tcPr>
          <w:p w14:paraId="0BB6ECAD" w14:textId="1D4398BD" w:rsidR="00491BC0" w:rsidRDefault="009F2530" w:rsidP="00937ED9">
            <w:pPr>
              <w:spacing w:after="120"/>
              <w:jc w:val="right"/>
              <w:rPr>
                <w:rFonts w:ascii="Calibri" w:hAnsi="Calibri" w:cs="Calibri"/>
                <w:color w:val="000000"/>
                <w:sz w:val="16"/>
                <w:szCs w:val="16"/>
              </w:rPr>
            </w:pPr>
            <w:r>
              <w:rPr>
                <w:rFonts w:ascii="Calibri" w:hAnsi="Calibri" w:cs="Calibri"/>
                <w:color w:val="000000"/>
                <w:sz w:val="16"/>
                <w:szCs w:val="16"/>
              </w:rPr>
              <w:t>12.507.421</w:t>
            </w:r>
          </w:p>
        </w:tc>
      </w:tr>
      <w:tr w:rsidR="00491BC0" w14:paraId="6FB821E1" w14:textId="77777777" w:rsidTr="00910934">
        <w:trPr>
          <w:trHeight w:hRule="exact" w:val="227"/>
        </w:trPr>
        <w:tc>
          <w:tcPr>
            <w:tcW w:w="2665" w:type="pct"/>
            <w:tcBorders>
              <w:top w:val="nil"/>
              <w:left w:val="nil"/>
              <w:bottom w:val="single" w:sz="8" w:space="0" w:color="auto"/>
              <w:right w:val="nil"/>
            </w:tcBorders>
            <w:shd w:val="clear" w:color="auto" w:fill="auto"/>
            <w:noWrap/>
            <w:vAlign w:val="center"/>
            <w:hideMark/>
          </w:tcPr>
          <w:p w14:paraId="072FA8A8" w14:textId="77777777" w:rsidR="00491BC0" w:rsidRDefault="00491BC0" w:rsidP="00937ED9">
            <w:pPr>
              <w:spacing w:after="120"/>
              <w:rPr>
                <w:rFonts w:ascii="Calibri" w:hAnsi="Calibri" w:cs="Calibri"/>
                <w:b/>
                <w:bCs/>
                <w:color w:val="000000"/>
                <w:sz w:val="16"/>
                <w:szCs w:val="16"/>
              </w:rPr>
            </w:pPr>
            <w:r>
              <w:rPr>
                <w:rFonts w:ascii="Calibri" w:hAnsi="Calibri" w:cs="Calibri"/>
                <w:b/>
                <w:bCs/>
                <w:color w:val="000000"/>
                <w:sz w:val="16"/>
                <w:szCs w:val="16"/>
              </w:rPr>
              <w:t xml:space="preserve"> TOTAL </w:t>
            </w:r>
          </w:p>
        </w:tc>
        <w:tc>
          <w:tcPr>
            <w:tcW w:w="140" w:type="pct"/>
            <w:tcBorders>
              <w:top w:val="nil"/>
              <w:left w:val="nil"/>
              <w:bottom w:val="single" w:sz="8" w:space="0" w:color="auto"/>
              <w:right w:val="nil"/>
            </w:tcBorders>
            <w:shd w:val="clear" w:color="auto" w:fill="auto"/>
            <w:noWrap/>
            <w:vAlign w:val="center"/>
            <w:hideMark/>
          </w:tcPr>
          <w:p w14:paraId="4A65DCAB" w14:textId="77777777" w:rsidR="00491BC0" w:rsidRDefault="00491BC0" w:rsidP="00937ED9">
            <w:pPr>
              <w:spacing w:after="120"/>
              <w:rPr>
                <w:rFonts w:ascii="Calibri" w:hAnsi="Calibri" w:cs="Calibri"/>
                <w:color w:val="000000"/>
                <w:sz w:val="16"/>
                <w:szCs w:val="16"/>
              </w:rPr>
            </w:pPr>
            <w:r>
              <w:rPr>
                <w:rFonts w:ascii="Calibri" w:hAnsi="Calibri" w:cs="Calibri"/>
                <w:color w:val="000000"/>
                <w:sz w:val="16"/>
                <w:szCs w:val="16"/>
              </w:rPr>
              <w:t> </w:t>
            </w:r>
          </w:p>
        </w:tc>
        <w:tc>
          <w:tcPr>
            <w:tcW w:w="500" w:type="pct"/>
            <w:tcBorders>
              <w:top w:val="nil"/>
              <w:left w:val="nil"/>
              <w:bottom w:val="single" w:sz="8" w:space="0" w:color="auto"/>
              <w:right w:val="nil"/>
            </w:tcBorders>
            <w:shd w:val="clear" w:color="auto" w:fill="auto"/>
            <w:noWrap/>
            <w:vAlign w:val="center"/>
            <w:hideMark/>
          </w:tcPr>
          <w:p w14:paraId="40CF6955" w14:textId="77777777" w:rsidR="00491BC0" w:rsidRDefault="00491BC0" w:rsidP="00937ED9">
            <w:pPr>
              <w:spacing w:after="120"/>
              <w:rPr>
                <w:rFonts w:ascii="Calibri" w:hAnsi="Calibri" w:cs="Calibri"/>
                <w:color w:val="000000"/>
                <w:sz w:val="16"/>
                <w:szCs w:val="16"/>
              </w:rPr>
            </w:pPr>
            <w:r>
              <w:rPr>
                <w:rFonts w:ascii="Calibri" w:hAnsi="Calibri" w:cs="Calibri"/>
                <w:color w:val="000000"/>
                <w:sz w:val="16"/>
                <w:szCs w:val="16"/>
              </w:rPr>
              <w:t> </w:t>
            </w:r>
          </w:p>
        </w:tc>
        <w:tc>
          <w:tcPr>
            <w:tcW w:w="500" w:type="pct"/>
            <w:tcBorders>
              <w:top w:val="nil"/>
              <w:left w:val="nil"/>
              <w:bottom w:val="single" w:sz="8" w:space="0" w:color="auto"/>
              <w:right w:val="nil"/>
            </w:tcBorders>
            <w:shd w:val="clear" w:color="auto" w:fill="auto"/>
            <w:noWrap/>
            <w:vAlign w:val="center"/>
            <w:hideMark/>
          </w:tcPr>
          <w:p w14:paraId="7008BA37" w14:textId="77777777" w:rsidR="00491BC0" w:rsidRDefault="00491BC0" w:rsidP="00937ED9">
            <w:pPr>
              <w:spacing w:after="120"/>
              <w:jc w:val="right"/>
              <w:rPr>
                <w:rFonts w:ascii="Calibri" w:hAnsi="Calibri" w:cs="Calibri"/>
                <w:b/>
                <w:bCs/>
                <w:color w:val="000000"/>
                <w:sz w:val="16"/>
                <w:szCs w:val="16"/>
              </w:rPr>
            </w:pPr>
            <w:r>
              <w:rPr>
                <w:rFonts w:ascii="Calibri" w:hAnsi="Calibri" w:cs="Calibri"/>
                <w:b/>
                <w:bCs/>
                <w:color w:val="000000"/>
                <w:sz w:val="16"/>
                <w:szCs w:val="16"/>
              </w:rPr>
              <w:t> </w:t>
            </w:r>
          </w:p>
        </w:tc>
        <w:tc>
          <w:tcPr>
            <w:tcW w:w="620" w:type="pct"/>
            <w:tcBorders>
              <w:top w:val="nil"/>
              <w:left w:val="nil"/>
              <w:bottom w:val="single" w:sz="8" w:space="0" w:color="auto"/>
              <w:right w:val="nil"/>
            </w:tcBorders>
            <w:shd w:val="clear" w:color="auto" w:fill="auto"/>
            <w:noWrap/>
            <w:vAlign w:val="center"/>
            <w:hideMark/>
          </w:tcPr>
          <w:p w14:paraId="19DCD61B" w14:textId="6DD01291" w:rsidR="00491BC0" w:rsidRDefault="00196BF6" w:rsidP="00937ED9">
            <w:pPr>
              <w:spacing w:after="120"/>
              <w:jc w:val="right"/>
              <w:rPr>
                <w:rFonts w:ascii="Calibri" w:hAnsi="Calibri" w:cs="Calibri"/>
                <w:b/>
                <w:bCs/>
                <w:color w:val="000000"/>
                <w:sz w:val="16"/>
                <w:szCs w:val="16"/>
              </w:rPr>
            </w:pPr>
            <w:r>
              <w:rPr>
                <w:rFonts w:ascii="Calibri" w:hAnsi="Calibri" w:cs="Calibri"/>
                <w:b/>
                <w:bCs/>
                <w:color w:val="000000"/>
                <w:sz w:val="16"/>
                <w:szCs w:val="16"/>
              </w:rPr>
              <w:t>51.613.62</w:t>
            </w:r>
            <w:r w:rsidR="00CB3B87">
              <w:rPr>
                <w:rFonts w:ascii="Calibri" w:hAnsi="Calibri" w:cs="Calibri"/>
                <w:b/>
                <w:bCs/>
                <w:color w:val="000000"/>
                <w:sz w:val="16"/>
                <w:szCs w:val="16"/>
              </w:rPr>
              <w:t>7</w:t>
            </w:r>
          </w:p>
        </w:tc>
        <w:tc>
          <w:tcPr>
            <w:tcW w:w="575" w:type="pct"/>
            <w:tcBorders>
              <w:top w:val="nil"/>
              <w:left w:val="nil"/>
              <w:bottom w:val="single" w:sz="8" w:space="0" w:color="auto"/>
              <w:right w:val="nil"/>
            </w:tcBorders>
            <w:shd w:val="clear" w:color="auto" w:fill="auto"/>
            <w:noWrap/>
            <w:vAlign w:val="center"/>
            <w:hideMark/>
          </w:tcPr>
          <w:p w14:paraId="480E82AE" w14:textId="02F2167E" w:rsidR="00491BC0" w:rsidRDefault="009F2530" w:rsidP="00937ED9">
            <w:pPr>
              <w:spacing w:after="120"/>
              <w:jc w:val="right"/>
              <w:rPr>
                <w:rFonts w:ascii="Calibri" w:hAnsi="Calibri" w:cs="Calibri"/>
                <w:b/>
                <w:bCs/>
                <w:color w:val="000000"/>
                <w:sz w:val="16"/>
                <w:szCs w:val="16"/>
              </w:rPr>
            </w:pPr>
            <w:r>
              <w:rPr>
                <w:rFonts w:ascii="Calibri" w:hAnsi="Calibri" w:cs="Calibri"/>
                <w:b/>
                <w:bCs/>
                <w:color w:val="000000"/>
                <w:sz w:val="16"/>
                <w:szCs w:val="16"/>
              </w:rPr>
              <w:t>41.112.262</w:t>
            </w:r>
          </w:p>
        </w:tc>
      </w:tr>
      <w:tr w:rsidR="00491BC0" w14:paraId="3453753A" w14:textId="77777777" w:rsidTr="00910934">
        <w:trPr>
          <w:trHeight w:hRule="exact" w:val="227"/>
        </w:trPr>
        <w:tc>
          <w:tcPr>
            <w:tcW w:w="2805" w:type="pct"/>
            <w:gridSpan w:val="2"/>
            <w:tcBorders>
              <w:top w:val="single" w:sz="8" w:space="0" w:color="auto"/>
              <w:left w:val="nil"/>
              <w:bottom w:val="single" w:sz="8" w:space="0" w:color="auto"/>
              <w:right w:val="nil"/>
            </w:tcBorders>
            <w:shd w:val="clear" w:color="auto" w:fill="auto"/>
            <w:noWrap/>
            <w:vAlign w:val="center"/>
            <w:hideMark/>
          </w:tcPr>
          <w:p w14:paraId="05F89852" w14:textId="77777777" w:rsidR="00491BC0" w:rsidRDefault="00491BC0" w:rsidP="00937ED9">
            <w:pPr>
              <w:spacing w:after="120"/>
              <w:rPr>
                <w:rFonts w:ascii="Calibri" w:hAnsi="Calibri" w:cs="Calibri"/>
                <w:b/>
                <w:bCs/>
                <w:color w:val="000000"/>
                <w:sz w:val="16"/>
                <w:szCs w:val="16"/>
              </w:rPr>
            </w:pPr>
            <w:r>
              <w:rPr>
                <w:rFonts w:ascii="Calibri" w:hAnsi="Calibri" w:cs="Calibri"/>
                <w:b/>
                <w:bCs/>
                <w:color w:val="000000"/>
                <w:sz w:val="16"/>
                <w:szCs w:val="16"/>
              </w:rPr>
              <w:lastRenderedPageBreak/>
              <w:t>SALDO DE CONTRATOS POR PERMISSÃO A RECEBER</w:t>
            </w:r>
          </w:p>
        </w:tc>
        <w:tc>
          <w:tcPr>
            <w:tcW w:w="500" w:type="pct"/>
            <w:tcBorders>
              <w:top w:val="nil"/>
              <w:left w:val="nil"/>
              <w:bottom w:val="single" w:sz="8" w:space="0" w:color="auto"/>
              <w:right w:val="nil"/>
            </w:tcBorders>
            <w:shd w:val="clear" w:color="auto" w:fill="auto"/>
            <w:noWrap/>
            <w:vAlign w:val="center"/>
            <w:hideMark/>
          </w:tcPr>
          <w:p w14:paraId="2CF844B4" w14:textId="77777777" w:rsidR="00491BC0" w:rsidRDefault="00491BC0" w:rsidP="00937ED9">
            <w:pPr>
              <w:spacing w:after="120"/>
              <w:rPr>
                <w:rFonts w:ascii="Calibri" w:hAnsi="Calibri" w:cs="Calibri"/>
                <w:color w:val="000000"/>
                <w:sz w:val="16"/>
                <w:szCs w:val="16"/>
              </w:rPr>
            </w:pPr>
            <w:r>
              <w:rPr>
                <w:rFonts w:ascii="Calibri" w:hAnsi="Calibri" w:cs="Calibri"/>
                <w:color w:val="000000"/>
                <w:sz w:val="16"/>
                <w:szCs w:val="16"/>
              </w:rPr>
              <w:t> </w:t>
            </w:r>
          </w:p>
        </w:tc>
        <w:tc>
          <w:tcPr>
            <w:tcW w:w="500" w:type="pct"/>
            <w:tcBorders>
              <w:top w:val="nil"/>
              <w:left w:val="nil"/>
              <w:bottom w:val="single" w:sz="8" w:space="0" w:color="auto"/>
              <w:right w:val="nil"/>
            </w:tcBorders>
            <w:shd w:val="clear" w:color="auto" w:fill="auto"/>
            <w:noWrap/>
            <w:vAlign w:val="center"/>
            <w:hideMark/>
          </w:tcPr>
          <w:p w14:paraId="4B7068BC" w14:textId="77777777" w:rsidR="00491BC0" w:rsidRDefault="00491BC0" w:rsidP="00937ED9">
            <w:pPr>
              <w:spacing w:after="120"/>
              <w:jc w:val="right"/>
              <w:rPr>
                <w:rFonts w:ascii="Calibri" w:hAnsi="Calibri" w:cs="Calibri"/>
                <w:b/>
                <w:bCs/>
                <w:color w:val="000000"/>
                <w:sz w:val="16"/>
                <w:szCs w:val="16"/>
              </w:rPr>
            </w:pPr>
            <w:r>
              <w:rPr>
                <w:rFonts w:ascii="Calibri" w:hAnsi="Calibri" w:cs="Calibri"/>
                <w:b/>
                <w:bCs/>
                <w:color w:val="000000"/>
                <w:sz w:val="16"/>
                <w:szCs w:val="16"/>
              </w:rPr>
              <w:t> </w:t>
            </w:r>
          </w:p>
        </w:tc>
        <w:tc>
          <w:tcPr>
            <w:tcW w:w="620" w:type="pct"/>
            <w:tcBorders>
              <w:top w:val="nil"/>
              <w:left w:val="nil"/>
              <w:bottom w:val="single" w:sz="8" w:space="0" w:color="auto"/>
              <w:right w:val="nil"/>
            </w:tcBorders>
            <w:shd w:val="clear" w:color="auto" w:fill="auto"/>
            <w:noWrap/>
            <w:vAlign w:val="center"/>
            <w:hideMark/>
          </w:tcPr>
          <w:p w14:paraId="326EC8BE" w14:textId="467E2E57" w:rsidR="00491BC0" w:rsidRDefault="00491BC0" w:rsidP="00CB3B87">
            <w:pPr>
              <w:spacing w:after="120"/>
              <w:jc w:val="right"/>
              <w:rPr>
                <w:rFonts w:ascii="Calibri" w:hAnsi="Calibri" w:cs="Calibri"/>
                <w:b/>
                <w:bCs/>
                <w:color w:val="000000"/>
                <w:sz w:val="16"/>
                <w:szCs w:val="16"/>
              </w:rPr>
            </w:pPr>
            <w:r>
              <w:rPr>
                <w:rFonts w:ascii="Calibri" w:hAnsi="Calibri" w:cs="Calibri"/>
                <w:b/>
                <w:bCs/>
                <w:color w:val="000000"/>
                <w:sz w:val="16"/>
                <w:szCs w:val="16"/>
              </w:rPr>
              <w:t>3</w:t>
            </w:r>
            <w:r w:rsidR="00196BF6">
              <w:rPr>
                <w:rFonts w:ascii="Calibri" w:hAnsi="Calibri" w:cs="Calibri"/>
                <w:b/>
                <w:bCs/>
                <w:color w:val="000000"/>
                <w:sz w:val="16"/>
                <w:szCs w:val="16"/>
              </w:rPr>
              <w:t>0</w:t>
            </w:r>
            <w:r>
              <w:rPr>
                <w:rFonts w:ascii="Calibri" w:hAnsi="Calibri" w:cs="Calibri"/>
                <w:b/>
                <w:bCs/>
                <w:color w:val="000000"/>
                <w:sz w:val="16"/>
                <w:szCs w:val="16"/>
              </w:rPr>
              <w:t>/</w:t>
            </w:r>
            <w:r w:rsidR="009F2530">
              <w:rPr>
                <w:rFonts w:ascii="Calibri" w:hAnsi="Calibri" w:cs="Calibri"/>
                <w:b/>
                <w:bCs/>
                <w:color w:val="000000"/>
                <w:sz w:val="16"/>
                <w:szCs w:val="16"/>
              </w:rPr>
              <w:t>0</w:t>
            </w:r>
            <w:r w:rsidR="00196BF6">
              <w:rPr>
                <w:rFonts w:ascii="Calibri" w:hAnsi="Calibri" w:cs="Calibri"/>
                <w:b/>
                <w:bCs/>
                <w:color w:val="000000"/>
                <w:sz w:val="16"/>
                <w:szCs w:val="16"/>
              </w:rPr>
              <w:t>6</w:t>
            </w:r>
            <w:r>
              <w:rPr>
                <w:rFonts w:ascii="Calibri" w:hAnsi="Calibri" w:cs="Calibri"/>
                <w:b/>
                <w:bCs/>
                <w:color w:val="000000"/>
                <w:sz w:val="16"/>
                <w:szCs w:val="16"/>
              </w:rPr>
              <w:t>/202</w:t>
            </w:r>
            <w:r w:rsidR="009F2530">
              <w:rPr>
                <w:rFonts w:ascii="Calibri" w:hAnsi="Calibri" w:cs="Calibri"/>
                <w:b/>
                <w:bCs/>
                <w:color w:val="000000"/>
                <w:sz w:val="16"/>
                <w:szCs w:val="16"/>
              </w:rPr>
              <w:t>2</w:t>
            </w:r>
          </w:p>
        </w:tc>
        <w:tc>
          <w:tcPr>
            <w:tcW w:w="575" w:type="pct"/>
            <w:tcBorders>
              <w:top w:val="nil"/>
              <w:left w:val="nil"/>
              <w:bottom w:val="single" w:sz="8" w:space="0" w:color="auto"/>
              <w:right w:val="nil"/>
            </w:tcBorders>
            <w:shd w:val="clear" w:color="auto" w:fill="auto"/>
            <w:noWrap/>
            <w:vAlign w:val="center"/>
            <w:hideMark/>
          </w:tcPr>
          <w:p w14:paraId="5F17EFB2" w14:textId="4F25941A" w:rsidR="00491BC0" w:rsidRDefault="00491BC0" w:rsidP="00937ED9">
            <w:pPr>
              <w:spacing w:after="120"/>
              <w:jc w:val="right"/>
              <w:rPr>
                <w:rFonts w:ascii="Calibri" w:hAnsi="Calibri" w:cs="Calibri"/>
                <w:b/>
                <w:bCs/>
                <w:color w:val="000000"/>
                <w:sz w:val="16"/>
                <w:szCs w:val="16"/>
              </w:rPr>
            </w:pPr>
            <w:r>
              <w:rPr>
                <w:rFonts w:ascii="Calibri" w:hAnsi="Calibri" w:cs="Calibri"/>
                <w:b/>
                <w:bCs/>
                <w:color w:val="000000"/>
                <w:sz w:val="16"/>
                <w:szCs w:val="16"/>
              </w:rPr>
              <w:t>31/12/202</w:t>
            </w:r>
            <w:r w:rsidR="009F2530">
              <w:rPr>
                <w:rFonts w:ascii="Calibri" w:hAnsi="Calibri" w:cs="Calibri"/>
                <w:b/>
                <w:bCs/>
                <w:color w:val="000000"/>
                <w:sz w:val="16"/>
                <w:szCs w:val="16"/>
              </w:rPr>
              <w:t>1</w:t>
            </w:r>
          </w:p>
        </w:tc>
      </w:tr>
      <w:tr w:rsidR="00491BC0" w14:paraId="31E60EBC" w14:textId="77777777" w:rsidTr="00910934">
        <w:trPr>
          <w:trHeight w:hRule="exact" w:val="227"/>
        </w:trPr>
        <w:tc>
          <w:tcPr>
            <w:tcW w:w="2665" w:type="pct"/>
            <w:tcBorders>
              <w:top w:val="nil"/>
              <w:left w:val="nil"/>
              <w:bottom w:val="nil"/>
              <w:right w:val="nil"/>
            </w:tcBorders>
            <w:shd w:val="clear" w:color="auto" w:fill="auto"/>
            <w:noWrap/>
            <w:vAlign w:val="center"/>
            <w:hideMark/>
          </w:tcPr>
          <w:p w14:paraId="04AD47F3" w14:textId="063E8453" w:rsidR="00491BC0" w:rsidRDefault="003638AA" w:rsidP="00937ED9">
            <w:pPr>
              <w:spacing w:after="120"/>
              <w:rPr>
                <w:rFonts w:ascii="Calibri" w:hAnsi="Calibri" w:cs="Calibri"/>
                <w:color w:val="000000"/>
                <w:sz w:val="16"/>
                <w:szCs w:val="16"/>
              </w:rPr>
            </w:pPr>
            <w:r w:rsidRPr="008D5E7A">
              <w:rPr>
                <w:rFonts w:ascii="Calibri" w:hAnsi="Calibri" w:cs="Calibri"/>
                <w:color w:val="000000"/>
                <w:sz w:val="16"/>
                <w:szCs w:val="16"/>
              </w:rPr>
              <w:t>Porto Seco Centro Oeste S</w:t>
            </w:r>
            <w:r>
              <w:rPr>
                <w:rFonts w:ascii="Calibri" w:hAnsi="Calibri" w:cs="Calibri"/>
                <w:color w:val="000000"/>
                <w:sz w:val="16"/>
                <w:szCs w:val="16"/>
              </w:rPr>
              <w:t>.A. 13/2016</w:t>
            </w:r>
          </w:p>
        </w:tc>
        <w:tc>
          <w:tcPr>
            <w:tcW w:w="140" w:type="pct"/>
            <w:tcBorders>
              <w:top w:val="nil"/>
              <w:left w:val="nil"/>
              <w:bottom w:val="nil"/>
              <w:right w:val="nil"/>
            </w:tcBorders>
            <w:shd w:val="clear" w:color="auto" w:fill="auto"/>
            <w:noWrap/>
            <w:vAlign w:val="center"/>
            <w:hideMark/>
          </w:tcPr>
          <w:p w14:paraId="06ADE4B6" w14:textId="77777777" w:rsidR="00491BC0" w:rsidRDefault="00491BC0" w:rsidP="00937ED9">
            <w:pPr>
              <w:spacing w:after="120"/>
              <w:rPr>
                <w:rFonts w:ascii="Calibri" w:hAnsi="Calibri" w:cs="Calibri"/>
                <w:color w:val="000000"/>
                <w:sz w:val="16"/>
                <w:szCs w:val="16"/>
              </w:rPr>
            </w:pPr>
          </w:p>
        </w:tc>
        <w:tc>
          <w:tcPr>
            <w:tcW w:w="500" w:type="pct"/>
            <w:tcBorders>
              <w:top w:val="nil"/>
              <w:left w:val="nil"/>
              <w:bottom w:val="nil"/>
              <w:right w:val="nil"/>
            </w:tcBorders>
            <w:shd w:val="clear" w:color="auto" w:fill="auto"/>
            <w:noWrap/>
            <w:vAlign w:val="center"/>
            <w:hideMark/>
          </w:tcPr>
          <w:p w14:paraId="582BCCC4" w14:textId="77777777" w:rsidR="00491BC0" w:rsidRDefault="00491BC0" w:rsidP="00937ED9">
            <w:pPr>
              <w:spacing w:after="120"/>
              <w:rPr>
                <w:sz w:val="20"/>
                <w:szCs w:val="20"/>
              </w:rPr>
            </w:pPr>
          </w:p>
        </w:tc>
        <w:tc>
          <w:tcPr>
            <w:tcW w:w="500" w:type="pct"/>
            <w:tcBorders>
              <w:top w:val="nil"/>
              <w:left w:val="nil"/>
              <w:bottom w:val="nil"/>
              <w:right w:val="nil"/>
            </w:tcBorders>
            <w:shd w:val="clear" w:color="auto" w:fill="auto"/>
            <w:noWrap/>
            <w:vAlign w:val="center"/>
            <w:hideMark/>
          </w:tcPr>
          <w:p w14:paraId="235B7351" w14:textId="77777777" w:rsidR="00491BC0" w:rsidRDefault="00491BC0" w:rsidP="00937ED9">
            <w:pPr>
              <w:spacing w:after="120"/>
              <w:rPr>
                <w:sz w:val="20"/>
                <w:szCs w:val="20"/>
              </w:rPr>
            </w:pPr>
          </w:p>
        </w:tc>
        <w:tc>
          <w:tcPr>
            <w:tcW w:w="620" w:type="pct"/>
            <w:tcBorders>
              <w:top w:val="nil"/>
              <w:left w:val="nil"/>
              <w:bottom w:val="nil"/>
              <w:right w:val="nil"/>
            </w:tcBorders>
            <w:shd w:val="clear" w:color="auto" w:fill="auto"/>
            <w:noWrap/>
            <w:vAlign w:val="center"/>
            <w:hideMark/>
          </w:tcPr>
          <w:p w14:paraId="0663A46D" w14:textId="46F1D4D1" w:rsidR="00491BC0" w:rsidRDefault="00E732BA" w:rsidP="00CB3B87">
            <w:pPr>
              <w:spacing w:after="120"/>
              <w:jc w:val="right"/>
              <w:rPr>
                <w:rFonts w:ascii="Calibri" w:hAnsi="Calibri" w:cs="Calibri"/>
                <w:color w:val="000000"/>
                <w:sz w:val="16"/>
                <w:szCs w:val="16"/>
              </w:rPr>
            </w:pPr>
            <w:r>
              <w:rPr>
                <w:rFonts w:ascii="Calibri" w:hAnsi="Calibri" w:cs="Calibri"/>
                <w:color w:val="000000"/>
                <w:sz w:val="16"/>
                <w:szCs w:val="16"/>
              </w:rPr>
              <w:t>1</w:t>
            </w:r>
            <w:r w:rsidR="00CB3B87">
              <w:rPr>
                <w:rFonts w:ascii="Calibri" w:hAnsi="Calibri" w:cs="Calibri"/>
                <w:color w:val="000000"/>
                <w:sz w:val="16"/>
                <w:szCs w:val="16"/>
              </w:rPr>
              <w:t>4</w:t>
            </w:r>
            <w:r>
              <w:rPr>
                <w:rFonts w:ascii="Calibri" w:hAnsi="Calibri" w:cs="Calibri"/>
                <w:color w:val="000000"/>
                <w:sz w:val="16"/>
                <w:szCs w:val="16"/>
              </w:rPr>
              <w:t>.</w:t>
            </w:r>
            <w:r w:rsidR="00CB3B87">
              <w:rPr>
                <w:rFonts w:ascii="Calibri" w:hAnsi="Calibri" w:cs="Calibri"/>
                <w:color w:val="000000"/>
                <w:sz w:val="16"/>
                <w:szCs w:val="16"/>
              </w:rPr>
              <w:t>960</w:t>
            </w:r>
            <w:r>
              <w:rPr>
                <w:rFonts w:ascii="Calibri" w:hAnsi="Calibri" w:cs="Calibri"/>
                <w:color w:val="000000"/>
                <w:sz w:val="16"/>
                <w:szCs w:val="16"/>
              </w:rPr>
              <w:t>.</w:t>
            </w:r>
            <w:r w:rsidR="00CB3B87">
              <w:rPr>
                <w:rFonts w:ascii="Calibri" w:hAnsi="Calibri" w:cs="Calibri"/>
                <w:color w:val="000000"/>
                <w:sz w:val="16"/>
                <w:szCs w:val="16"/>
              </w:rPr>
              <w:t>676</w:t>
            </w:r>
          </w:p>
        </w:tc>
        <w:tc>
          <w:tcPr>
            <w:tcW w:w="575" w:type="pct"/>
            <w:tcBorders>
              <w:top w:val="nil"/>
              <w:left w:val="nil"/>
              <w:bottom w:val="nil"/>
              <w:right w:val="nil"/>
            </w:tcBorders>
            <w:shd w:val="clear" w:color="auto" w:fill="auto"/>
            <w:noWrap/>
            <w:vAlign w:val="center"/>
            <w:hideMark/>
          </w:tcPr>
          <w:p w14:paraId="37A78D57" w14:textId="370BE7F8" w:rsidR="00491BC0" w:rsidRDefault="009F2530" w:rsidP="00937ED9">
            <w:pPr>
              <w:spacing w:after="120"/>
              <w:jc w:val="right"/>
              <w:rPr>
                <w:rFonts w:ascii="Calibri" w:hAnsi="Calibri" w:cs="Calibri"/>
                <w:color w:val="000000"/>
                <w:sz w:val="16"/>
                <w:szCs w:val="16"/>
              </w:rPr>
            </w:pPr>
            <w:r>
              <w:rPr>
                <w:rFonts w:ascii="Calibri" w:hAnsi="Calibri" w:cs="Calibri"/>
                <w:color w:val="000000"/>
                <w:sz w:val="16"/>
                <w:szCs w:val="16"/>
              </w:rPr>
              <w:t>14.416.397</w:t>
            </w:r>
          </w:p>
        </w:tc>
      </w:tr>
      <w:tr w:rsidR="003638AA" w14:paraId="43660CDB" w14:textId="77777777" w:rsidTr="00910934">
        <w:trPr>
          <w:trHeight w:hRule="exact" w:val="227"/>
        </w:trPr>
        <w:tc>
          <w:tcPr>
            <w:tcW w:w="2665" w:type="pct"/>
            <w:tcBorders>
              <w:top w:val="nil"/>
              <w:left w:val="nil"/>
              <w:bottom w:val="nil"/>
              <w:right w:val="nil"/>
            </w:tcBorders>
            <w:shd w:val="clear" w:color="auto" w:fill="auto"/>
            <w:noWrap/>
            <w:vAlign w:val="center"/>
          </w:tcPr>
          <w:p w14:paraId="107B8BC7" w14:textId="69C20AFB" w:rsidR="003638AA" w:rsidRDefault="003638AA" w:rsidP="003638AA">
            <w:pPr>
              <w:spacing w:after="120"/>
              <w:rPr>
                <w:rFonts w:ascii="Calibri" w:hAnsi="Calibri" w:cs="Calibri"/>
                <w:color w:val="000000"/>
                <w:sz w:val="16"/>
                <w:szCs w:val="16"/>
              </w:rPr>
            </w:pPr>
            <w:r w:rsidRPr="00B90CA9">
              <w:rPr>
                <w:rFonts w:ascii="Calibri" w:hAnsi="Calibri" w:cs="Calibri"/>
                <w:color w:val="000000"/>
                <w:sz w:val="16"/>
                <w:szCs w:val="16"/>
              </w:rPr>
              <w:t>TDC - Distribuidora de Combus</w:t>
            </w:r>
            <w:r>
              <w:rPr>
                <w:rFonts w:ascii="Calibri" w:hAnsi="Calibri" w:cs="Calibri"/>
                <w:color w:val="000000"/>
                <w:sz w:val="16"/>
                <w:szCs w:val="16"/>
              </w:rPr>
              <w:t>tí</w:t>
            </w:r>
            <w:r w:rsidRPr="00B90CA9">
              <w:rPr>
                <w:rFonts w:ascii="Calibri" w:hAnsi="Calibri" w:cs="Calibri"/>
                <w:color w:val="000000"/>
                <w:sz w:val="16"/>
                <w:szCs w:val="16"/>
              </w:rPr>
              <w:t>veis S</w:t>
            </w:r>
            <w:r>
              <w:rPr>
                <w:rFonts w:ascii="Calibri" w:hAnsi="Calibri" w:cs="Calibri"/>
                <w:color w:val="000000"/>
                <w:sz w:val="16"/>
                <w:szCs w:val="16"/>
              </w:rPr>
              <w:t>.</w:t>
            </w:r>
            <w:r w:rsidRPr="00B90CA9">
              <w:rPr>
                <w:rFonts w:ascii="Calibri" w:hAnsi="Calibri" w:cs="Calibri"/>
                <w:color w:val="000000"/>
                <w:sz w:val="16"/>
                <w:szCs w:val="16"/>
              </w:rPr>
              <w:t>A</w:t>
            </w:r>
            <w:r>
              <w:rPr>
                <w:rFonts w:ascii="Calibri" w:hAnsi="Calibri" w:cs="Calibri"/>
                <w:color w:val="000000"/>
                <w:sz w:val="16"/>
                <w:szCs w:val="16"/>
              </w:rPr>
              <w:t>. 01/2016</w:t>
            </w:r>
          </w:p>
        </w:tc>
        <w:tc>
          <w:tcPr>
            <w:tcW w:w="140" w:type="pct"/>
            <w:tcBorders>
              <w:top w:val="nil"/>
              <w:left w:val="nil"/>
              <w:bottom w:val="nil"/>
              <w:right w:val="nil"/>
            </w:tcBorders>
            <w:shd w:val="clear" w:color="auto" w:fill="auto"/>
            <w:noWrap/>
            <w:vAlign w:val="center"/>
          </w:tcPr>
          <w:p w14:paraId="6EAE02BE" w14:textId="1E292D4A" w:rsidR="003638AA" w:rsidRDefault="003638AA" w:rsidP="003638AA">
            <w:pPr>
              <w:spacing w:after="120"/>
              <w:rPr>
                <w:rFonts w:ascii="Calibri" w:hAnsi="Calibri" w:cs="Calibri"/>
                <w:color w:val="000000"/>
                <w:sz w:val="16"/>
                <w:szCs w:val="16"/>
              </w:rPr>
            </w:pPr>
            <w:r>
              <w:rPr>
                <w:rFonts w:ascii="Calibri" w:hAnsi="Calibri" w:cs="Calibri"/>
                <w:color w:val="000000"/>
                <w:sz w:val="16"/>
                <w:szCs w:val="16"/>
              </w:rPr>
              <w:t> </w:t>
            </w:r>
          </w:p>
        </w:tc>
        <w:tc>
          <w:tcPr>
            <w:tcW w:w="500" w:type="pct"/>
            <w:tcBorders>
              <w:top w:val="nil"/>
              <w:left w:val="nil"/>
              <w:bottom w:val="nil"/>
              <w:right w:val="nil"/>
            </w:tcBorders>
            <w:shd w:val="clear" w:color="auto" w:fill="auto"/>
            <w:noWrap/>
            <w:vAlign w:val="center"/>
          </w:tcPr>
          <w:p w14:paraId="24AC2EBB" w14:textId="2CBB2828" w:rsidR="003638AA" w:rsidRDefault="003638AA" w:rsidP="003638AA">
            <w:pPr>
              <w:spacing w:after="120"/>
              <w:rPr>
                <w:sz w:val="20"/>
                <w:szCs w:val="20"/>
              </w:rPr>
            </w:pPr>
            <w:r>
              <w:rPr>
                <w:rFonts w:ascii="Calibri" w:hAnsi="Calibri" w:cs="Calibri"/>
                <w:color w:val="000000"/>
                <w:sz w:val="16"/>
                <w:szCs w:val="16"/>
              </w:rPr>
              <w:t> </w:t>
            </w:r>
          </w:p>
        </w:tc>
        <w:tc>
          <w:tcPr>
            <w:tcW w:w="500" w:type="pct"/>
            <w:tcBorders>
              <w:top w:val="nil"/>
              <w:left w:val="nil"/>
              <w:bottom w:val="nil"/>
              <w:right w:val="nil"/>
            </w:tcBorders>
            <w:shd w:val="clear" w:color="auto" w:fill="auto"/>
            <w:noWrap/>
            <w:vAlign w:val="center"/>
          </w:tcPr>
          <w:p w14:paraId="7C899193" w14:textId="230049D2" w:rsidR="003638AA" w:rsidRDefault="003638AA" w:rsidP="003638AA">
            <w:pPr>
              <w:spacing w:after="120"/>
              <w:rPr>
                <w:sz w:val="20"/>
                <w:szCs w:val="20"/>
              </w:rPr>
            </w:pPr>
            <w:r>
              <w:rPr>
                <w:rFonts w:ascii="Calibri" w:hAnsi="Calibri" w:cs="Calibri"/>
                <w:b/>
                <w:bCs/>
                <w:color w:val="000000"/>
                <w:sz w:val="16"/>
                <w:szCs w:val="16"/>
              </w:rPr>
              <w:t> </w:t>
            </w:r>
          </w:p>
        </w:tc>
        <w:tc>
          <w:tcPr>
            <w:tcW w:w="620" w:type="pct"/>
            <w:tcBorders>
              <w:top w:val="nil"/>
              <w:left w:val="nil"/>
              <w:bottom w:val="nil"/>
              <w:right w:val="nil"/>
            </w:tcBorders>
            <w:shd w:val="clear" w:color="auto" w:fill="auto"/>
            <w:noWrap/>
            <w:vAlign w:val="center"/>
          </w:tcPr>
          <w:p w14:paraId="44A2A5D8" w14:textId="48235973" w:rsidR="003638AA" w:rsidRDefault="00CB3B87" w:rsidP="00CB3B87">
            <w:pPr>
              <w:spacing w:after="120"/>
              <w:jc w:val="right"/>
              <w:rPr>
                <w:rFonts w:ascii="Calibri" w:hAnsi="Calibri" w:cs="Calibri"/>
                <w:color w:val="000000"/>
                <w:sz w:val="16"/>
                <w:szCs w:val="16"/>
              </w:rPr>
            </w:pPr>
            <w:r>
              <w:rPr>
                <w:rFonts w:ascii="Calibri" w:hAnsi="Calibri" w:cs="Calibri"/>
                <w:color w:val="000000"/>
                <w:sz w:val="16"/>
                <w:szCs w:val="16"/>
              </w:rPr>
              <w:t>15.295.143</w:t>
            </w:r>
          </w:p>
        </w:tc>
        <w:tc>
          <w:tcPr>
            <w:tcW w:w="575" w:type="pct"/>
            <w:tcBorders>
              <w:top w:val="nil"/>
              <w:left w:val="nil"/>
              <w:bottom w:val="nil"/>
              <w:right w:val="nil"/>
            </w:tcBorders>
            <w:shd w:val="clear" w:color="auto" w:fill="auto"/>
            <w:noWrap/>
            <w:vAlign w:val="center"/>
          </w:tcPr>
          <w:p w14:paraId="2EC1299C" w14:textId="5882F4E2" w:rsidR="003638AA" w:rsidRDefault="009F2530" w:rsidP="003638AA">
            <w:pPr>
              <w:spacing w:after="120"/>
              <w:jc w:val="right"/>
              <w:rPr>
                <w:rFonts w:ascii="Calibri" w:hAnsi="Calibri" w:cs="Calibri"/>
                <w:color w:val="000000"/>
                <w:sz w:val="16"/>
                <w:szCs w:val="16"/>
              </w:rPr>
            </w:pPr>
            <w:r>
              <w:rPr>
                <w:rFonts w:ascii="Calibri" w:hAnsi="Calibri" w:cs="Calibri"/>
                <w:color w:val="000000"/>
                <w:sz w:val="16"/>
                <w:szCs w:val="16"/>
              </w:rPr>
              <w:t>14.720.247</w:t>
            </w:r>
          </w:p>
        </w:tc>
      </w:tr>
      <w:tr w:rsidR="003638AA" w14:paraId="476313D4" w14:textId="77777777" w:rsidTr="00921B2B">
        <w:trPr>
          <w:trHeight w:hRule="exact" w:val="227"/>
        </w:trPr>
        <w:tc>
          <w:tcPr>
            <w:tcW w:w="2665" w:type="pct"/>
            <w:tcBorders>
              <w:top w:val="nil"/>
              <w:left w:val="nil"/>
              <w:right w:val="nil"/>
            </w:tcBorders>
            <w:shd w:val="clear" w:color="auto" w:fill="auto"/>
            <w:noWrap/>
            <w:vAlign w:val="center"/>
            <w:hideMark/>
          </w:tcPr>
          <w:p w14:paraId="61D00AC0" w14:textId="3B896430" w:rsidR="003638AA" w:rsidRDefault="003638AA" w:rsidP="003638AA">
            <w:pPr>
              <w:spacing w:after="120"/>
              <w:rPr>
                <w:rFonts w:ascii="Calibri" w:hAnsi="Calibri" w:cs="Calibri"/>
                <w:color w:val="000000"/>
                <w:sz w:val="16"/>
                <w:szCs w:val="16"/>
              </w:rPr>
            </w:pPr>
            <w:r w:rsidRPr="00B90CA9">
              <w:rPr>
                <w:rFonts w:ascii="Calibri" w:hAnsi="Calibri" w:cs="Calibri"/>
                <w:color w:val="000000"/>
                <w:sz w:val="16"/>
                <w:szCs w:val="16"/>
              </w:rPr>
              <w:t>Terminal VLI Porto Franco S.A</w:t>
            </w:r>
            <w:r>
              <w:rPr>
                <w:rFonts w:ascii="Calibri" w:hAnsi="Calibri" w:cs="Calibri"/>
                <w:color w:val="000000"/>
                <w:sz w:val="16"/>
                <w:szCs w:val="16"/>
              </w:rPr>
              <w:t>. 19/2021</w:t>
            </w:r>
          </w:p>
        </w:tc>
        <w:tc>
          <w:tcPr>
            <w:tcW w:w="140" w:type="pct"/>
            <w:tcBorders>
              <w:top w:val="nil"/>
              <w:left w:val="nil"/>
              <w:right w:val="nil"/>
            </w:tcBorders>
            <w:shd w:val="clear" w:color="auto" w:fill="auto"/>
            <w:noWrap/>
            <w:vAlign w:val="center"/>
            <w:hideMark/>
          </w:tcPr>
          <w:p w14:paraId="05395A65" w14:textId="77777777" w:rsidR="003638AA" w:rsidRDefault="003638AA" w:rsidP="003638AA">
            <w:pPr>
              <w:spacing w:after="120"/>
              <w:rPr>
                <w:rFonts w:ascii="Calibri" w:hAnsi="Calibri" w:cs="Calibri"/>
                <w:color w:val="000000"/>
                <w:sz w:val="16"/>
                <w:szCs w:val="16"/>
              </w:rPr>
            </w:pPr>
            <w:r>
              <w:rPr>
                <w:rFonts w:ascii="Calibri" w:hAnsi="Calibri" w:cs="Calibri"/>
                <w:color w:val="000000"/>
                <w:sz w:val="16"/>
                <w:szCs w:val="16"/>
              </w:rPr>
              <w:t> </w:t>
            </w:r>
          </w:p>
        </w:tc>
        <w:tc>
          <w:tcPr>
            <w:tcW w:w="500" w:type="pct"/>
            <w:tcBorders>
              <w:top w:val="nil"/>
              <w:left w:val="nil"/>
              <w:right w:val="nil"/>
            </w:tcBorders>
            <w:shd w:val="clear" w:color="auto" w:fill="auto"/>
            <w:noWrap/>
            <w:vAlign w:val="center"/>
            <w:hideMark/>
          </w:tcPr>
          <w:p w14:paraId="044D84B9" w14:textId="77777777" w:rsidR="003638AA" w:rsidRDefault="003638AA" w:rsidP="003638AA">
            <w:pPr>
              <w:spacing w:after="120"/>
              <w:rPr>
                <w:rFonts w:ascii="Calibri" w:hAnsi="Calibri" w:cs="Calibri"/>
                <w:color w:val="000000"/>
                <w:sz w:val="16"/>
                <w:szCs w:val="16"/>
              </w:rPr>
            </w:pPr>
            <w:r>
              <w:rPr>
                <w:rFonts w:ascii="Calibri" w:hAnsi="Calibri" w:cs="Calibri"/>
                <w:color w:val="000000"/>
                <w:sz w:val="16"/>
                <w:szCs w:val="16"/>
              </w:rPr>
              <w:t> </w:t>
            </w:r>
          </w:p>
        </w:tc>
        <w:tc>
          <w:tcPr>
            <w:tcW w:w="500" w:type="pct"/>
            <w:tcBorders>
              <w:top w:val="nil"/>
              <w:left w:val="nil"/>
              <w:right w:val="nil"/>
            </w:tcBorders>
            <w:shd w:val="clear" w:color="auto" w:fill="auto"/>
            <w:noWrap/>
            <w:vAlign w:val="center"/>
            <w:hideMark/>
          </w:tcPr>
          <w:p w14:paraId="2CE9713E" w14:textId="77777777" w:rsidR="003638AA" w:rsidRDefault="003638AA" w:rsidP="003638AA">
            <w:pPr>
              <w:spacing w:after="120"/>
              <w:jc w:val="right"/>
              <w:rPr>
                <w:rFonts w:ascii="Calibri" w:hAnsi="Calibri" w:cs="Calibri"/>
                <w:b/>
                <w:bCs/>
                <w:color w:val="000000"/>
                <w:sz w:val="16"/>
                <w:szCs w:val="16"/>
              </w:rPr>
            </w:pPr>
            <w:r>
              <w:rPr>
                <w:rFonts w:ascii="Calibri" w:hAnsi="Calibri" w:cs="Calibri"/>
                <w:b/>
                <w:bCs/>
                <w:color w:val="000000"/>
                <w:sz w:val="16"/>
                <w:szCs w:val="16"/>
              </w:rPr>
              <w:t> </w:t>
            </w:r>
          </w:p>
        </w:tc>
        <w:tc>
          <w:tcPr>
            <w:tcW w:w="620" w:type="pct"/>
            <w:tcBorders>
              <w:top w:val="nil"/>
              <w:left w:val="nil"/>
              <w:right w:val="nil"/>
            </w:tcBorders>
            <w:shd w:val="clear" w:color="auto" w:fill="auto"/>
            <w:noWrap/>
            <w:vAlign w:val="center"/>
            <w:hideMark/>
          </w:tcPr>
          <w:p w14:paraId="12AA2EAB" w14:textId="32F1F026" w:rsidR="003638AA" w:rsidRDefault="00CB3B87" w:rsidP="00CB3B87">
            <w:pPr>
              <w:spacing w:after="120"/>
              <w:jc w:val="right"/>
              <w:rPr>
                <w:rFonts w:ascii="Calibri" w:hAnsi="Calibri" w:cs="Calibri"/>
                <w:color w:val="000000"/>
                <w:sz w:val="16"/>
                <w:szCs w:val="16"/>
              </w:rPr>
            </w:pPr>
            <w:r>
              <w:rPr>
                <w:rFonts w:ascii="Calibri" w:hAnsi="Calibri" w:cs="Calibri"/>
                <w:color w:val="000000"/>
                <w:sz w:val="16"/>
                <w:szCs w:val="16"/>
              </w:rPr>
              <w:t>14.904.156</w:t>
            </w:r>
          </w:p>
        </w:tc>
        <w:tc>
          <w:tcPr>
            <w:tcW w:w="575" w:type="pct"/>
            <w:tcBorders>
              <w:top w:val="nil"/>
              <w:left w:val="nil"/>
              <w:right w:val="nil"/>
            </w:tcBorders>
            <w:shd w:val="clear" w:color="auto" w:fill="auto"/>
            <w:noWrap/>
            <w:vAlign w:val="center"/>
            <w:hideMark/>
          </w:tcPr>
          <w:p w14:paraId="25CD131D" w14:textId="40D15EC6" w:rsidR="003638AA" w:rsidRDefault="009F2530" w:rsidP="003638AA">
            <w:pPr>
              <w:spacing w:after="120"/>
              <w:jc w:val="right"/>
              <w:rPr>
                <w:rFonts w:ascii="Calibri" w:hAnsi="Calibri" w:cs="Calibri"/>
                <w:color w:val="000000"/>
                <w:sz w:val="16"/>
                <w:szCs w:val="16"/>
              </w:rPr>
            </w:pPr>
            <w:r>
              <w:rPr>
                <w:rFonts w:ascii="Calibri" w:hAnsi="Calibri" w:cs="Calibri"/>
                <w:color w:val="000000"/>
                <w:sz w:val="16"/>
                <w:szCs w:val="16"/>
              </w:rPr>
              <w:t>14.120.510</w:t>
            </w:r>
          </w:p>
        </w:tc>
      </w:tr>
      <w:tr w:rsidR="00921B2B" w14:paraId="025499BE" w14:textId="77777777" w:rsidTr="00910934">
        <w:trPr>
          <w:trHeight w:hRule="exact" w:val="227"/>
        </w:trPr>
        <w:tc>
          <w:tcPr>
            <w:tcW w:w="2665" w:type="pct"/>
            <w:tcBorders>
              <w:top w:val="nil"/>
              <w:left w:val="nil"/>
              <w:bottom w:val="single" w:sz="8" w:space="0" w:color="auto"/>
              <w:right w:val="nil"/>
            </w:tcBorders>
            <w:shd w:val="clear" w:color="auto" w:fill="auto"/>
            <w:noWrap/>
            <w:vAlign w:val="center"/>
          </w:tcPr>
          <w:p w14:paraId="4F2AD88E" w14:textId="31FB4859" w:rsidR="00921B2B" w:rsidRPr="00B90CA9" w:rsidRDefault="00921B2B" w:rsidP="003638AA">
            <w:pPr>
              <w:spacing w:after="120"/>
              <w:rPr>
                <w:rFonts w:ascii="Calibri" w:hAnsi="Calibri" w:cs="Calibri"/>
                <w:color w:val="000000"/>
                <w:sz w:val="16"/>
                <w:szCs w:val="16"/>
              </w:rPr>
            </w:pPr>
            <w:r w:rsidRPr="00921B2B">
              <w:rPr>
                <w:rFonts w:ascii="Calibri" w:hAnsi="Calibri" w:cs="Calibri"/>
                <w:color w:val="000000"/>
                <w:sz w:val="16"/>
                <w:szCs w:val="16"/>
              </w:rPr>
              <w:t xml:space="preserve">MIL - Modal de Integração e Logística SPE S/A - </w:t>
            </w:r>
            <w:r>
              <w:rPr>
                <w:rFonts w:ascii="Calibri" w:hAnsi="Calibri" w:cs="Calibri"/>
                <w:color w:val="000000"/>
                <w:sz w:val="16"/>
                <w:szCs w:val="16"/>
              </w:rPr>
              <w:t>0</w:t>
            </w:r>
            <w:r w:rsidRPr="00921B2B">
              <w:rPr>
                <w:rFonts w:ascii="Calibri" w:hAnsi="Calibri" w:cs="Calibri"/>
                <w:color w:val="000000"/>
                <w:sz w:val="16"/>
                <w:szCs w:val="16"/>
              </w:rPr>
              <w:t>1/2022</w:t>
            </w:r>
          </w:p>
        </w:tc>
        <w:tc>
          <w:tcPr>
            <w:tcW w:w="140" w:type="pct"/>
            <w:tcBorders>
              <w:top w:val="nil"/>
              <w:left w:val="nil"/>
              <w:bottom w:val="single" w:sz="8" w:space="0" w:color="auto"/>
              <w:right w:val="nil"/>
            </w:tcBorders>
            <w:shd w:val="clear" w:color="auto" w:fill="auto"/>
            <w:noWrap/>
            <w:vAlign w:val="center"/>
          </w:tcPr>
          <w:p w14:paraId="39C2918F" w14:textId="77777777" w:rsidR="00921B2B" w:rsidRDefault="00921B2B" w:rsidP="003638AA">
            <w:pPr>
              <w:spacing w:after="120"/>
              <w:rPr>
                <w:rFonts w:ascii="Calibri" w:hAnsi="Calibri" w:cs="Calibri"/>
                <w:color w:val="000000"/>
                <w:sz w:val="16"/>
                <w:szCs w:val="16"/>
              </w:rPr>
            </w:pPr>
          </w:p>
        </w:tc>
        <w:tc>
          <w:tcPr>
            <w:tcW w:w="500" w:type="pct"/>
            <w:tcBorders>
              <w:top w:val="nil"/>
              <w:left w:val="nil"/>
              <w:bottom w:val="single" w:sz="8" w:space="0" w:color="auto"/>
              <w:right w:val="nil"/>
            </w:tcBorders>
            <w:shd w:val="clear" w:color="auto" w:fill="auto"/>
            <w:noWrap/>
            <w:vAlign w:val="center"/>
          </w:tcPr>
          <w:p w14:paraId="7856E9D8" w14:textId="77777777" w:rsidR="00921B2B" w:rsidRDefault="00921B2B" w:rsidP="003638AA">
            <w:pPr>
              <w:spacing w:after="120"/>
              <w:rPr>
                <w:rFonts w:ascii="Calibri" w:hAnsi="Calibri" w:cs="Calibri"/>
                <w:color w:val="000000"/>
                <w:sz w:val="16"/>
                <w:szCs w:val="16"/>
              </w:rPr>
            </w:pPr>
          </w:p>
        </w:tc>
        <w:tc>
          <w:tcPr>
            <w:tcW w:w="500" w:type="pct"/>
            <w:tcBorders>
              <w:top w:val="nil"/>
              <w:left w:val="nil"/>
              <w:bottom w:val="single" w:sz="8" w:space="0" w:color="auto"/>
              <w:right w:val="nil"/>
            </w:tcBorders>
            <w:shd w:val="clear" w:color="auto" w:fill="auto"/>
            <w:noWrap/>
            <w:vAlign w:val="center"/>
          </w:tcPr>
          <w:p w14:paraId="39560DF0" w14:textId="77777777" w:rsidR="00921B2B" w:rsidRDefault="00921B2B" w:rsidP="003638AA">
            <w:pPr>
              <w:spacing w:after="120"/>
              <w:jc w:val="right"/>
              <w:rPr>
                <w:rFonts w:ascii="Calibri" w:hAnsi="Calibri" w:cs="Calibri"/>
                <w:b/>
                <w:bCs/>
                <w:color w:val="000000"/>
                <w:sz w:val="16"/>
                <w:szCs w:val="16"/>
              </w:rPr>
            </w:pPr>
          </w:p>
        </w:tc>
        <w:tc>
          <w:tcPr>
            <w:tcW w:w="620" w:type="pct"/>
            <w:tcBorders>
              <w:top w:val="nil"/>
              <w:left w:val="nil"/>
              <w:bottom w:val="single" w:sz="8" w:space="0" w:color="auto"/>
              <w:right w:val="nil"/>
            </w:tcBorders>
            <w:shd w:val="clear" w:color="auto" w:fill="auto"/>
            <w:noWrap/>
            <w:vAlign w:val="center"/>
          </w:tcPr>
          <w:p w14:paraId="35617D71" w14:textId="600AD4C3" w:rsidR="00921B2B" w:rsidRDefault="00921B2B" w:rsidP="00CB3B87">
            <w:pPr>
              <w:spacing w:after="120"/>
              <w:jc w:val="right"/>
              <w:rPr>
                <w:rFonts w:ascii="Calibri" w:hAnsi="Calibri" w:cs="Calibri"/>
                <w:color w:val="000000"/>
                <w:sz w:val="16"/>
                <w:szCs w:val="16"/>
              </w:rPr>
            </w:pPr>
            <w:r>
              <w:rPr>
                <w:rFonts w:ascii="Calibri" w:hAnsi="Calibri" w:cs="Calibri"/>
                <w:color w:val="000000"/>
                <w:sz w:val="16"/>
                <w:szCs w:val="16"/>
              </w:rPr>
              <w:t>9.</w:t>
            </w:r>
            <w:r w:rsidR="00CB3B87">
              <w:rPr>
                <w:rFonts w:ascii="Calibri" w:hAnsi="Calibri" w:cs="Calibri"/>
                <w:color w:val="000000"/>
                <w:sz w:val="16"/>
                <w:szCs w:val="16"/>
              </w:rPr>
              <w:t>326</w:t>
            </w:r>
            <w:r>
              <w:rPr>
                <w:rFonts w:ascii="Calibri" w:hAnsi="Calibri" w:cs="Calibri"/>
                <w:color w:val="000000"/>
                <w:sz w:val="16"/>
                <w:szCs w:val="16"/>
              </w:rPr>
              <w:t>.</w:t>
            </w:r>
            <w:r w:rsidR="00CB3B87">
              <w:rPr>
                <w:rFonts w:ascii="Calibri" w:hAnsi="Calibri" w:cs="Calibri"/>
                <w:color w:val="000000"/>
                <w:sz w:val="16"/>
                <w:szCs w:val="16"/>
              </w:rPr>
              <w:t>354</w:t>
            </w:r>
          </w:p>
        </w:tc>
        <w:tc>
          <w:tcPr>
            <w:tcW w:w="575" w:type="pct"/>
            <w:tcBorders>
              <w:top w:val="nil"/>
              <w:left w:val="nil"/>
              <w:bottom w:val="single" w:sz="8" w:space="0" w:color="auto"/>
              <w:right w:val="nil"/>
            </w:tcBorders>
            <w:shd w:val="clear" w:color="auto" w:fill="auto"/>
            <w:noWrap/>
            <w:vAlign w:val="center"/>
          </w:tcPr>
          <w:p w14:paraId="781615F0" w14:textId="59343F48" w:rsidR="00921B2B" w:rsidRDefault="00DE40D1" w:rsidP="003638AA">
            <w:pPr>
              <w:spacing w:after="120"/>
              <w:jc w:val="right"/>
              <w:rPr>
                <w:rFonts w:ascii="Calibri" w:hAnsi="Calibri" w:cs="Calibri"/>
                <w:color w:val="000000"/>
                <w:sz w:val="16"/>
                <w:szCs w:val="16"/>
              </w:rPr>
            </w:pPr>
            <w:r>
              <w:rPr>
                <w:rFonts w:ascii="Calibri" w:hAnsi="Calibri" w:cs="Calibri"/>
                <w:color w:val="000000"/>
                <w:sz w:val="16"/>
                <w:szCs w:val="16"/>
              </w:rPr>
              <w:t>0</w:t>
            </w:r>
          </w:p>
        </w:tc>
      </w:tr>
      <w:tr w:rsidR="00910934" w14:paraId="2DF68674" w14:textId="77777777" w:rsidTr="00910934">
        <w:trPr>
          <w:trHeight w:hRule="exact" w:val="227"/>
        </w:trPr>
        <w:tc>
          <w:tcPr>
            <w:tcW w:w="2665" w:type="pct"/>
            <w:tcBorders>
              <w:top w:val="nil"/>
              <w:left w:val="nil"/>
              <w:bottom w:val="single" w:sz="8" w:space="0" w:color="auto"/>
              <w:right w:val="nil"/>
            </w:tcBorders>
            <w:shd w:val="clear" w:color="auto" w:fill="auto"/>
            <w:noWrap/>
            <w:vAlign w:val="center"/>
            <w:hideMark/>
          </w:tcPr>
          <w:p w14:paraId="3EFC931E" w14:textId="77777777" w:rsidR="00910934" w:rsidRDefault="00910934" w:rsidP="00937ED9">
            <w:pPr>
              <w:spacing w:after="120"/>
              <w:rPr>
                <w:rFonts w:ascii="Calibri" w:hAnsi="Calibri" w:cs="Calibri"/>
                <w:b/>
                <w:bCs/>
                <w:color w:val="000000"/>
                <w:sz w:val="16"/>
                <w:szCs w:val="16"/>
              </w:rPr>
            </w:pPr>
            <w:r>
              <w:rPr>
                <w:rFonts w:ascii="Calibri" w:hAnsi="Calibri" w:cs="Calibri"/>
                <w:b/>
                <w:bCs/>
                <w:color w:val="000000"/>
                <w:sz w:val="16"/>
                <w:szCs w:val="16"/>
              </w:rPr>
              <w:t>TOTAL</w:t>
            </w:r>
          </w:p>
        </w:tc>
        <w:tc>
          <w:tcPr>
            <w:tcW w:w="140" w:type="pct"/>
            <w:tcBorders>
              <w:top w:val="nil"/>
              <w:left w:val="nil"/>
              <w:bottom w:val="single" w:sz="8" w:space="0" w:color="auto"/>
              <w:right w:val="nil"/>
            </w:tcBorders>
            <w:shd w:val="clear" w:color="auto" w:fill="auto"/>
            <w:noWrap/>
            <w:vAlign w:val="center"/>
            <w:hideMark/>
          </w:tcPr>
          <w:p w14:paraId="7AA4BD56" w14:textId="77777777" w:rsidR="00910934" w:rsidRDefault="00910934" w:rsidP="00937ED9">
            <w:pPr>
              <w:spacing w:after="120"/>
              <w:rPr>
                <w:rFonts w:ascii="Calibri" w:hAnsi="Calibri" w:cs="Calibri"/>
                <w:color w:val="000000"/>
                <w:sz w:val="16"/>
                <w:szCs w:val="16"/>
              </w:rPr>
            </w:pPr>
            <w:r>
              <w:rPr>
                <w:rFonts w:ascii="Calibri" w:hAnsi="Calibri" w:cs="Calibri"/>
                <w:color w:val="000000"/>
                <w:sz w:val="16"/>
                <w:szCs w:val="16"/>
              </w:rPr>
              <w:t> </w:t>
            </w:r>
          </w:p>
        </w:tc>
        <w:tc>
          <w:tcPr>
            <w:tcW w:w="500" w:type="pct"/>
            <w:tcBorders>
              <w:top w:val="nil"/>
              <w:left w:val="nil"/>
              <w:bottom w:val="single" w:sz="8" w:space="0" w:color="auto"/>
              <w:right w:val="nil"/>
            </w:tcBorders>
            <w:shd w:val="clear" w:color="auto" w:fill="auto"/>
            <w:noWrap/>
            <w:vAlign w:val="center"/>
            <w:hideMark/>
          </w:tcPr>
          <w:p w14:paraId="1D008B79" w14:textId="77777777" w:rsidR="00910934" w:rsidRDefault="00910934" w:rsidP="00937ED9">
            <w:pPr>
              <w:spacing w:after="120"/>
              <w:rPr>
                <w:rFonts w:ascii="Calibri" w:hAnsi="Calibri" w:cs="Calibri"/>
                <w:color w:val="000000"/>
                <w:sz w:val="16"/>
                <w:szCs w:val="16"/>
              </w:rPr>
            </w:pPr>
            <w:r>
              <w:rPr>
                <w:rFonts w:ascii="Calibri" w:hAnsi="Calibri" w:cs="Calibri"/>
                <w:color w:val="000000"/>
                <w:sz w:val="16"/>
                <w:szCs w:val="16"/>
              </w:rPr>
              <w:t> </w:t>
            </w:r>
          </w:p>
        </w:tc>
        <w:tc>
          <w:tcPr>
            <w:tcW w:w="500" w:type="pct"/>
            <w:tcBorders>
              <w:top w:val="nil"/>
              <w:left w:val="nil"/>
              <w:bottom w:val="single" w:sz="8" w:space="0" w:color="auto"/>
              <w:right w:val="nil"/>
            </w:tcBorders>
            <w:shd w:val="clear" w:color="auto" w:fill="auto"/>
            <w:noWrap/>
            <w:vAlign w:val="center"/>
            <w:hideMark/>
          </w:tcPr>
          <w:p w14:paraId="38F364EB" w14:textId="77777777" w:rsidR="00910934" w:rsidRDefault="00910934" w:rsidP="00937ED9">
            <w:pPr>
              <w:spacing w:after="120"/>
              <w:jc w:val="right"/>
              <w:rPr>
                <w:rFonts w:ascii="Calibri" w:hAnsi="Calibri" w:cs="Calibri"/>
                <w:b/>
                <w:bCs/>
                <w:color w:val="000000"/>
                <w:sz w:val="16"/>
                <w:szCs w:val="16"/>
              </w:rPr>
            </w:pPr>
            <w:r>
              <w:rPr>
                <w:rFonts w:ascii="Calibri" w:hAnsi="Calibri" w:cs="Calibri"/>
                <w:b/>
                <w:bCs/>
                <w:color w:val="000000"/>
                <w:sz w:val="16"/>
                <w:szCs w:val="16"/>
              </w:rPr>
              <w:t> </w:t>
            </w:r>
          </w:p>
        </w:tc>
        <w:tc>
          <w:tcPr>
            <w:tcW w:w="620" w:type="pct"/>
            <w:tcBorders>
              <w:top w:val="nil"/>
              <w:left w:val="nil"/>
              <w:bottom w:val="single" w:sz="8" w:space="0" w:color="auto"/>
              <w:right w:val="nil"/>
            </w:tcBorders>
            <w:shd w:val="clear" w:color="auto" w:fill="auto"/>
            <w:noWrap/>
            <w:vAlign w:val="center"/>
            <w:hideMark/>
          </w:tcPr>
          <w:p w14:paraId="6C735B8B" w14:textId="02089D32" w:rsidR="00910934" w:rsidRDefault="00CB3B87" w:rsidP="00CB3B87">
            <w:pPr>
              <w:spacing w:after="120"/>
              <w:jc w:val="right"/>
              <w:rPr>
                <w:rFonts w:ascii="Calibri" w:hAnsi="Calibri" w:cs="Calibri"/>
                <w:b/>
                <w:bCs/>
                <w:color w:val="000000"/>
                <w:sz w:val="16"/>
                <w:szCs w:val="16"/>
              </w:rPr>
            </w:pPr>
            <w:r>
              <w:rPr>
                <w:rFonts w:ascii="Calibri" w:hAnsi="Calibri" w:cs="Calibri"/>
                <w:b/>
                <w:bCs/>
                <w:color w:val="000000"/>
                <w:sz w:val="16"/>
                <w:szCs w:val="16"/>
              </w:rPr>
              <w:t>54.486.329</w:t>
            </w:r>
          </w:p>
        </w:tc>
        <w:tc>
          <w:tcPr>
            <w:tcW w:w="575" w:type="pct"/>
            <w:tcBorders>
              <w:top w:val="nil"/>
              <w:left w:val="nil"/>
              <w:bottom w:val="single" w:sz="8" w:space="0" w:color="auto"/>
              <w:right w:val="nil"/>
            </w:tcBorders>
            <w:shd w:val="clear" w:color="auto" w:fill="auto"/>
            <w:noWrap/>
            <w:vAlign w:val="center"/>
            <w:hideMark/>
          </w:tcPr>
          <w:p w14:paraId="208BCAF9" w14:textId="536E841B" w:rsidR="00910934" w:rsidRDefault="009F2530" w:rsidP="00937ED9">
            <w:pPr>
              <w:spacing w:after="120"/>
              <w:jc w:val="right"/>
              <w:rPr>
                <w:rFonts w:ascii="Calibri" w:hAnsi="Calibri" w:cs="Calibri"/>
                <w:b/>
                <w:bCs/>
                <w:color w:val="000000"/>
                <w:sz w:val="16"/>
                <w:szCs w:val="16"/>
              </w:rPr>
            </w:pPr>
            <w:r>
              <w:rPr>
                <w:rFonts w:ascii="Calibri" w:hAnsi="Calibri" w:cs="Calibri"/>
                <w:b/>
                <w:bCs/>
                <w:color w:val="000000"/>
                <w:sz w:val="16"/>
                <w:szCs w:val="16"/>
              </w:rPr>
              <w:t>43.257.154</w:t>
            </w:r>
          </w:p>
        </w:tc>
      </w:tr>
    </w:tbl>
    <w:p w14:paraId="3CD9C0A2" w14:textId="096A4AB4" w:rsidR="005407E6" w:rsidRPr="002E2B5B" w:rsidRDefault="00D22F5E" w:rsidP="00042306">
      <w:pPr>
        <w:spacing w:before="240" w:after="120"/>
        <w:rPr>
          <w:rFonts w:ascii="Calibri" w:hAnsi="Calibri" w:cs="Calibri"/>
          <w:b/>
          <w:sz w:val="22"/>
          <w:szCs w:val="22"/>
        </w:rPr>
      </w:pPr>
      <w:r w:rsidRPr="002E2B5B">
        <w:rPr>
          <w:rFonts w:ascii="Calibri" w:hAnsi="Calibri" w:cs="Calibri"/>
          <w:b/>
          <w:sz w:val="22"/>
          <w:szCs w:val="22"/>
        </w:rPr>
        <w:t xml:space="preserve">NOTA </w:t>
      </w:r>
      <w:r w:rsidR="008619B2">
        <w:rPr>
          <w:rFonts w:ascii="Calibri" w:hAnsi="Calibri" w:cs="Calibri"/>
          <w:b/>
          <w:sz w:val="22"/>
          <w:szCs w:val="22"/>
        </w:rPr>
        <w:t>7</w:t>
      </w:r>
      <w:r w:rsidRPr="002E2B5B">
        <w:rPr>
          <w:rFonts w:ascii="Calibri" w:hAnsi="Calibri" w:cs="Calibri"/>
          <w:b/>
          <w:sz w:val="22"/>
          <w:szCs w:val="22"/>
        </w:rPr>
        <w:t xml:space="preserve"> </w:t>
      </w:r>
      <w:r w:rsidR="005407E6" w:rsidRPr="002E2B5B">
        <w:rPr>
          <w:rFonts w:ascii="Calibri" w:hAnsi="Calibri" w:cs="Calibri"/>
          <w:b/>
          <w:sz w:val="22"/>
          <w:szCs w:val="22"/>
        </w:rPr>
        <w:t xml:space="preserve">– </w:t>
      </w:r>
      <w:r w:rsidR="00FE7C5D" w:rsidRPr="002E2B5B">
        <w:rPr>
          <w:rFonts w:ascii="Calibri" w:hAnsi="Calibri" w:cs="Calibri"/>
          <w:b/>
          <w:sz w:val="22"/>
          <w:szCs w:val="22"/>
        </w:rPr>
        <w:t>INVESTIMENTO</w:t>
      </w:r>
    </w:p>
    <w:tbl>
      <w:tblPr>
        <w:tblW w:w="5041" w:type="pct"/>
        <w:jc w:val="center"/>
        <w:tblLook w:val="04A0" w:firstRow="1" w:lastRow="0" w:firstColumn="1" w:lastColumn="0" w:noHBand="0" w:noVBand="1"/>
      </w:tblPr>
      <w:tblGrid>
        <w:gridCol w:w="1386"/>
        <w:gridCol w:w="163"/>
        <w:gridCol w:w="1182"/>
        <w:gridCol w:w="156"/>
        <w:gridCol w:w="981"/>
        <w:gridCol w:w="154"/>
        <w:gridCol w:w="665"/>
        <w:gridCol w:w="154"/>
        <w:gridCol w:w="967"/>
        <w:gridCol w:w="154"/>
        <w:gridCol w:w="874"/>
        <w:gridCol w:w="154"/>
        <w:gridCol w:w="561"/>
        <w:gridCol w:w="154"/>
        <w:gridCol w:w="785"/>
        <w:gridCol w:w="154"/>
        <w:gridCol w:w="561"/>
        <w:gridCol w:w="154"/>
        <w:gridCol w:w="87"/>
        <w:gridCol w:w="154"/>
        <w:gridCol w:w="564"/>
        <w:gridCol w:w="154"/>
        <w:gridCol w:w="87"/>
        <w:gridCol w:w="148"/>
      </w:tblGrid>
      <w:tr w:rsidR="00623ED3" w:rsidRPr="002E2B5B" w14:paraId="0A9E4C27" w14:textId="77777777" w:rsidTr="00910934">
        <w:trPr>
          <w:gridAfter w:val="1"/>
          <w:wAfter w:w="70" w:type="pct"/>
          <w:trHeight w:hRule="exact" w:val="536"/>
          <w:jc w:val="center"/>
        </w:trPr>
        <w:tc>
          <w:tcPr>
            <w:tcW w:w="657" w:type="pct"/>
            <w:tcBorders>
              <w:bottom w:val="single" w:sz="4" w:space="0" w:color="auto"/>
            </w:tcBorders>
            <w:noWrap/>
            <w:vAlign w:val="center"/>
            <w:hideMark/>
          </w:tcPr>
          <w:p w14:paraId="08BFD5AE" w14:textId="77777777" w:rsidR="001A123C" w:rsidRPr="002E2B5B" w:rsidRDefault="001A123C" w:rsidP="00937ED9">
            <w:pPr>
              <w:spacing w:after="120"/>
              <w:jc w:val="right"/>
              <w:rPr>
                <w:rFonts w:ascii="Calibri" w:hAnsi="Calibri" w:cs="Calibri"/>
                <w:b/>
                <w:bCs/>
                <w:sz w:val="16"/>
                <w:szCs w:val="16"/>
              </w:rPr>
            </w:pPr>
            <w:r w:rsidRPr="002E2B5B">
              <w:rPr>
                <w:rFonts w:ascii="Calibri" w:hAnsi="Calibri" w:cs="Calibri"/>
                <w:b/>
                <w:bCs/>
                <w:sz w:val="16"/>
                <w:szCs w:val="16"/>
              </w:rPr>
              <w:t>INVESTIDAS</w:t>
            </w:r>
          </w:p>
        </w:tc>
        <w:tc>
          <w:tcPr>
            <w:tcW w:w="637" w:type="pct"/>
            <w:gridSpan w:val="2"/>
            <w:tcBorders>
              <w:bottom w:val="single" w:sz="4" w:space="0" w:color="auto"/>
            </w:tcBorders>
            <w:vAlign w:val="center"/>
            <w:hideMark/>
          </w:tcPr>
          <w:p w14:paraId="42752AFC" w14:textId="299F9B49" w:rsidR="001A123C" w:rsidRPr="002E2B5B" w:rsidRDefault="001A123C" w:rsidP="00937ED9">
            <w:pPr>
              <w:spacing w:after="120"/>
              <w:jc w:val="right"/>
              <w:rPr>
                <w:rFonts w:ascii="Calibri" w:hAnsi="Calibri" w:cs="Calibri"/>
                <w:b/>
                <w:bCs/>
                <w:sz w:val="16"/>
                <w:szCs w:val="16"/>
              </w:rPr>
            </w:pPr>
            <w:r w:rsidRPr="002E2B5B">
              <w:rPr>
                <w:rFonts w:ascii="Calibri" w:hAnsi="Calibri" w:cs="Calibri"/>
                <w:b/>
                <w:bCs/>
                <w:sz w:val="16"/>
                <w:szCs w:val="16"/>
              </w:rPr>
              <w:t>SALDO EM 31/12/20</w:t>
            </w:r>
            <w:r w:rsidR="00317348">
              <w:rPr>
                <w:rFonts w:ascii="Calibri" w:hAnsi="Calibri" w:cs="Calibri"/>
                <w:b/>
                <w:bCs/>
                <w:sz w:val="16"/>
                <w:szCs w:val="16"/>
              </w:rPr>
              <w:t>2</w:t>
            </w:r>
            <w:r w:rsidR="00BD67AF">
              <w:rPr>
                <w:rFonts w:ascii="Calibri" w:hAnsi="Calibri" w:cs="Calibri"/>
                <w:b/>
                <w:bCs/>
                <w:sz w:val="16"/>
                <w:szCs w:val="16"/>
              </w:rPr>
              <w:t>1</w:t>
            </w:r>
          </w:p>
        </w:tc>
        <w:tc>
          <w:tcPr>
            <w:tcW w:w="539" w:type="pct"/>
            <w:gridSpan w:val="2"/>
            <w:tcBorders>
              <w:bottom w:val="single" w:sz="4" w:space="0" w:color="auto"/>
            </w:tcBorders>
            <w:vAlign w:val="center"/>
            <w:hideMark/>
          </w:tcPr>
          <w:p w14:paraId="23FED6EC" w14:textId="77777777" w:rsidR="001A123C" w:rsidRPr="002E2B5B" w:rsidRDefault="001A123C" w:rsidP="00937ED9">
            <w:pPr>
              <w:spacing w:after="120"/>
              <w:jc w:val="right"/>
              <w:rPr>
                <w:rFonts w:ascii="Calibri" w:hAnsi="Calibri" w:cs="Calibri"/>
                <w:b/>
                <w:bCs/>
                <w:sz w:val="16"/>
                <w:szCs w:val="16"/>
              </w:rPr>
            </w:pPr>
            <w:r w:rsidRPr="002E2B5B">
              <w:rPr>
                <w:rFonts w:ascii="Calibri" w:hAnsi="Calibri" w:cs="Calibri"/>
                <w:b/>
                <w:bCs/>
                <w:sz w:val="16"/>
                <w:szCs w:val="16"/>
              </w:rPr>
              <w:t>RESULT. MEP</w:t>
            </w:r>
          </w:p>
        </w:tc>
        <w:tc>
          <w:tcPr>
            <w:tcW w:w="388" w:type="pct"/>
            <w:gridSpan w:val="2"/>
            <w:tcBorders>
              <w:bottom w:val="single" w:sz="4" w:space="0" w:color="auto"/>
            </w:tcBorders>
            <w:vAlign w:val="center"/>
            <w:hideMark/>
          </w:tcPr>
          <w:p w14:paraId="0287D941" w14:textId="77777777" w:rsidR="001A123C" w:rsidRPr="002E2B5B" w:rsidRDefault="001A123C" w:rsidP="00937ED9">
            <w:pPr>
              <w:spacing w:after="120"/>
              <w:jc w:val="right"/>
              <w:rPr>
                <w:rFonts w:ascii="Calibri" w:hAnsi="Calibri" w:cs="Calibri"/>
                <w:b/>
                <w:bCs/>
                <w:sz w:val="16"/>
                <w:szCs w:val="16"/>
              </w:rPr>
            </w:pPr>
            <w:r w:rsidRPr="002E2B5B">
              <w:rPr>
                <w:rFonts w:ascii="Calibri" w:hAnsi="Calibri" w:cs="Calibri"/>
                <w:b/>
                <w:bCs/>
                <w:sz w:val="16"/>
                <w:szCs w:val="16"/>
              </w:rPr>
              <w:t>APORTE</w:t>
            </w:r>
          </w:p>
        </w:tc>
        <w:tc>
          <w:tcPr>
            <w:tcW w:w="531" w:type="pct"/>
            <w:gridSpan w:val="2"/>
            <w:tcBorders>
              <w:bottom w:val="single" w:sz="4" w:space="0" w:color="auto"/>
            </w:tcBorders>
            <w:vAlign w:val="center"/>
            <w:hideMark/>
          </w:tcPr>
          <w:p w14:paraId="30A64AF6" w14:textId="7FA39E71" w:rsidR="001A123C" w:rsidRPr="002E2B5B" w:rsidRDefault="001A123C" w:rsidP="00937ED9">
            <w:pPr>
              <w:spacing w:after="120"/>
              <w:jc w:val="right"/>
              <w:rPr>
                <w:rFonts w:ascii="Calibri" w:hAnsi="Calibri" w:cs="Calibri"/>
                <w:b/>
                <w:bCs/>
                <w:sz w:val="16"/>
                <w:szCs w:val="16"/>
              </w:rPr>
            </w:pPr>
            <w:r w:rsidRPr="002E2B5B">
              <w:rPr>
                <w:rFonts w:ascii="Calibri" w:hAnsi="Calibri" w:cs="Calibri"/>
                <w:b/>
                <w:bCs/>
                <w:sz w:val="16"/>
                <w:szCs w:val="16"/>
              </w:rPr>
              <w:t xml:space="preserve">SALDO EM </w:t>
            </w:r>
            <w:r w:rsidR="000E5694">
              <w:rPr>
                <w:rFonts w:ascii="Calibri" w:hAnsi="Calibri" w:cs="Calibri"/>
                <w:b/>
                <w:bCs/>
                <w:sz w:val="16"/>
                <w:szCs w:val="16"/>
              </w:rPr>
              <w:t>3</w:t>
            </w:r>
            <w:r w:rsidR="00CE548A">
              <w:rPr>
                <w:rFonts w:ascii="Calibri" w:hAnsi="Calibri" w:cs="Calibri"/>
                <w:b/>
                <w:bCs/>
                <w:sz w:val="16"/>
                <w:szCs w:val="16"/>
              </w:rPr>
              <w:t>0</w:t>
            </w:r>
            <w:r w:rsidR="000E5694">
              <w:rPr>
                <w:rFonts w:ascii="Calibri" w:hAnsi="Calibri" w:cs="Calibri"/>
                <w:b/>
                <w:bCs/>
                <w:sz w:val="16"/>
                <w:szCs w:val="16"/>
              </w:rPr>
              <w:t>/</w:t>
            </w:r>
            <w:r w:rsidR="00BD67AF">
              <w:rPr>
                <w:rFonts w:ascii="Calibri" w:hAnsi="Calibri" w:cs="Calibri"/>
                <w:b/>
                <w:bCs/>
                <w:sz w:val="16"/>
                <w:szCs w:val="16"/>
              </w:rPr>
              <w:t>0</w:t>
            </w:r>
            <w:r w:rsidR="00CE548A">
              <w:rPr>
                <w:rFonts w:ascii="Calibri" w:hAnsi="Calibri" w:cs="Calibri"/>
                <w:b/>
                <w:bCs/>
                <w:sz w:val="16"/>
                <w:szCs w:val="16"/>
              </w:rPr>
              <w:t>6</w:t>
            </w:r>
            <w:r w:rsidRPr="002E2B5B">
              <w:rPr>
                <w:rFonts w:ascii="Calibri" w:hAnsi="Calibri" w:cs="Calibri"/>
                <w:b/>
                <w:bCs/>
                <w:sz w:val="16"/>
                <w:szCs w:val="16"/>
              </w:rPr>
              <w:t>/20</w:t>
            </w:r>
            <w:r w:rsidR="007E07A3" w:rsidRPr="002E2B5B">
              <w:rPr>
                <w:rFonts w:ascii="Calibri" w:hAnsi="Calibri" w:cs="Calibri"/>
                <w:b/>
                <w:bCs/>
                <w:sz w:val="16"/>
                <w:szCs w:val="16"/>
              </w:rPr>
              <w:t>2</w:t>
            </w:r>
            <w:r w:rsidR="00BD67AF">
              <w:rPr>
                <w:rFonts w:ascii="Calibri" w:hAnsi="Calibri" w:cs="Calibri"/>
                <w:b/>
                <w:bCs/>
                <w:sz w:val="16"/>
                <w:szCs w:val="16"/>
              </w:rPr>
              <w:t>2</w:t>
            </w:r>
          </w:p>
        </w:tc>
        <w:tc>
          <w:tcPr>
            <w:tcW w:w="487" w:type="pct"/>
            <w:gridSpan w:val="2"/>
            <w:tcBorders>
              <w:bottom w:val="single" w:sz="4" w:space="0" w:color="auto"/>
            </w:tcBorders>
            <w:vAlign w:val="center"/>
            <w:hideMark/>
          </w:tcPr>
          <w:p w14:paraId="7696899F" w14:textId="77777777" w:rsidR="001A123C" w:rsidRPr="002E2B5B" w:rsidRDefault="001A123C" w:rsidP="00937ED9">
            <w:pPr>
              <w:spacing w:after="120"/>
              <w:jc w:val="right"/>
              <w:rPr>
                <w:rFonts w:ascii="Calibri" w:hAnsi="Calibri" w:cs="Calibri"/>
                <w:b/>
                <w:bCs/>
                <w:sz w:val="16"/>
                <w:szCs w:val="16"/>
              </w:rPr>
            </w:pPr>
            <w:r w:rsidRPr="002E2B5B">
              <w:rPr>
                <w:rFonts w:ascii="Calibri" w:hAnsi="Calibri" w:cs="Calibri"/>
                <w:b/>
                <w:bCs/>
                <w:sz w:val="16"/>
                <w:szCs w:val="16"/>
              </w:rPr>
              <w:t>QTD DE AÇÕES PN</w:t>
            </w:r>
          </w:p>
        </w:tc>
        <w:tc>
          <w:tcPr>
            <w:tcW w:w="339" w:type="pct"/>
            <w:gridSpan w:val="2"/>
            <w:tcBorders>
              <w:bottom w:val="single" w:sz="4" w:space="0" w:color="auto"/>
            </w:tcBorders>
            <w:vAlign w:val="center"/>
            <w:hideMark/>
          </w:tcPr>
          <w:p w14:paraId="082A89D5" w14:textId="77777777" w:rsidR="001A123C" w:rsidRPr="002E2B5B" w:rsidRDefault="001A123C" w:rsidP="00937ED9">
            <w:pPr>
              <w:spacing w:after="120"/>
              <w:jc w:val="right"/>
              <w:rPr>
                <w:rFonts w:ascii="Calibri" w:hAnsi="Calibri" w:cs="Calibri"/>
                <w:b/>
                <w:bCs/>
                <w:sz w:val="16"/>
                <w:szCs w:val="16"/>
              </w:rPr>
            </w:pPr>
            <w:r w:rsidRPr="002E2B5B">
              <w:rPr>
                <w:rFonts w:ascii="Calibri" w:hAnsi="Calibri" w:cs="Calibri"/>
                <w:b/>
                <w:bCs/>
                <w:sz w:val="16"/>
                <w:szCs w:val="16"/>
              </w:rPr>
              <w:t>AÇÕES PN (%)</w:t>
            </w:r>
          </w:p>
        </w:tc>
        <w:tc>
          <w:tcPr>
            <w:tcW w:w="445" w:type="pct"/>
            <w:gridSpan w:val="2"/>
            <w:tcBorders>
              <w:bottom w:val="single" w:sz="4" w:space="0" w:color="auto"/>
            </w:tcBorders>
            <w:vAlign w:val="center"/>
            <w:hideMark/>
          </w:tcPr>
          <w:p w14:paraId="62F66799" w14:textId="77777777" w:rsidR="001A123C" w:rsidRPr="002E2B5B" w:rsidRDefault="001A123C" w:rsidP="00937ED9">
            <w:pPr>
              <w:spacing w:after="120"/>
              <w:jc w:val="right"/>
              <w:rPr>
                <w:rFonts w:ascii="Calibri" w:hAnsi="Calibri" w:cs="Calibri"/>
                <w:b/>
                <w:bCs/>
                <w:sz w:val="16"/>
                <w:szCs w:val="16"/>
              </w:rPr>
            </w:pPr>
            <w:r w:rsidRPr="002E2B5B">
              <w:rPr>
                <w:rFonts w:ascii="Calibri" w:hAnsi="Calibri" w:cs="Calibri"/>
                <w:b/>
                <w:bCs/>
                <w:sz w:val="16"/>
                <w:szCs w:val="16"/>
              </w:rPr>
              <w:t>QTD DE AÇÕES ON</w:t>
            </w:r>
          </w:p>
        </w:tc>
        <w:tc>
          <w:tcPr>
            <w:tcW w:w="339" w:type="pct"/>
            <w:gridSpan w:val="2"/>
            <w:tcBorders>
              <w:bottom w:val="single" w:sz="4" w:space="0" w:color="auto"/>
            </w:tcBorders>
            <w:vAlign w:val="center"/>
            <w:hideMark/>
          </w:tcPr>
          <w:p w14:paraId="21F153C4" w14:textId="77777777" w:rsidR="001A123C" w:rsidRPr="002E2B5B" w:rsidRDefault="001A123C" w:rsidP="00937ED9">
            <w:pPr>
              <w:spacing w:after="120"/>
              <w:jc w:val="right"/>
              <w:rPr>
                <w:rFonts w:ascii="Calibri" w:hAnsi="Calibri" w:cs="Calibri"/>
                <w:b/>
                <w:bCs/>
                <w:sz w:val="16"/>
                <w:szCs w:val="16"/>
              </w:rPr>
            </w:pPr>
            <w:r w:rsidRPr="002E2B5B">
              <w:rPr>
                <w:rFonts w:ascii="Calibri" w:hAnsi="Calibri" w:cs="Calibri"/>
                <w:b/>
                <w:bCs/>
                <w:sz w:val="16"/>
                <w:szCs w:val="16"/>
              </w:rPr>
              <w:t>AÇÕES ON (%)</w:t>
            </w:r>
          </w:p>
        </w:tc>
        <w:tc>
          <w:tcPr>
            <w:tcW w:w="114" w:type="pct"/>
            <w:gridSpan w:val="2"/>
            <w:tcBorders>
              <w:bottom w:val="single" w:sz="4" w:space="0" w:color="auto"/>
            </w:tcBorders>
            <w:vAlign w:val="center"/>
          </w:tcPr>
          <w:p w14:paraId="4227515B" w14:textId="77777777" w:rsidR="001A123C" w:rsidRPr="002E2B5B" w:rsidRDefault="001A123C" w:rsidP="00937ED9">
            <w:pPr>
              <w:spacing w:after="120"/>
              <w:jc w:val="right"/>
              <w:rPr>
                <w:rFonts w:ascii="Calibri" w:hAnsi="Calibri" w:cs="Calibri"/>
                <w:b/>
                <w:bCs/>
                <w:sz w:val="16"/>
                <w:szCs w:val="16"/>
              </w:rPr>
            </w:pPr>
          </w:p>
        </w:tc>
        <w:tc>
          <w:tcPr>
            <w:tcW w:w="340" w:type="pct"/>
            <w:gridSpan w:val="2"/>
            <w:tcBorders>
              <w:bottom w:val="single" w:sz="4" w:space="0" w:color="auto"/>
            </w:tcBorders>
            <w:vAlign w:val="center"/>
          </w:tcPr>
          <w:p w14:paraId="7968F103" w14:textId="77777777" w:rsidR="001A123C" w:rsidRPr="002E2B5B" w:rsidRDefault="001A123C" w:rsidP="00937ED9">
            <w:pPr>
              <w:spacing w:after="120"/>
              <w:jc w:val="right"/>
              <w:rPr>
                <w:rFonts w:ascii="Calibri" w:hAnsi="Calibri" w:cs="Calibri"/>
                <w:b/>
                <w:bCs/>
                <w:sz w:val="16"/>
                <w:szCs w:val="16"/>
              </w:rPr>
            </w:pPr>
            <w:r w:rsidRPr="002E2B5B">
              <w:rPr>
                <w:rFonts w:ascii="Calibri" w:hAnsi="Calibri" w:cs="Calibri"/>
                <w:b/>
                <w:bCs/>
                <w:sz w:val="16"/>
                <w:szCs w:val="16"/>
              </w:rPr>
              <w:t>AÇÕES TOTAL (%)</w:t>
            </w:r>
          </w:p>
        </w:tc>
        <w:tc>
          <w:tcPr>
            <w:tcW w:w="114" w:type="pct"/>
            <w:gridSpan w:val="2"/>
            <w:tcBorders>
              <w:bottom w:val="single" w:sz="4" w:space="0" w:color="auto"/>
            </w:tcBorders>
            <w:vAlign w:val="center"/>
          </w:tcPr>
          <w:p w14:paraId="49F301F1" w14:textId="77777777" w:rsidR="001A123C" w:rsidRPr="002E2B5B" w:rsidRDefault="001A123C" w:rsidP="00937ED9">
            <w:pPr>
              <w:spacing w:after="120"/>
              <w:jc w:val="right"/>
              <w:rPr>
                <w:rFonts w:ascii="Calibri" w:hAnsi="Calibri" w:cs="Calibri"/>
                <w:b/>
                <w:bCs/>
                <w:sz w:val="16"/>
                <w:szCs w:val="16"/>
              </w:rPr>
            </w:pPr>
          </w:p>
        </w:tc>
      </w:tr>
      <w:tr w:rsidR="00623ED3" w:rsidRPr="002E2B5B" w14:paraId="7D036C04" w14:textId="77777777" w:rsidTr="00C34E8D">
        <w:trPr>
          <w:trHeight w:hRule="exact" w:val="227"/>
          <w:jc w:val="center"/>
        </w:trPr>
        <w:tc>
          <w:tcPr>
            <w:tcW w:w="734" w:type="pct"/>
            <w:gridSpan w:val="2"/>
            <w:tcBorders>
              <w:top w:val="single" w:sz="4" w:space="0" w:color="auto"/>
            </w:tcBorders>
            <w:vAlign w:val="center"/>
            <w:hideMark/>
          </w:tcPr>
          <w:p w14:paraId="75DC2039" w14:textId="77777777" w:rsidR="001A123C" w:rsidRPr="002E2B5B" w:rsidRDefault="001A123C" w:rsidP="00937ED9">
            <w:pPr>
              <w:spacing w:after="120"/>
              <w:jc w:val="right"/>
              <w:rPr>
                <w:rFonts w:ascii="Calibri" w:hAnsi="Calibri" w:cs="Calibri"/>
                <w:sz w:val="16"/>
                <w:szCs w:val="16"/>
              </w:rPr>
            </w:pPr>
            <w:r w:rsidRPr="002E2B5B">
              <w:rPr>
                <w:rFonts w:ascii="Calibri" w:hAnsi="Calibri" w:cs="Calibri"/>
                <w:sz w:val="16"/>
                <w:szCs w:val="16"/>
              </w:rPr>
              <w:t>Estrada de Ferro Paraná Oeste S/A</w:t>
            </w:r>
          </w:p>
        </w:tc>
        <w:tc>
          <w:tcPr>
            <w:tcW w:w="634" w:type="pct"/>
            <w:gridSpan w:val="2"/>
            <w:tcBorders>
              <w:top w:val="single" w:sz="4" w:space="0" w:color="auto"/>
            </w:tcBorders>
            <w:noWrap/>
            <w:vAlign w:val="center"/>
            <w:hideMark/>
          </w:tcPr>
          <w:p w14:paraId="18CD236B" w14:textId="77777777" w:rsidR="001A123C" w:rsidRPr="002E2B5B" w:rsidRDefault="001A123C" w:rsidP="00937ED9">
            <w:pPr>
              <w:spacing w:after="120"/>
              <w:jc w:val="right"/>
              <w:rPr>
                <w:rFonts w:ascii="Calibri" w:hAnsi="Calibri" w:cs="Calibri"/>
                <w:sz w:val="16"/>
                <w:szCs w:val="16"/>
              </w:rPr>
            </w:pPr>
            <w:r w:rsidRPr="002E2B5B">
              <w:rPr>
                <w:rFonts w:ascii="Calibri" w:hAnsi="Calibri" w:cs="Calibri"/>
                <w:sz w:val="16"/>
                <w:szCs w:val="16"/>
              </w:rPr>
              <w:t>26.278</w:t>
            </w:r>
          </w:p>
        </w:tc>
        <w:tc>
          <w:tcPr>
            <w:tcW w:w="538" w:type="pct"/>
            <w:gridSpan w:val="2"/>
            <w:tcBorders>
              <w:top w:val="single" w:sz="4" w:space="0" w:color="auto"/>
            </w:tcBorders>
            <w:noWrap/>
            <w:vAlign w:val="center"/>
            <w:hideMark/>
          </w:tcPr>
          <w:p w14:paraId="10D48B54" w14:textId="77777777" w:rsidR="001A123C" w:rsidRPr="002E2B5B" w:rsidRDefault="00965911" w:rsidP="00937ED9">
            <w:pPr>
              <w:spacing w:after="120"/>
              <w:jc w:val="right"/>
              <w:rPr>
                <w:rFonts w:ascii="Calibri" w:hAnsi="Calibri" w:cs="Calibri"/>
                <w:sz w:val="16"/>
                <w:szCs w:val="16"/>
              </w:rPr>
            </w:pPr>
            <w:r w:rsidRPr="002E2B5B">
              <w:rPr>
                <w:rFonts w:ascii="Calibri" w:hAnsi="Calibri" w:cs="Calibri"/>
                <w:sz w:val="16"/>
                <w:szCs w:val="16"/>
              </w:rPr>
              <w:t>-</w:t>
            </w:r>
          </w:p>
        </w:tc>
        <w:tc>
          <w:tcPr>
            <w:tcW w:w="388" w:type="pct"/>
            <w:gridSpan w:val="2"/>
            <w:tcBorders>
              <w:top w:val="single" w:sz="4" w:space="0" w:color="auto"/>
            </w:tcBorders>
            <w:noWrap/>
            <w:vAlign w:val="center"/>
            <w:hideMark/>
          </w:tcPr>
          <w:p w14:paraId="44F1C59F" w14:textId="77777777" w:rsidR="001A123C" w:rsidRPr="002E2B5B" w:rsidRDefault="001A123C" w:rsidP="00937ED9">
            <w:pPr>
              <w:spacing w:after="120"/>
              <w:jc w:val="right"/>
              <w:rPr>
                <w:rFonts w:ascii="Calibri" w:hAnsi="Calibri" w:cs="Calibri"/>
                <w:sz w:val="16"/>
                <w:szCs w:val="16"/>
              </w:rPr>
            </w:pPr>
            <w:r w:rsidRPr="002E2B5B">
              <w:rPr>
                <w:rFonts w:ascii="Calibri" w:hAnsi="Calibri" w:cs="Calibri"/>
                <w:sz w:val="16"/>
                <w:szCs w:val="16"/>
              </w:rPr>
              <w:t>0</w:t>
            </w:r>
          </w:p>
        </w:tc>
        <w:tc>
          <w:tcPr>
            <w:tcW w:w="531" w:type="pct"/>
            <w:gridSpan w:val="2"/>
            <w:tcBorders>
              <w:top w:val="single" w:sz="4" w:space="0" w:color="auto"/>
            </w:tcBorders>
            <w:noWrap/>
            <w:vAlign w:val="center"/>
            <w:hideMark/>
          </w:tcPr>
          <w:p w14:paraId="0A372FC5" w14:textId="7CECFF46" w:rsidR="001A123C" w:rsidRPr="002E2B5B" w:rsidRDefault="00910934" w:rsidP="00937ED9">
            <w:pPr>
              <w:spacing w:after="120"/>
              <w:jc w:val="right"/>
              <w:rPr>
                <w:rFonts w:ascii="Calibri" w:hAnsi="Calibri" w:cs="Calibri"/>
                <w:sz w:val="16"/>
                <w:szCs w:val="16"/>
              </w:rPr>
            </w:pPr>
            <w:r>
              <w:rPr>
                <w:rFonts w:ascii="Calibri" w:hAnsi="Calibri" w:cs="Calibri"/>
                <w:sz w:val="16"/>
                <w:szCs w:val="16"/>
              </w:rPr>
              <w:t>26.278</w:t>
            </w:r>
          </w:p>
          <w:p w14:paraId="0230453A" w14:textId="77777777" w:rsidR="001A123C" w:rsidRPr="002E2B5B" w:rsidRDefault="001A123C" w:rsidP="00937ED9">
            <w:pPr>
              <w:spacing w:after="120"/>
              <w:jc w:val="right"/>
              <w:rPr>
                <w:rFonts w:ascii="Calibri" w:hAnsi="Calibri" w:cs="Calibri"/>
                <w:sz w:val="16"/>
                <w:szCs w:val="16"/>
              </w:rPr>
            </w:pPr>
            <w:r w:rsidRPr="002E2B5B">
              <w:rPr>
                <w:rFonts w:ascii="Calibri" w:hAnsi="Calibri" w:cs="Calibri"/>
                <w:sz w:val="16"/>
                <w:szCs w:val="16"/>
              </w:rPr>
              <w:t>26.278</w:t>
            </w:r>
          </w:p>
        </w:tc>
        <w:tc>
          <w:tcPr>
            <w:tcW w:w="487" w:type="pct"/>
            <w:gridSpan w:val="2"/>
            <w:tcBorders>
              <w:top w:val="single" w:sz="4" w:space="0" w:color="auto"/>
            </w:tcBorders>
            <w:noWrap/>
            <w:vAlign w:val="center"/>
            <w:hideMark/>
          </w:tcPr>
          <w:p w14:paraId="10DC7F71" w14:textId="77777777" w:rsidR="001A123C" w:rsidRPr="002E2B5B" w:rsidRDefault="001A123C" w:rsidP="00937ED9">
            <w:pPr>
              <w:spacing w:after="120"/>
              <w:jc w:val="right"/>
              <w:rPr>
                <w:rFonts w:ascii="Calibri" w:hAnsi="Calibri" w:cs="Calibri"/>
                <w:sz w:val="16"/>
                <w:szCs w:val="16"/>
              </w:rPr>
            </w:pPr>
            <w:r w:rsidRPr="002E2B5B">
              <w:rPr>
                <w:rFonts w:ascii="Calibri" w:hAnsi="Calibri" w:cs="Calibri"/>
                <w:sz w:val="16"/>
                <w:szCs w:val="16"/>
              </w:rPr>
              <w:t>0</w:t>
            </w:r>
          </w:p>
        </w:tc>
        <w:tc>
          <w:tcPr>
            <w:tcW w:w="339" w:type="pct"/>
            <w:gridSpan w:val="2"/>
            <w:tcBorders>
              <w:top w:val="single" w:sz="4" w:space="0" w:color="auto"/>
            </w:tcBorders>
            <w:noWrap/>
            <w:vAlign w:val="center"/>
            <w:hideMark/>
          </w:tcPr>
          <w:p w14:paraId="7611BC76" w14:textId="77777777" w:rsidR="001A123C" w:rsidRPr="002E2B5B" w:rsidRDefault="001A123C" w:rsidP="00937ED9">
            <w:pPr>
              <w:spacing w:after="120"/>
              <w:jc w:val="right"/>
              <w:rPr>
                <w:rFonts w:ascii="Calibri" w:hAnsi="Calibri" w:cs="Calibri"/>
                <w:sz w:val="16"/>
                <w:szCs w:val="16"/>
              </w:rPr>
            </w:pPr>
            <w:r w:rsidRPr="002E2B5B">
              <w:rPr>
                <w:rFonts w:ascii="Calibri" w:hAnsi="Calibri" w:cs="Calibri"/>
                <w:sz w:val="16"/>
                <w:szCs w:val="16"/>
              </w:rPr>
              <w:t>0</w:t>
            </w:r>
          </w:p>
        </w:tc>
        <w:tc>
          <w:tcPr>
            <w:tcW w:w="445" w:type="pct"/>
            <w:gridSpan w:val="2"/>
            <w:tcBorders>
              <w:top w:val="single" w:sz="4" w:space="0" w:color="auto"/>
            </w:tcBorders>
            <w:noWrap/>
            <w:vAlign w:val="center"/>
            <w:hideMark/>
          </w:tcPr>
          <w:p w14:paraId="2177E45E" w14:textId="77777777" w:rsidR="001A123C" w:rsidRPr="002E2B5B" w:rsidRDefault="001A123C" w:rsidP="00937ED9">
            <w:pPr>
              <w:spacing w:after="120"/>
              <w:jc w:val="right"/>
              <w:rPr>
                <w:rFonts w:ascii="Calibri" w:hAnsi="Calibri" w:cs="Calibri"/>
                <w:sz w:val="16"/>
                <w:szCs w:val="16"/>
              </w:rPr>
            </w:pPr>
            <w:r w:rsidRPr="002E2B5B">
              <w:rPr>
                <w:rFonts w:ascii="Calibri" w:hAnsi="Calibri" w:cs="Calibri"/>
                <w:sz w:val="16"/>
                <w:szCs w:val="16"/>
              </w:rPr>
              <w:t>1.875.000</w:t>
            </w:r>
          </w:p>
        </w:tc>
        <w:tc>
          <w:tcPr>
            <w:tcW w:w="339" w:type="pct"/>
            <w:gridSpan w:val="2"/>
            <w:tcBorders>
              <w:top w:val="single" w:sz="4" w:space="0" w:color="auto"/>
            </w:tcBorders>
            <w:noWrap/>
            <w:vAlign w:val="center"/>
            <w:hideMark/>
          </w:tcPr>
          <w:p w14:paraId="0F80BA66" w14:textId="77777777" w:rsidR="001A123C" w:rsidRPr="002E2B5B" w:rsidRDefault="001A123C" w:rsidP="00937ED9">
            <w:pPr>
              <w:spacing w:after="120"/>
              <w:jc w:val="right"/>
              <w:rPr>
                <w:rFonts w:ascii="Calibri" w:hAnsi="Calibri" w:cs="Calibri"/>
                <w:sz w:val="16"/>
                <w:szCs w:val="16"/>
              </w:rPr>
            </w:pPr>
            <w:r w:rsidRPr="002E2B5B">
              <w:rPr>
                <w:rFonts w:ascii="Calibri" w:hAnsi="Calibri" w:cs="Calibri"/>
                <w:sz w:val="16"/>
                <w:szCs w:val="16"/>
              </w:rPr>
              <w:t>0,008</w:t>
            </w:r>
          </w:p>
        </w:tc>
        <w:tc>
          <w:tcPr>
            <w:tcW w:w="114" w:type="pct"/>
            <w:gridSpan w:val="2"/>
            <w:tcBorders>
              <w:top w:val="single" w:sz="4" w:space="0" w:color="auto"/>
            </w:tcBorders>
            <w:vAlign w:val="center"/>
          </w:tcPr>
          <w:p w14:paraId="587BA322" w14:textId="77777777" w:rsidR="001A123C" w:rsidRPr="002E2B5B" w:rsidRDefault="001A123C" w:rsidP="00937ED9">
            <w:pPr>
              <w:spacing w:after="120"/>
              <w:jc w:val="right"/>
              <w:rPr>
                <w:rFonts w:ascii="Calibri" w:hAnsi="Calibri" w:cs="Calibri"/>
                <w:sz w:val="16"/>
                <w:szCs w:val="16"/>
              </w:rPr>
            </w:pPr>
          </w:p>
        </w:tc>
        <w:tc>
          <w:tcPr>
            <w:tcW w:w="340" w:type="pct"/>
            <w:gridSpan w:val="2"/>
            <w:tcBorders>
              <w:top w:val="single" w:sz="4" w:space="0" w:color="auto"/>
            </w:tcBorders>
            <w:vAlign w:val="center"/>
          </w:tcPr>
          <w:p w14:paraId="1A2E4584" w14:textId="77777777" w:rsidR="001A123C" w:rsidRPr="002E2B5B" w:rsidRDefault="001A123C" w:rsidP="00937ED9">
            <w:pPr>
              <w:spacing w:after="120"/>
              <w:jc w:val="right"/>
              <w:rPr>
                <w:rFonts w:ascii="Calibri" w:hAnsi="Calibri" w:cs="Calibri"/>
                <w:sz w:val="16"/>
                <w:szCs w:val="16"/>
              </w:rPr>
            </w:pPr>
            <w:r w:rsidRPr="002E2B5B">
              <w:rPr>
                <w:rFonts w:ascii="Calibri" w:hAnsi="Calibri" w:cs="Calibri"/>
                <w:sz w:val="16"/>
                <w:szCs w:val="16"/>
              </w:rPr>
              <w:t>0,0027</w:t>
            </w:r>
          </w:p>
        </w:tc>
        <w:tc>
          <w:tcPr>
            <w:tcW w:w="111" w:type="pct"/>
            <w:gridSpan w:val="2"/>
            <w:tcBorders>
              <w:top w:val="single" w:sz="4" w:space="0" w:color="auto"/>
            </w:tcBorders>
            <w:vAlign w:val="center"/>
          </w:tcPr>
          <w:p w14:paraId="7C2D9D96" w14:textId="77777777" w:rsidR="001A123C" w:rsidRPr="002E2B5B" w:rsidRDefault="001A123C" w:rsidP="00937ED9">
            <w:pPr>
              <w:spacing w:after="120"/>
              <w:jc w:val="both"/>
              <w:rPr>
                <w:rFonts w:ascii="Calibri" w:hAnsi="Calibri" w:cs="Calibri"/>
                <w:sz w:val="16"/>
                <w:szCs w:val="16"/>
              </w:rPr>
            </w:pPr>
          </w:p>
        </w:tc>
      </w:tr>
      <w:tr w:rsidR="00623ED3" w:rsidRPr="002E2B5B" w14:paraId="3F6438B1" w14:textId="77777777" w:rsidTr="00C34E8D">
        <w:trPr>
          <w:trHeight w:hRule="exact" w:val="227"/>
          <w:jc w:val="center"/>
        </w:trPr>
        <w:tc>
          <w:tcPr>
            <w:tcW w:w="734" w:type="pct"/>
            <w:gridSpan w:val="2"/>
            <w:tcBorders>
              <w:bottom w:val="single" w:sz="4" w:space="0" w:color="auto"/>
            </w:tcBorders>
            <w:vAlign w:val="center"/>
          </w:tcPr>
          <w:p w14:paraId="0753BE48" w14:textId="77777777" w:rsidR="001A123C" w:rsidRPr="002E2B5B" w:rsidRDefault="001A123C" w:rsidP="00937ED9">
            <w:pPr>
              <w:spacing w:after="120"/>
              <w:jc w:val="right"/>
              <w:rPr>
                <w:rFonts w:ascii="Calibri" w:hAnsi="Calibri" w:cs="Calibri"/>
                <w:sz w:val="16"/>
                <w:szCs w:val="16"/>
              </w:rPr>
            </w:pPr>
            <w:r w:rsidRPr="002E2B5B">
              <w:rPr>
                <w:rFonts w:ascii="Calibri" w:hAnsi="Calibri" w:cs="Calibri"/>
                <w:sz w:val="16"/>
                <w:szCs w:val="16"/>
              </w:rPr>
              <w:t>Transnordestina Logística S/A</w:t>
            </w:r>
          </w:p>
        </w:tc>
        <w:tc>
          <w:tcPr>
            <w:tcW w:w="634" w:type="pct"/>
            <w:gridSpan w:val="2"/>
            <w:tcBorders>
              <w:bottom w:val="single" w:sz="4" w:space="0" w:color="auto"/>
            </w:tcBorders>
            <w:noWrap/>
            <w:vAlign w:val="center"/>
          </w:tcPr>
          <w:p w14:paraId="32B78821" w14:textId="09B3A5A3" w:rsidR="001A123C" w:rsidRPr="002E2B5B" w:rsidRDefault="00BD67AF" w:rsidP="00937ED9">
            <w:pPr>
              <w:spacing w:after="120"/>
              <w:jc w:val="right"/>
              <w:rPr>
                <w:rFonts w:ascii="Calibri" w:hAnsi="Calibri" w:cs="Calibri"/>
                <w:sz w:val="16"/>
                <w:szCs w:val="16"/>
              </w:rPr>
            </w:pPr>
            <w:r w:rsidRPr="00411555">
              <w:rPr>
                <w:rFonts w:ascii="Calibri" w:hAnsi="Calibri" w:cs="Calibri"/>
                <w:sz w:val="16"/>
                <w:szCs w:val="16"/>
              </w:rPr>
              <w:t>921.825.119</w:t>
            </w:r>
          </w:p>
        </w:tc>
        <w:tc>
          <w:tcPr>
            <w:tcW w:w="538" w:type="pct"/>
            <w:gridSpan w:val="2"/>
            <w:tcBorders>
              <w:bottom w:val="single" w:sz="4" w:space="0" w:color="auto"/>
            </w:tcBorders>
            <w:noWrap/>
            <w:vAlign w:val="center"/>
          </w:tcPr>
          <w:p w14:paraId="45EE27C4" w14:textId="2E73BBF7" w:rsidR="001A123C" w:rsidRPr="002E2B5B" w:rsidRDefault="003B05E9" w:rsidP="00937ED9">
            <w:pPr>
              <w:spacing w:after="120"/>
              <w:jc w:val="right"/>
              <w:rPr>
                <w:rFonts w:ascii="Calibri" w:hAnsi="Calibri" w:cs="Calibri"/>
                <w:sz w:val="16"/>
                <w:szCs w:val="16"/>
              </w:rPr>
            </w:pPr>
            <w:r>
              <w:rPr>
                <w:rFonts w:ascii="Calibri" w:hAnsi="Calibri" w:cs="Calibri"/>
                <w:sz w:val="16"/>
                <w:szCs w:val="16"/>
              </w:rPr>
              <w:t>(</w:t>
            </w:r>
            <w:r w:rsidR="00623ED3">
              <w:rPr>
                <w:rFonts w:ascii="Calibri" w:hAnsi="Calibri" w:cs="Calibri"/>
                <w:sz w:val="16"/>
                <w:szCs w:val="16"/>
              </w:rPr>
              <w:t>13.131.344</w:t>
            </w:r>
            <w:r>
              <w:rPr>
                <w:rFonts w:ascii="Calibri" w:hAnsi="Calibri" w:cs="Calibri"/>
                <w:sz w:val="16"/>
                <w:szCs w:val="16"/>
              </w:rPr>
              <w:t>)</w:t>
            </w:r>
          </w:p>
        </w:tc>
        <w:tc>
          <w:tcPr>
            <w:tcW w:w="388" w:type="pct"/>
            <w:gridSpan w:val="2"/>
            <w:tcBorders>
              <w:bottom w:val="single" w:sz="4" w:space="0" w:color="auto"/>
            </w:tcBorders>
            <w:noWrap/>
            <w:vAlign w:val="center"/>
          </w:tcPr>
          <w:p w14:paraId="5C785282" w14:textId="77777777" w:rsidR="001A123C" w:rsidRPr="002E2B5B" w:rsidRDefault="001A123C" w:rsidP="00937ED9">
            <w:pPr>
              <w:spacing w:after="120"/>
              <w:jc w:val="right"/>
              <w:rPr>
                <w:rFonts w:ascii="Calibri" w:hAnsi="Calibri" w:cs="Calibri"/>
                <w:sz w:val="16"/>
                <w:szCs w:val="16"/>
              </w:rPr>
            </w:pPr>
            <w:r w:rsidRPr="002E2B5B">
              <w:rPr>
                <w:rFonts w:ascii="Calibri" w:hAnsi="Calibri" w:cs="Calibri"/>
                <w:sz w:val="16"/>
                <w:szCs w:val="16"/>
              </w:rPr>
              <w:t>0</w:t>
            </w:r>
          </w:p>
        </w:tc>
        <w:tc>
          <w:tcPr>
            <w:tcW w:w="531" w:type="pct"/>
            <w:gridSpan w:val="2"/>
            <w:tcBorders>
              <w:bottom w:val="single" w:sz="4" w:space="0" w:color="auto"/>
            </w:tcBorders>
            <w:noWrap/>
            <w:vAlign w:val="center"/>
          </w:tcPr>
          <w:p w14:paraId="0F0229EF" w14:textId="40F473DE" w:rsidR="001A123C" w:rsidRPr="00411555" w:rsidRDefault="00623ED3" w:rsidP="00937ED9">
            <w:pPr>
              <w:spacing w:after="120"/>
              <w:jc w:val="right"/>
              <w:rPr>
                <w:rFonts w:ascii="Calibri" w:hAnsi="Calibri" w:cs="Calibri"/>
                <w:sz w:val="16"/>
                <w:szCs w:val="16"/>
              </w:rPr>
            </w:pPr>
            <w:r>
              <w:rPr>
                <w:rFonts w:ascii="Calibri" w:hAnsi="Calibri" w:cs="Calibri"/>
                <w:sz w:val="16"/>
                <w:szCs w:val="16"/>
              </w:rPr>
              <w:t>908.693.775</w:t>
            </w:r>
          </w:p>
        </w:tc>
        <w:tc>
          <w:tcPr>
            <w:tcW w:w="487" w:type="pct"/>
            <w:gridSpan w:val="2"/>
            <w:tcBorders>
              <w:bottom w:val="single" w:sz="4" w:space="0" w:color="auto"/>
            </w:tcBorders>
            <w:noWrap/>
            <w:vAlign w:val="center"/>
          </w:tcPr>
          <w:p w14:paraId="610F6E18" w14:textId="77777777" w:rsidR="001A123C" w:rsidRPr="002E2B5B" w:rsidRDefault="001A123C" w:rsidP="00937ED9">
            <w:pPr>
              <w:spacing w:after="120"/>
              <w:jc w:val="right"/>
              <w:rPr>
                <w:rFonts w:ascii="Calibri" w:hAnsi="Calibri" w:cs="Calibri"/>
                <w:sz w:val="16"/>
                <w:szCs w:val="16"/>
              </w:rPr>
            </w:pPr>
            <w:r w:rsidRPr="002E2B5B">
              <w:rPr>
                <w:rFonts w:ascii="Calibri" w:hAnsi="Calibri" w:cs="Calibri"/>
                <w:sz w:val="16"/>
                <w:szCs w:val="16"/>
              </w:rPr>
              <w:t>18.686.075</w:t>
            </w:r>
          </w:p>
        </w:tc>
        <w:tc>
          <w:tcPr>
            <w:tcW w:w="339" w:type="pct"/>
            <w:gridSpan w:val="2"/>
            <w:tcBorders>
              <w:bottom w:val="single" w:sz="4" w:space="0" w:color="auto"/>
            </w:tcBorders>
            <w:noWrap/>
            <w:vAlign w:val="center"/>
          </w:tcPr>
          <w:p w14:paraId="27FF785F" w14:textId="77777777" w:rsidR="001A123C" w:rsidRPr="002E2B5B" w:rsidRDefault="001A123C" w:rsidP="00937ED9">
            <w:pPr>
              <w:spacing w:after="120"/>
              <w:jc w:val="right"/>
              <w:rPr>
                <w:rFonts w:ascii="Calibri" w:hAnsi="Calibri" w:cs="Calibri"/>
                <w:sz w:val="16"/>
                <w:szCs w:val="16"/>
              </w:rPr>
            </w:pPr>
            <w:r w:rsidRPr="002E2B5B">
              <w:rPr>
                <w:rFonts w:ascii="Calibri" w:hAnsi="Calibri" w:cs="Calibri"/>
                <w:sz w:val="16"/>
                <w:szCs w:val="16"/>
              </w:rPr>
              <w:t>71,59</w:t>
            </w:r>
          </w:p>
        </w:tc>
        <w:tc>
          <w:tcPr>
            <w:tcW w:w="445" w:type="pct"/>
            <w:gridSpan w:val="2"/>
            <w:tcBorders>
              <w:bottom w:val="single" w:sz="4" w:space="0" w:color="auto"/>
            </w:tcBorders>
            <w:noWrap/>
            <w:vAlign w:val="center"/>
          </w:tcPr>
          <w:p w14:paraId="0EB98C56" w14:textId="77777777" w:rsidR="001A123C" w:rsidRPr="002E2B5B" w:rsidRDefault="001A123C" w:rsidP="00937ED9">
            <w:pPr>
              <w:spacing w:after="120"/>
              <w:jc w:val="right"/>
              <w:rPr>
                <w:rFonts w:ascii="Calibri" w:hAnsi="Calibri" w:cs="Calibri"/>
                <w:sz w:val="16"/>
                <w:szCs w:val="16"/>
              </w:rPr>
            </w:pPr>
            <w:r w:rsidRPr="002E2B5B">
              <w:rPr>
                <w:rFonts w:ascii="Calibri" w:hAnsi="Calibri" w:cs="Calibri"/>
                <w:sz w:val="16"/>
                <w:szCs w:val="16"/>
              </w:rPr>
              <w:t>1.722.716</w:t>
            </w:r>
          </w:p>
        </w:tc>
        <w:tc>
          <w:tcPr>
            <w:tcW w:w="339" w:type="pct"/>
            <w:gridSpan w:val="2"/>
            <w:tcBorders>
              <w:bottom w:val="single" w:sz="4" w:space="0" w:color="auto"/>
            </w:tcBorders>
            <w:noWrap/>
            <w:vAlign w:val="center"/>
          </w:tcPr>
          <w:p w14:paraId="7F497F14" w14:textId="77777777" w:rsidR="001A123C" w:rsidRPr="002E2B5B" w:rsidRDefault="001A123C" w:rsidP="00937ED9">
            <w:pPr>
              <w:spacing w:after="120"/>
              <w:jc w:val="right"/>
              <w:rPr>
                <w:rFonts w:ascii="Calibri" w:hAnsi="Calibri" w:cs="Calibri"/>
                <w:sz w:val="16"/>
                <w:szCs w:val="16"/>
              </w:rPr>
            </w:pPr>
            <w:r w:rsidRPr="002E2B5B">
              <w:rPr>
                <w:rFonts w:ascii="Calibri" w:hAnsi="Calibri" w:cs="Calibri"/>
                <w:sz w:val="16"/>
                <w:szCs w:val="16"/>
              </w:rPr>
              <w:t>6,60</w:t>
            </w:r>
          </w:p>
        </w:tc>
        <w:tc>
          <w:tcPr>
            <w:tcW w:w="114" w:type="pct"/>
            <w:gridSpan w:val="2"/>
            <w:tcBorders>
              <w:bottom w:val="single" w:sz="4" w:space="0" w:color="auto"/>
            </w:tcBorders>
            <w:vAlign w:val="center"/>
          </w:tcPr>
          <w:p w14:paraId="419D192D" w14:textId="77777777" w:rsidR="001A123C" w:rsidRPr="002E2B5B" w:rsidRDefault="001A123C" w:rsidP="00937ED9">
            <w:pPr>
              <w:spacing w:after="120"/>
              <w:jc w:val="right"/>
              <w:rPr>
                <w:rFonts w:ascii="Calibri" w:hAnsi="Calibri" w:cs="Calibri"/>
                <w:sz w:val="16"/>
                <w:szCs w:val="16"/>
              </w:rPr>
            </w:pPr>
          </w:p>
        </w:tc>
        <w:tc>
          <w:tcPr>
            <w:tcW w:w="340" w:type="pct"/>
            <w:gridSpan w:val="2"/>
            <w:tcBorders>
              <w:bottom w:val="single" w:sz="4" w:space="0" w:color="auto"/>
            </w:tcBorders>
            <w:vAlign w:val="center"/>
          </w:tcPr>
          <w:p w14:paraId="42DBB761" w14:textId="77777777" w:rsidR="001A123C" w:rsidRPr="002E2B5B" w:rsidRDefault="001A123C" w:rsidP="00937ED9">
            <w:pPr>
              <w:spacing w:after="120"/>
              <w:jc w:val="right"/>
              <w:rPr>
                <w:rFonts w:ascii="Calibri" w:hAnsi="Calibri" w:cs="Calibri"/>
                <w:sz w:val="16"/>
                <w:szCs w:val="16"/>
              </w:rPr>
            </w:pPr>
            <w:r w:rsidRPr="002E2B5B">
              <w:rPr>
                <w:rFonts w:ascii="Calibri" w:hAnsi="Calibri" w:cs="Calibri"/>
                <w:sz w:val="16"/>
                <w:szCs w:val="16"/>
              </w:rPr>
              <w:t>39,10</w:t>
            </w:r>
          </w:p>
        </w:tc>
        <w:tc>
          <w:tcPr>
            <w:tcW w:w="111" w:type="pct"/>
            <w:gridSpan w:val="2"/>
            <w:tcBorders>
              <w:bottom w:val="single" w:sz="4" w:space="0" w:color="auto"/>
            </w:tcBorders>
            <w:vAlign w:val="center"/>
          </w:tcPr>
          <w:p w14:paraId="0216CA86" w14:textId="77777777" w:rsidR="001A123C" w:rsidRPr="002E2B5B" w:rsidRDefault="001A123C" w:rsidP="00937ED9">
            <w:pPr>
              <w:spacing w:after="120"/>
              <w:jc w:val="both"/>
              <w:rPr>
                <w:rFonts w:ascii="Calibri" w:hAnsi="Calibri" w:cs="Calibri"/>
                <w:sz w:val="16"/>
                <w:szCs w:val="16"/>
              </w:rPr>
            </w:pPr>
          </w:p>
        </w:tc>
      </w:tr>
      <w:tr w:rsidR="00623ED3" w:rsidRPr="002E2B5B" w14:paraId="0C3D1570" w14:textId="77777777" w:rsidTr="00C34E8D">
        <w:trPr>
          <w:trHeight w:hRule="exact" w:val="227"/>
          <w:jc w:val="center"/>
        </w:trPr>
        <w:tc>
          <w:tcPr>
            <w:tcW w:w="734" w:type="pct"/>
            <w:gridSpan w:val="2"/>
            <w:tcBorders>
              <w:top w:val="single" w:sz="4" w:space="0" w:color="auto"/>
              <w:bottom w:val="single" w:sz="4" w:space="0" w:color="auto"/>
            </w:tcBorders>
            <w:noWrap/>
            <w:vAlign w:val="center"/>
            <w:hideMark/>
          </w:tcPr>
          <w:p w14:paraId="02DFB91F" w14:textId="77777777" w:rsidR="001A123C" w:rsidRPr="002E2B5B" w:rsidRDefault="001A123C" w:rsidP="00937ED9">
            <w:pPr>
              <w:spacing w:after="120"/>
              <w:jc w:val="right"/>
              <w:rPr>
                <w:rFonts w:ascii="Calibri" w:hAnsi="Calibri" w:cs="Calibri"/>
                <w:b/>
                <w:bCs/>
                <w:sz w:val="16"/>
                <w:szCs w:val="16"/>
              </w:rPr>
            </w:pPr>
            <w:r w:rsidRPr="002E2B5B">
              <w:rPr>
                <w:rFonts w:ascii="Calibri" w:hAnsi="Calibri" w:cs="Calibri"/>
                <w:b/>
                <w:bCs/>
                <w:sz w:val="16"/>
                <w:szCs w:val="16"/>
              </w:rPr>
              <w:t>TOTAL</w:t>
            </w:r>
          </w:p>
        </w:tc>
        <w:tc>
          <w:tcPr>
            <w:tcW w:w="634" w:type="pct"/>
            <w:gridSpan w:val="2"/>
            <w:tcBorders>
              <w:top w:val="single" w:sz="4" w:space="0" w:color="auto"/>
              <w:bottom w:val="single" w:sz="4" w:space="0" w:color="auto"/>
            </w:tcBorders>
            <w:noWrap/>
            <w:vAlign w:val="center"/>
            <w:hideMark/>
          </w:tcPr>
          <w:p w14:paraId="5BCD8412" w14:textId="7CC6AC4B" w:rsidR="001A123C" w:rsidRPr="002E2B5B" w:rsidRDefault="00BD67AF" w:rsidP="00937ED9">
            <w:pPr>
              <w:spacing w:after="120"/>
              <w:jc w:val="right"/>
              <w:rPr>
                <w:rFonts w:ascii="Calibri" w:hAnsi="Calibri" w:cs="Calibri"/>
                <w:b/>
                <w:bCs/>
                <w:sz w:val="16"/>
                <w:szCs w:val="16"/>
              </w:rPr>
            </w:pPr>
            <w:r w:rsidRPr="00411555">
              <w:rPr>
                <w:rFonts w:ascii="Calibri" w:hAnsi="Calibri" w:cs="Calibri"/>
                <w:b/>
                <w:bCs/>
                <w:sz w:val="16"/>
                <w:szCs w:val="16"/>
              </w:rPr>
              <w:t>921.851.397</w:t>
            </w:r>
          </w:p>
        </w:tc>
        <w:tc>
          <w:tcPr>
            <w:tcW w:w="538" w:type="pct"/>
            <w:gridSpan w:val="2"/>
            <w:tcBorders>
              <w:top w:val="single" w:sz="4" w:space="0" w:color="auto"/>
              <w:bottom w:val="single" w:sz="4" w:space="0" w:color="auto"/>
            </w:tcBorders>
            <w:noWrap/>
            <w:vAlign w:val="center"/>
            <w:hideMark/>
          </w:tcPr>
          <w:p w14:paraId="76508E04" w14:textId="40728C1F" w:rsidR="001A123C" w:rsidRPr="002E2B5B" w:rsidRDefault="003B05E9" w:rsidP="00937ED9">
            <w:pPr>
              <w:spacing w:after="120"/>
              <w:jc w:val="right"/>
              <w:rPr>
                <w:rFonts w:ascii="Calibri" w:hAnsi="Calibri" w:cs="Calibri"/>
                <w:b/>
                <w:bCs/>
                <w:sz w:val="16"/>
                <w:szCs w:val="16"/>
              </w:rPr>
            </w:pPr>
            <w:r>
              <w:rPr>
                <w:rFonts w:ascii="Calibri" w:hAnsi="Calibri" w:cs="Calibri"/>
                <w:b/>
                <w:bCs/>
                <w:sz w:val="16"/>
                <w:szCs w:val="16"/>
              </w:rPr>
              <w:t>(</w:t>
            </w:r>
            <w:r w:rsidR="00623ED3">
              <w:rPr>
                <w:rFonts w:ascii="Calibri" w:hAnsi="Calibri" w:cs="Calibri"/>
                <w:b/>
                <w:bCs/>
                <w:sz w:val="16"/>
                <w:szCs w:val="16"/>
              </w:rPr>
              <w:t>13.131.344</w:t>
            </w:r>
            <w:r>
              <w:rPr>
                <w:rFonts w:ascii="Calibri" w:hAnsi="Calibri" w:cs="Calibri"/>
                <w:b/>
                <w:bCs/>
                <w:sz w:val="16"/>
                <w:szCs w:val="16"/>
              </w:rPr>
              <w:t>)</w:t>
            </w:r>
          </w:p>
        </w:tc>
        <w:tc>
          <w:tcPr>
            <w:tcW w:w="388" w:type="pct"/>
            <w:gridSpan w:val="2"/>
            <w:tcBorders>
              <w:top w:val="single" w:sz="4" w:space="0" w:color="auto"/>
              <w:bottom w:val="single" w:sz="4" w:space="0" w:color="auto"/>
            </w:tcBorders>
            <w:noWrap/>
            <w:vAlign w:val="center"/>
            <w:hideMark/>
          </w:tcPr>
          <w:p w14:paraId="0B651A61" w14:textId="77777777" w:rsidR="001A123C" w:rsidRPr="002E2B5B" w:rsidRDefault="001A123C" w:rsidP="00937ED9">
            <w:pPr>
              <w:spacing w:after="120"/>
              <w:jc w:val="right"/>
              <w:rPr>
                <w:rFonts w:ascii="Calibri" w:hAnsi="Calibri" w:cs="Calibri"/>
                <w:b/>
                <w:bCs/>
                <w:sz w:val="16"/>
                <w:szCs w:val="16"/>
              </w:rPr>
            </w:pPr>
            <w:r w:rsidRPr="002E2B5B">
              <w:rPr>
                <w:rFonts w:ascii="Calibri" w:hAnsi="Calibri" w:cs="Calibri"/>
                <w:b/>
                <w:bCs/>
                <w:sz w:val="16"/>
                <w:szCs w:val="16"/>
              </w:rPr>
              <w:t>0</w:t>
            </w:r>
          </w:p>
        </w:tc>
        <w:tc>
          <w:tcPr>
            <w:tcW w:w="531" w:type="pct"/>
            <w:gridSpan w:val="2"/>
            <w:tcBorders>
              <w:top w:val="single" w:sz="4" w:space="0" w:color="auto"/>
              <w:bottom w:val="single" w:sz="4" w:space="0" w:color="auto"/>
            </w:tcBorders>
            <w:noWrap/>
            <w:vAlign w:val="center"/>
            <w:hideMark/>
          </w:tcPr>
          <w:p w14:paraId="40B1B682" w14:textId="36556D98" w:rsidR="001A123C" w:rsidRPr="00411555" w:rsidRDefault="00902B0F" w:rsidP="00937ED9">
            <w:pPr>
              <w:spacing w:after="120"/>
              <w:jc w:val="right"/>
              <w:rPr>
                <w:rFonts w:ascii="Calibri" w:hAnsi="Calibri" w:cs="Calibri"/>
                <w:b/>
                <w:bCs/>
                <w:sz w:val="16"/>
                <w:szCs w:val="16"/>
              </w:rPr>
            </w:pPr>
            <w:r w:rsidRPr="00411555">
              <w:rPr>
                <w:rFonts w:ascii="Calibri" w:hAnsi="Calibri" w:cs="Calibri"/>
                <w:b/>
                <w:bCs/>
                <w:sz w:val="16"/>
                <w:szCs w:val="16"/>
              </w:rPr>
              <w:t>9</w:t>
            </w:r>
            <w:r w:rsidR="00623ED3">
              <w:rPr>
                <w:rFonts w:ascii="Calibri" w:hAnsi="Calibri" w:cs="Calibri"/>
                <w:b/>
                <w:bCs/>
                <w:sz w:val="16"/>
                <w:szCs w:val="16"/>
              </w:rPr>
              <w:t>08</w:t>
            </w:r>
            <w:r w:rsidRPr="00411555">
              <w:rPr>
                <w:rFonts w:ascii="Calibri" w:hAnsi="Calibri" w:cs="Calibri"/>
                <w:b/>
                <w:bCs/>
                <w:sz w:val="16"/>
                <w:szCs w:val="16"/>
              </w:rPr>
              <w:t>.</w:t>
            </w:r>
            <w:r w:rsidR="00623ED3">
              <w:rPr>
                <w:rFonts w:ascii="Calibri" w:hAnsi="Calibri" w:cs="Calibri"/>
                <w:b/>
                <w:bCs/>
                <w:sz w:val="16"/>
                <w:szCs w:val="16"/>
              </w:rPr>
              <w:t>720</w:t>
            </w:r>
            <w:r w:rsidRPr="00411555">
              <w:rPr>
                <w:rFonts w:ascii="Calibri" w:hAnsi="Calibri" w:cs="Calibri"/>
                <w:b/>
                <w:bCs/>
                <w:sz w:val="16"/>
                <w:szCs w:val="16"/>
              </w:rPr>
              <w:t>.</w:t>
            </w:r>
            <w:r w:rsidR="00623ED3">
              <w:rPr>
                <w:rFonts w:ascii="Calibri" w:hAnsi="Calibri" w:cs="Calibri"/>
                <w:b/>
                <w:bCs/>
                <w:sz w:val="16"/>
                <w:szCs w:val="16"/>
              </w:rPr>
              <w:t>053</w:t>
            </w:r>
          </w:p>
        </w:tc>
        <w:tc>
          <w:tcPr>
            <w:tcW w:w="487" w:type="pct"/>
            <w:gridSpan w:val="2"/>
            <w:tcBorders>
              <w:top w:val="single" w:sz="4" w:space="0" w:color="auto"/>
              <w:bottom w:val="single" w:sz="4" w:space="0" w:color="auto"/>
            </w:tcBorders>
            <w:noWrap/>
            <w:vAlign w:val="center"/>
            <w:hideMark/>
          </w:tcPr>
          <w:p w14:paraId="7CB366B3" w14:textId="77777777" w:rsidR="001A123C" w:rsidRPr="002E2B5B" w:rsidRDefault="001A123C" w:rsidP="00937ED9">
            <w:pPr>
              <w:spacing w:after="120"/>
              <w:jc w:val="right"/>
              <w:rPr>
                <w:rFonts w:ascii="Calibri" w:hAnsi="Calibri" w:cs="Calibri"/>
                <w:b/>
                <w:bCs/>
                <w:sz w:val="16"/>
                <w:szCs w:val="16"/>
              </w:rPr>
            </w:pPr>
          </w:p>
        </w:tc>
        <w:tc>
          <w:tcPr>
            <w:tcW w:w="339" w:type="pct"/>
            <w:gridSpan w:val="2"/>
            <w:tcBorders>
              <w:top w:val="single" w:sz="4" w:space="0" w:color="auto"/>
              <w:bottom w:val="single" w:sz="4" w:space="0" w:color="auto"/>
            </w:tcBorders>
            <w:noWrap/>
            <w:vAlign w:val="center"/>
            <w:hideMark/>
          </w:tcPr>
          <w:p w14:paraId="0977DA31" w14:textId="77777777" w:rsidR="001A123C" w:rsidRPr="002E2B5B" w:rsidRDefault="001A123C" w:rsidP="00937ED9">
            <w:pPr>
              <w:spacing w:after="120"/>
              <w:jc w:val="right"/>
              <w:rPr>
                <w:rFonts w:ascii="Calibri" w:hAnsi="Calibri" w:cs="Calibri"/>
                <w:sz w:val="16"/>
                <w:szCs w:val="16"/>
              </w:rPr>
            </w:pPr>
          </w:p>
        </w:tc>
        <w:tc>
          <w:tcPr>
            <w:tcW w:w="445" w:type="pct"/>
            <w:gridSpan w:val="2"/>
            <w:tcBorders>
              <w:top w:val="single" w:sz="4" w:space="0" w:color="auto"/>
              <w:bottom w:val="single" w:sz="4" w:space="0" w:color="auto"/>
            </w:tcBorders>
            <w:noWrap/>
            <w:vAlign w:val="center"/>
            <w:hideMark/>
          </w:tcPr>
          <w:p w14:paraId="55FA3256" w14:textId="77777777" w:rsidR="001A123C" w:rsidRPr="002E2B5B" w:rsidRDefault="001A123C" w:rsidP="00937ED9">
            <w:pPr>
              <w:spacing w:after="120"/>
              <w:jc w:val="right"/>
              <w:rPr>
                <w:rFonts w:ascii="Calibri" w:hAnsi="Calibri" w:cs="Calibri"/>
                <w:sz w:val="16"/>
                <w:szCs w:val="16"/>
              </w:rPr>
            </w:pPr>
          </w:p>
        </w:tc>
        <w:tc>
          <w:tcPr>
            <w:tcW w:w="339" w:type="pct"/>
            <w:gridSpan w:val="2"/>
            <w:tcBorders>
              <w:top w:val="single" w:sz="4" w:space="0" w:color="auto"/>
              <w:bottom w:val="single" w:sz="4" w:space="0" w:color="auto"/>
            </w:tcBorders>
            <w:noWrap/>
            <w:vAlign w:val="center"/>
            <w:hideMark/>
          </w:tcPr>
          <w:p w14:paraId="7A69F158" w14:textId="77777777" w:rsidR="001A123C" w:rsidRPr="002E2B5B" w:rsidRDefault="001A123C" w:rsidP="00937ED9">
            <w:pPr>
              <w:spacing w:after="120"/>
              <w:jc w:val="right"/>
              <w:rPr>
                <w:rFonts w:ascii="Calibri" w:hAnsi="Calibri" w:cs="Calibri"/>
                <w:sz w:val="16"/>
                <w:szCs w:val="16"/>
              </w:rPr>
            </w:pPr>
          </w:p>
        </w:tc>
        <w:tc>
          <w:tcPr>
            <w:tcW w:w="114" w:type="pct"/>
            <w:gridSpan w:val="2"/>
            <w:tcBorders>
              <w:top w:val="single" w:sz="4" w:space="0" w:color="auto"/>
              <w:bottom w:val="single" w:sz="4" w:space="0" w:color="auto"/>
            </w:tcBorders>
            <w:vAlign w:val="center"/>
          </w:tcPr>
          <w:p w14:paraId="4D5CB095" w14:textId="77777777" w:rsidR="001A123C" w:rsidRPr="002E2B5B" w:rsidRDefault="001A123C" w:rsidP="00937ED9">
            <w:pPr>
              <w:spacing w:after="120"/>
              <w:jc w:val="right"/>
              <w:rPr>
                <w:rFonts w:ascii="Calibri" w:hAnsi="Calibri" w:cs="Calibri"/>
                <w:sz w:val="16"/>
                <w:szCs w:val="16"/>
              </w:rPr>
            </w:pPr>
          </w:p>
        </w:tc>
        <w:tc>
          <w:tcPr>
            <w:tcW w:w="340" w:type="pct"/>
            <w:gridSpan w:val="2"/>
            <w:tcBorders>
              <w:top w:val="single" w:sz="4" w:space="0" w:color="auto"/>
              <w:bottom w:val="single" w:sz="4" w:space="0" w:color="auto"/>
            </w:tcBorders>
            <w:vAlign w:val="center"/>
          </w:tcPr>
          <w:p w14:paraId="77EF2874" w14:textId="77777777" w:rsidR="001A123C" w:rsidRPr="002E2B5B" w:rsidRDefault="001A123C" w:rsidP="00937ED9">
            <w:pPr>
              <w:spacing w:after="120"/>
              <w:jc w:val="right"/>
              <w:rPr>
                <w:rFonts w:ascii="Calibri" w:hAnsi="Calibri" w:cs="Calibri"/>
                <w:sz w:val="16"/>
                <w:szCs w:val="16"/>
              </w:rPr>
            </w:pPr>
          </w:p>
        </w:tc>
        <w:tc>
          <w:tcPr>
            <w:tcW w:w="111" w:type="pct"/>
            <w:gridSpan w:val="2"/>
            <w:tcBorders>
              <w:top w:val="single" w:sz="4" w:space="0" w:color="auto"/>
              <w:bottom w:val="single" w:sz="4" w:space="0" w:color="auto"/>
            </w:tcBorders>
            <w:vAlign w:val="center"/>
          </w:tcPr>
          <w:p w14:paraId="2CEFF2A9" w14:textId="77777777" w:rsidR="001A123C" w:rsidRPr="002E2B5B" w:rsidRDefault="001A123C" w:rsidP="00937ED9">
            <w:pPr>
              <w:spacing w:after="120"/>
              <w:jc w:val="both"/>
              <w:rPr>
                <w:rFonts w:ascii="Calibri" w:hAnsi="Calibri" w:cs="Calibri"/>
                <w:sz w:val="16"/>
                <w:szCs w:val="16"/>
              </w:rPr>
            </w:pPr>
          </w:p>
        </w:tc>
      </w:tr>
    </w:tbl>
    <w:p w14:paraId="5D297A80" w14:textId="77777777" w:rsidR="00042306" w:rsidRDefault="00042306" w:rsidP="00042306">
      <w:pPr>
        <w:spacing w:before="240" w:after="120"/>
        <w:ind w:left="284" w:right="57"/>
        <w:jc w:val="both"/>
        <w:rPr>
          <w:rFonts w:ascii="Calibri" w:hAnsi="Calibri" w:cs="Calibri"/>
          <w:b/>
          <w:sz w:val="22"/>
          <w:szCs w:val="22"/>
        </w:rPr>
      </w:pPr>
    </w:p>
    <w:p w14:paraId="371D299C" w14:textId="07EAFE46" w:rsidR="00F262A7" w:rsidRPr="00A717AC" w:rsidRDefault="00710F5F" w:rsidP="00042306">
      <w:pPr>
        <w:numPr>
          <w:ilvl w:val="0"/>
          <w:numId w:val="13"/>
        </w:numPr>
        <w:spacing w:before="240" w:after="120"/>
        <w:ind w:left="284" w:right="57" w:hanging="284"/>
        <w:jc w:val="both"/>
        <w:rPr>
          <w:rFonts w:ascii="Calibri" w:hAnsi="Calibri" w:cs="Calibri"/>
          <w:b/>
          <w:sz w:val="22"/>
          <w:szCs w:val="22"/>
        </w:rPr>
      </w:pPr>
      <w:r w:rsidRPr="00A717AC">
        <w:rPr>
          <w:rFonts w:ascii="Calibri" w:hAnsi="Calibri" w:cs="Calibri"/>
          <w:b/>
          <w:sz w:val="22"/>
          <w:szCs w:val="22"/>
        </w:rPr>
        <w:t xml:space="preserve">Estrada de Ferro Paraná-Oeste S/A </w:t>
      </w:r>
      <w:r w:rsidR="00D1757A" w:rsidRPr="00A717AC">
        <w:rPr>
          <w:rFonts w:ascii="Calibri" w:hAnsi="Calibri" w:cs="Calibri"/>
          <w:b/>
          <w:sz w:val="22"/>
          <w:szCs w:val="22"/>
        </w:rPr>
        <w:t>(</w:t>
      </w:r>
      <w:r w:rsidRPr="00A717AC">
        <w:rPr>
          <w:rFonts w:ascii="Calibri" w:hAnsi="Calibri" w:cs="Calibri"/>
          <w:b/>
          <w:sz w:val="22"/>
          <w:szCs w:val="22"/>
        </w:rPr>
        <w:t>FERROESTE</w:t>
      </w:r>
      <w:r w:rsidR="00D1757A" w:rsidRPr="00A717AC">
        <w:rPr>
          <w:rFonts w:ascii="Calibri" w:hAnsi="Calibri" w:cs="Calibri"/>
          <w:b/>
          <w:sz w:val="22"/>
          <w:szCs w:val="22"/>
        </w:rPr>
        <w:t>)</w:t>
      </w:r>
    </w:p>
    <w:p w14:paraId="5983F6FE" w14:textId="77777777" w:rsidR="00993F2B" w:rsidRDefault="00F262A7" w:rsidP="00937ED9">
      <w:pPr>
        <w:spacing w:after="120"/>
        <w:ind w:right="57"/>
        <w:jc w:val="both"/>
        <w:rPr>
          <w:rFonts w:ascii="Calibri" w:hAnsi="Calibri" w:cs="Calibri"/>
          <w:sz w:val="22"/>
          <w:szCs w:val="22"/>
        </w:rPr>
      </w:pPr>
      <w:r w:rsidRPr="002E2B5B">
        <w:rPr>
          <w:rFonts w:ascii="Calibri" w:hAnsi="Calibri" w:cs="Calibri"/>
          <w:sz w:val="22"/>
          <w:szCs w:val="22"/>
        </w:rPr>
        <w:t xml:space="preserve">A Estrada de Ferro Paraná-Oeste S/A </w:t>
      </w:r>
      <w:r w:rsidR="00D1757A" w:rsidRPr="002E2B5B">
        <w:rPr>
          <w:rFonts w:ascii="Calibri" w:hAnsi="Calibri" w:cs="Calibri"/>
          <w:sz w:val="22"/>
          <w:szCs w:val="22"/>
        </w:rPr>
        <w:t>(</w:t>
      </w:r>
      <w:r w:rsidRPr="002E2B5B">
        <w:rPr>
          <w:rFonts w:ascii="Calibri" w:hAnsi="Calibri" w:cs="Calibri"/>
          <w:sz w:val="22"/>
          <w:szCs w:val="22"/>
        </w:rPr>
        <w:t>FERROESTE</w:t>
      </w:r>
      <w:r w:rsidR="00D1757A" w:rsidRPr="002E2B5B">
        <w:rPr>
          <w:rFonts w:ascii="Calibri" w:hAnsi="Calibri" w:cs="Calibri"/>
          <w:sz w:val="22"/>
          <w:szCs w:val="22"/>
        </w:rPr>
        <w:t>)</w:t>
      </w:r>
      <w:r w:rsidRPr="002E2B5B">
        <w:rPr>
          <w:rFonts w:ascii="Calibri" w:hAnsi="Calibri" w:cs="Calibri"/>
          <w:sz w:val="22"/>
          <w:szCs w:val="22"/>
        </w:rPr>
        <w:t xml:space="preserve"> é uma sociedade anônima, de economia mi</w:t>
      </w:r>
      <w:r w:rsidR="006A61D2" w:rsidRPr="002E2B5B">
        <w:rPr>
          <w:rFonts w:ascii="Calibri" w:hAnsi="Calibri" w:cs="Calibri"/>
          <w:sz w:val="22"/>
          <w:szCs w:val="22"/>
        </w:rPr>
        <w:t>sta, controlada pelo Estado do P</w:t>
      </w:r>
      <w:r w:rsidRPr="002E2B5B">
        <w:rPr>
          <w:rFonts w:ascii="Calibri" w:hAnsi="Calibri" w:cs="Calibri"/>
          <w:sz w:val="22"/>
          <w:szCs w:val="22"/>
        </w:rPr>
        <w:t>araná, com 99,69% de participação acion</w:t>
      </w:r>
      <w:r w:rsidR="00FC7C73" w:rsidRPr="002E2B5B">
        <w:rPr>
          <w:rFonts w:ascii="Calibri" w:hAnsi="Calibri" w:cs="Calibri"/>
          <w:sz w:val="22"/>
          <w:szCs w:val="22"/>
        </w:rPr>
        <w:t>ária, o</w:t>
      </w:r>
      <w:r w:rsidRPr="002E2B5B">
        <w:rPr>
          <w:rFonts w:ascii="Calibri" w:hAnsi="Calibri" w:cs="Calibri"/>
          <w:sz w:val="22"/>
          <w:szCs w:val="22"/>
        </w:rPr>
        <w:t xml:space="preserve"> restante das ações pertence a 46 empresas nacionais, 3 estrangeiras e 6 pessoas físicas. A FERROESTE tem por objetivo a construção, operação, administração, e exploração comercial de vias ferroviárias nacionais, de terminais ferroviários, de silos e demais sistemas de armazenagem de produtos agrícolas e manufaturados em geral. </w:t>
      </w:r>
    </w:p>
    <w:p w14:paraId="286B909C" w14:textId="7F5ACD53" w:rsidR="009165D8" w:rsidRPr="002E2B5B" w:rsidRDefault="00BA786C" w:rsidP="00937ED9">
      <w:pPr>
        <w:spacing w:after="120"/>
        <w:ind w:right="57"/>
        <w:jc w:val="both"/>
        <w:rPr>
          <w:rFonts w:ascii="Calibri" w:hAnsi="Calibri" w:cs="Calibri"/>
          <w:sz w:val="22"/>
          <w:szCs w:val="22"/>
        </w:rPr>
      </w:pPr>
      <w:r w:rsidRPr="002E2B5B">
        <w:rPr>
          <w:rFonts w:ascii="Calibri" w:hAnsi="Calibri" w:cs="Calibri"/>
          <w:sz w:val="22"/>
          <w:szCs w:val="22"/>
        </w:rPr>
        <w:t>A VALEC participa do capital social da Estrada de Ferro Paraná-Oeste S/A</w:t>
      </w:r>
      <w:r w:rsidR="00D1757A" w:rsidRPr="002E2B5B">
        <w:rPr>
          <w:rFonts w:ascii="Calibri" w:hAnsi="Calibri" w:cs="Calibri"/>
          <w:sz w:val="22"/>
          <w:szCs w:val="22"/>
        </w:rPr>
        <w:t xml:space="preserve"> (</w:t>
      </w:r>
      <w:r w:rsidRPr="002E2B5B">
        <w:rPr>
          <w:rFonts w:ascii="Calibri" w:hAnsi="Calibri" w:cs="Calibri"/>
          <w:sz w:val="22"/>
          <w:szCs w:val="22"/>
        </w:rPr>
        <w:t>FERROESTE</w:t>
      </w:r>
      <w:r w:rsidR="00D1757A" w:rsidRPr="002E2B5B">
        <w:rPr>
          <w:rFonts w:ascii="Calibri" w:hAnsi="Calibri" w:cs="Calibri"/>
          <w:sz w:val="22"/>
          <w:szCs w:val="22"/>
        </w:rPr>
        <w:t>)</w:t>
      </w:r>
      <w:r w:rsidRPr="002E2B5B">
        <w:rPr>
          <w:rFonts w:ascii="Calibri" w:hAnsi="Calibri" w:cs="Calibri"/>
          <w:sz w:val="22"/>
          <w:szCs w:val="22"/>
        </w:rPr>
        <w:t xml:space="preserve"> com 1.875 lotes de 1.000 ações ordinárias. Esse investimento é avaliado pelo método de custo em função </w:t>
      </w:r>
      <w:r w:rsidR="001A3D8C" w:rsidRPr="002E2B5B">
        <w:rPr>
          <w:rFonts w:ascii="Calibri" w:hAnsi="Calibri" w:cs="Calibri"/>
          <w:sz w:val="22"/>
          <w:szCs w:val="22"/>
        </w:rPr>
        <w:t>da</w:t>
      </w:r>
      <w:r w:rsidRPr="002E2B5B">
        <w:rPr>
          <w:rFonts w:ascii="Calibri" w:hAnsi="Calibri" w:cs="Calibri"/>
          <w:sz w:val="22"/>
          <w:szCs w:val="22"/>
        </w:rPr>
        <w:t xml:space="preserve"> participação </w:t>
      </w:r>
      <w:r w:rsidR="001A3D8C" w:rsidRPr="002E2B5B">
        <w:rPr>
          <w:rFonts w:ascii="Calibri" w:hAnsi="Calibri" w:cs="Calibri"/>
          <w:sz w:val="22"/>
          <w:szCs w:val="22"/>
        </w:rPr>
        <w:t xml:space="preserve">da VALEC </w:t>
      </w:r>
      <w:r w:rsidRPr="002E2B5B">
        <w:rPr>
          <w:rFonts w:ascii="Calibri" w:hAnsi="Calibri" w:cs="Calibri"/>
          <w:sz w:val="22"/>
          <w:szCs w:val="22"/>
        </w:rPr>
        <w:t>não apresentar influência significativa, além dessa participação ser inferior a 20% do Capital Social da investida</w:t>
      </w:r>
      <w:r w:rsidR="00843229" w:rsidRPr="002E2B5B">
        <w:rPr>
          <w:rFonts w:ascii="Calibri" w:hAnsi="Calibri" w:cs="Calibri"/>
          <w:sz w:val="22"/>
          <w:szCs w:val="22"/>
        </w:rPr>
        <w:t>.</w:t>
      </w:r>
    </w:p>
    <w:p w14:paraId="4C2C41DF" w14:textId="77777777" w:rsidR="0020468B" w:rsidRPr="002E2B5B" w:rsidRDefault="00F22BE7" w:rsidP="00937ED9">
      <w:pPr>
        <w:numPr>
          <w:ilvl w:val="0"/>
          <w:numId w:val="13"/>
        </w:numPr>
        <w:spacing w:after="120"/>
        <w:ind w:left="284" w:right="57" w:hanging="284"/>
        <w:jc w:val="both"/>
        <w:rPr>
          <w:rFonts w:ascii="Calibri" w:hAnsi="Calibri" w:cs="Calibri"/>
          <w:b/>
          <w:sz w:val="22"/>
          <w:szCs w:val="22"/>
        </w:rPr>
      </w:pPr>
      <w:r w:rsidRPr="002E2B5B">
        <w:rPr>
          <w:rFonts w:ascii="Calibri" w:hAnsi="Calibri" w:cs="Calibri"/>
          <w:b/>
          <w:sz w:val="22"/>
          <w:szCs w:val="22"/>
        </w:rPr>
        <w:t xml:space="preserve">Transnordestina Logística </w:t>
      </w:r>
      <w:r w:rsidR="00FC7C73" w:rsidRPr="002E2B5B">
        <w:rPr>
          <w:rFonts w:ascii="Calibri" w:hAnsi="Calibri" w:cs="Calibri"/>
          <w:b/>
          <w:sz w:val="22"/>
          <w:szCs w:val="22"/>
        </w:rPr>
        <w:t>S/A</w:t>
      </w:r>
      <w:r w:rsidR="00D1757A" w:rsidRPr="002E2B5B">
        <w:rPr>
          <w:rFonts w:ascii="Calibri" w:hAnsi="Calibri" w:cs="Calibri"/>
          <w:b/>
          <w:sz w:val="22"/>
          <w:szCs w:val="22"/>
        </w:rPr>
        <w:t xml:space="preserve"> (</w:t>
      </w:r>
      <w:r w:rsidR="00A03EC9" w:rsidRPr="002E2B5B">
        <w:rPr>
          <w:rFonts w:ascii="Calibri" w:hAnsi="Calibri" w:cs="Calibri"/>
          <w:b/>
          <w:sz w:val="22"/>
          <w:szCs w:val="22"/>
        </w:rPr>
        <w:t>TLSA</w:t>
      </w:r>
      <w:r w:rsidR="00D1757A" w:rsidRPr="002E2B5B">
        <w:rPr>
          <w:rFonts w:ascii="Calibri" w:hAnsi="Calibri" w:cs="Calibri"/>
          <w:b/>
          <w:sz w:val="22"/>
          <w:szCs w:val="22"/>
        </w:rPr>
        <w:t>)</w:t>
      </w:r>
    </w:p>
    <w:p w14:paraId="35A5FFF5" w14:textId="391A487B" w:rsidR="009165D8" w:rsidRPr="002E2B5B" w:rsidRDefault="00A03EC9" w:rsidP="00937ED9">
      <w:pPr>
        <w:pStyle w:val="Textoembloco"/>
        <w:spacing w:after="120" w:line="240" w:lineRule="auto"/>
        <w:ind w:left="0" w:right="57"/>
        <w:rPr>
          <w:rFonts w:ascii="Calibri" w:hAnsi="Calibri" w:cs="Calibri"/>
          <w:sz w:val="22"/>
          <w:szCs w:val="22"/>
        </w:rPr>
      </w:pPr>
      <w:r w:rsidRPr="002E2B5B">
        <w:rPr>
          <w:rFonts w:ascii="Calibri" w:hAnsi="Calibri" w:cs="Calibri"/>
          <w:sz w:val="22"/>
          <w:szCs w:val="22"/>
        </w:rPr>
        <w:t>A Transnordestina Logística S</w:t>
      </w:r>
      <w:r w:rsidR="00D1757A" w:rsidRPr="002E2B5B">
        <w:rPr>
          <w:rFonts w:ascii="Calibri" w:hAnsi="Calibri" w:cs="Calibri"/>
          <w:sz w:val="22"/>
          <w:szCs w:val="22"/>
        </w:rPr>
        <w:t>/A (</w:t>
      </w:r>
      <w:r w:rsidRPr="002E2B5B">
        <w:rPr>
          <w:rFonts w:ascii="Calibri" w:hAnsi="Calibri" w:cs="Calibri"/>
          <w:sz w:val="22"/>
          <w:szCs w:val="22"/>
        </w:rPr>
        <w:t>TLSA</w:t>
      </w:r>
      <w:r w:rsidR="00D1757A" w:rsidRPr="002E2B5B">
        <w:rPr>
          <w:rFonts w:ascii="Calibri" w:hAnsi="Calibri" w:cs="Calibri"/>
          <w:sz w:val="22"/>
          <w:szCs w:val="22"/>
        </w:rPr>
        <w:t>)</w:t>
      </w:r>
      <w:r w:rsidRPr="002E2B5B">
        <w:rPr>
          <w:rFonts w:ascii="Calibri" w:hAnsi="Calibri" w:cs="Calibri"/>
          <w:sz w:val="22"/>
          <w:szCs w:val="22"/>
        </w:rPr>
        <w:t xml:space="preserve"> é uma sociedade por ações, sediada em Fortaleza</w:t>
      </w:r>
      <w:r w:rsidR="002D6A53">
        <w:rPr>
          <w:rFonts w:ascii="Calibri" w:hAnsi="Calibri" w:cs="Calibri"/>
          <w:sz w:val="22"/>
          <w:szCs w:val="22"/>
        </w:rPr>
        <w:t>/</w:t>
      </w:r>
      <w:r w:rsidRPr="002E2B5B">
        <w:rPr>
          <w:rFonts w:ascii="Calibri" w:hAnsi="Calibri" w:cs="Calibri"/>
          <w:sz w:val="22"/>
          <w:szCs w:val="22"/>
        </w:rPr>
        <w:t>CE, com registro de companhia aberta, classe B, junto à Comissão de Valores Mobiliários (“CVM”). A Companhia é controlada pela Companhia Siderúrgica Nacional (</w:t>
      </w:r>
      <w:r w:rsidR="00E3496E" w:rsidRPr="002E2B5B">
        <w:rPr>
          <w:rFonts w:ascii="Calibri" w:hAnsi="Calibri" w:cs="Calibri"/>
          <w:sz w:val="22"/>
          <w:szCs w:val="22"/>
        </w:rPr>
        <w:t>“CSN”) e</w:t>
      </w:r>
      <w:r w:rsidRPr="002E2B5B">
        <w:rPr>
          <w:rFonts w:ascii="Calibri" w:hAnsi="Calibri" w:cs="Calibri"/>
          <w:sz w:val="22"/>
          <w:szCs w:val="22"/>
        </w:rPr>
        <w:t xml:space="preserve"> suas ações não são negociadas em bolsa de valores. </w:t>
      </w:r>
    </w:p>
    <w:p w14:paraId="42C87EE0" w14:textId="41655232" w:rsidR="006912C4" w:rsidRPr="002E2B5B" w:rsidRDefault="00A03EC9" w:rsidP="00937ED9">
      <w:pPr>
        <w:pStyle w:val="Textoembloco"/>
        <w:spacing w:after="120" w:line="240" w:lineRule="auto"/>
        <w:ind w:left="0" w:right="57"/>
        <w:rPr>
          <w:rFonts w:ascii="Calibri" w:hAnsi="Calibri" w:cs="Calibri"/>
          <w:sz w:val="22"/>
          <w:szCs w:val="22"/>
        </w:rPr>
      </w:pPr>
      <w:r w:rsidRPr="002E2B5B">
        <w:rPr>
          <w:rFonts w:ascii="Calibri" w:hAnsi="Calibri" w:cs="Calibri"/>
          <w:sz w:val="22"/>
          <w:szCs w:val="22"/>
        </w:rPr>
        <w:t>A Companhia tem por objeto social prestar serviços de transporte ferroviário; explorar serviços de carga, descarga, armazenagem e transbordo nas estações, pátios e terrenos existentes na faixa de domínio das linhas ferroviárias objeto da concessão; explorar os transportes intermodais necessários ao desenvolvimento de suas atividades; participar de projetos que tenham como objeto a promoção do desenvolvimento socioeconômico das áreas de influência, visando a ampliação dos serviços ferroviários concedidos; exercer a atividade de operador portuário; exercer outras atividades que utilizem como base a infraestrutura da Companhia; exercer a função de operador de transporte multimodal (OTM) e executar todas as atividades afins ou correlatas às descritas anteriormente.</w:t>
      </w:r>
    </w:p>
    <w:p w14:paraId="541CC9F9" w14:textId="0B520428" w:rsidR="006912C4" w:rsidRPr="002E2B5B" w:rsidRDefault="002761AA" w:rsidP="00937ED9">
      <w:pPr>
        <w:pStyle w:val="Textoembloco"/>
        <w:spacing w:after="120" w:line="240" w:lineRule="auto"/>
        <w:ind w:left="0" w:right="57"/>
        <w:rPr>
          <w:rFonts w:ascii="Calibri" w:hAnsi="Calibri" w:cs="Calibri"/>
          <w:bCs w:val="0"/>
          <w:sz w:val="22"/>
          <w:szCs w:val="22"/>
          <w:shd w:val="clear" w:color="auto" w:fill="FFFFFF"/>
        </w:rPr>
      </w:pPr>
      <w:r w:rsidRPr="002E2B5B">
        <w:rPr>
          <w:rFonts w:ascii="Calibri" w:hAnsi="Calibri" w:cs="Calibri"/>
          <w:bCs w:val="0"/>
          <w:sz w:val="22"/>
          <w:szCs w:val="22"/>
          <w:shd w:val="clear" w:color="auto" w:fill="FFFFFF"/>
        </w:rPr>
        <w:t>A VALEC participa do capital social da Transnordestina Logí</w:t>
      </w:r>
      <w:r w:rsidR="00FC7C73" w:rsidRPr="002E2B5B">
        <w:rPr>
          <w:rFonts w:ascii="Calibri" w:hAnsi="Calibri" w:cs="Calibri"/>
          <w:bCs w:val="0"/>
          <w:sz w:val="22"/>
          <w:szCs w:val="22"/>
          <w:shd w:val="clear" w:color="auto" w:fill="FFFFFF"/>
        </w:rPr>
        <w:t>stica S/A com 20.408.791 ações (</w:t>
      </w:r>
      <w:r w:rsidR="00FC7C73" w:rsidRPr="002E2B5B">
        <w:rPr>
          <w:rFonts w:ascii="Calibri" w:hAnsi="Calibri" w:cs="Calibri"/>
          <w:sz w:val="22"/>
          <w:szCs w:val="22"/>
        </w:rPr>
        <w:t>18.686.075 ações preferenciais e 1.722.716 ações ordinárias)</w:t>
      </w:r>
      <w:r w:rsidR="00FC7C73" w:rsidRPr="002E2B5B">
        <w:rPr>
          <w:rFonts w:ascii="Calibri" w:hAnsi="Calibri" w:cs="Calibri"/>
          <w:sz w:val="16"/>
          <w:szCs w:val="16"/>
        </w:rPr>
        <w:t xml:space="preserve"> </w:t>
      </w:r>
      <w:r w:rsidRPr="002E2B5B">
        <w:rPr>
          <w:rFonts w:ascii="Calibri" w:hAnsi="Calibri" w:cs="Calibri"/>
          <w:bCs w:val="0"/>
          <w:sz w:val="22"/>
          <w:szCs w:val="22"/>
          <w:shd w:val="clear" w:color="auto" w:fill="FFFFFF"/>
        </w:rPr>
        <w:t xml:space="preserve">que correspondem a 39,10% do total de ações, sendo 71,59% das ações preferenciais e 6,60% das ações ordinárias. </w:t>
      </w:r>
    </w:p>
    <w:p w14:paraId="395B8135" w14:textId="670F1E54" w:rsidR="006912C4" w:rsidRPr="002E2B5B" w:rsidRDefault="00475112" w:rsidP="00937ED9">
      <w:pPr>
        <w:pStyle w:val="Textoembloco"/>
        <w:spacing w:after="120" w:line="240" w:lineRule="auto"/>
        <w:ind w:left="0" w:right="57"/>
        <w:rPr>
          <w:rFonts w:ascii="Calibri" w:hAnsi="Calibri" w:cs="Calibri"/>
          <w:sz w:val="22"/>
          <w:szCs w:val="22"/>
          <w:shd w:val="clear" w:color="auto" w:fill="FFFFFF"/>
        </w:rPr>
      </w:pPr>
      <w:r w:rsidRPr="002E2B5B">
        <w:rPr>
          <w:rFonts w:ascii="Calibri" w:hAnsi="Calibri" w:cs="Calibri"/>
          <w:sz w:val="22"/>
          <w:szCs w:val="22"/>
          <w:shd w:val="clear" w:color="auto" w:fill="FFFFFF"/>
        </w:rPr>
        <w:t xml:space="preserve">A VALEC, nos termos da legislação, dos contratos, do </w:t>
      </w:r>
      <w:r w:rsidR="00D1757A" w:rsidRPr="002E2B5B">
        <w:rPr>
          <w:rFonts w:ascii="Calibri" w:hAnsi="Calibri" w:cs="Calibri"/>
          <w:sz w:val="22"/>
          <w:szCs w:val="22"/>
          <w:shd w:val="clear" w:color="auto" w:fill="FFFFFF"/>
        </w:rPr>
        <w:t>A</w:t>
      </w:r>
      <w:r w:rsidRPr="002E2B5B">
        <w:rPr>
          <w:rFonts w:ascii="Calibri" w:hAnsi="Calibri" w:cs="Calibri"/>
          <w:sz w:val="22"/>
          <w:szCs w:val="22"/>
          <w:shd w:val="clear" w:color="auto" w:fill="FFFFFF"/>
        </w:rPr>
        <w:t xml:space="preserve">cordo de </w:t>
      </w:r>
      <w:r w:rsidR="00D1757A" w:rsidRPr="002E2B5B">
        <w:rPr>
          <w:rFonts w:ascii="Calibri" w:hAnsi="Calibri" w:cs="Calibri"/>
          <w:sz w:val="22"/>
          <w:szCs w:val="22"/>
          <w:shd w:val="clear" w:color="auto" w:fill="FFFFFF"/>
        </w:rPr>
        <w:t>A</w:t>
      </w:r>
      <w:r w:rsidRPr="002E2B5B">
        <w:rPr>
          <w:rFonts w:ascii="Calibri" w:hAnsi="Calibri" w:cs="Calibri"/>
          <w:sz w:val="22"/>
          <w:szCs w:val="22"/>
          <w:shd w:val="clear" w:color="auto" w:fill="FFFFFF"/>
        </w:rPr>
        <w:t xml:space="preserve">cionistas e do </w:t>
      </w:r>
      <w:r w:rsidR="00D1757A" w:rsidRPr="002E2B5B">
        <w:rPr>
          <w:rFonts w:ascii="Calibri" w:hAnsi="Calibri" w:cs="Calibri"/>
          <w:sz w:val="22"/>
          <w:szCs w:val="22"/>
          <w:shd w:val="clear" w:color="auto" w:fill="FFFFFF"/>
        </w:rPr>
        <w:t>A</w:t>
      </w:r>
      <w:r w:rsidRPr="002E2B5B">
        <w:rPr>
          <w:rFonts w:ascii="Calibri" w:hAnsi="Calibri" w:cs="Calibri"/>
          <w:sz w:val="22"/>
          <w:szCs w:val="22"/>
          <w:shd w:val="clear" w:color="auto" w:fill="FFFFFF"/>
        </w:rPr>
        <w:t xml:space="preserve">cordo de </w:t>
      </w:r>
      <w:r w:rsidR="00D1757A" w:rsidRPr="002E2B5B">
        <w:rPr>
          <w:rFonts w:ascii="Calibri" w:hAnsi="Calibri" w:cs="Calibri"/>
          <w:sz w:val="22"/>
          <w:szCs w:val="22"/>
          <w:shd w:val="clear" w:color="auto" w:fill="FFFFFF"/>
        </w:rPr>
        <w:t>I</w:t>
      </w:r>
      <w:r w:rsidRPr="002E2B5B">
        <w:rPr>
          <w:rFonts w:ascii="Calibri" w:hAnsi="Calibri" w:cs="Calibri"/>
          <w:sz w:val="22"/>
          <w:szCs w:val="22"/>
          <w:shd w:val="clear" w:color="auto" w:fill="FFFFFF"/>
        </w:rPr>
        <w:t>nvestimento, não é integrante do grupo controlador da TLSA e não possui o controle compartilhado, mantendo a sua característica de acionista minoritária.</w:t>
      </w:r>
      <w:bookmarkStart w:id="2" w:name="_Hlk36135171"/>
    </w:p>
    <w:p w14:paraId="7F3C4A79" w14:textId="4A0B785F" w:rsidR="006912C4" w:rsidRPr="002E2B5B" w:rsidRDefault="009478D8" w:rsidP="00937ED9">
      <w:pPr>
        <w:pStyle w:val="Textoembloco"/>
        <w:spacing w:after="120" w:line="240" w:lineRule="auto"/>
        <w:ind w:left="0" w:right="57"/>
        <w:rPr>
          <w:rFonts w:ascii="Calibri" w:hAnsi="Calibri" w:cs="Calibri"/>
          <w:sz w:val="22"/>
          <w:szCs w:val="22"/>
          <w:shd w:val="clear" w:color="auto" w:fill="FFFFFF"/>
        </w:rPr>
      </w:pPr>
      <w:r w:rsidRPr="002E2B5B">
        <w:rPr>
          <w:rFonts w:ascii="Calibri" w:hAnsi="Calibri" w:cs="Calibri"/>
          <w:sz w:val="22"/>
          <w:szCs w:val="22"/>
          <w:shd w:val="clear" w:color="auto" w:fill="FFFFFF"/>
        </w:rPr>
        <w:t>A Lei nº 6.404/76, de 15 de dezembro de 1976, que dispõe sobre as sociedades por ações, preceitua em seu art.116 o conceito do acionista controlador como a pessoa, natural ou jurídica, ou o grupo de pessoas vinculadas por acordo de voto, ou sob controle comum, que: a) é titular de direitos de sócio que lhe assegurem, de modo permanente, a maioria dos votos nas deliberações da assembleia-geral e o poder de eleger a maioria dos administradores da companhia; e b) usa efetivamente seu poder para dirigir as atividades sociais e orientar o funcionamento dos órgãos da companhia.</w:t>
      </w:r>
    </w:p>
    <w:p w14:paraId="3488BD81" w14:textId="5431E7DA" w:rsidR="006912C4" w:rsidRPr="002E2B5B" w:rsidRDefault="00843229" w:rsidP="00937ED9">
      <w:pPr>
        <w:pStyle w:val="Textoembloco"/>
        <w:spacing w:after="120" w:line="240" w:lineRule="auto"/>
        <w:ind w:left="0" w:right="57"/>
        <w:rPr>
          <w:rFonts w:ascii="Calibri" w:hAnsi="Calibri" w:cs="Calibri"/>
          <w:bCs w:val="0"/>
          <w:sz w:val="22"/>
          <w:szCs w:val="22"/>
          <w:shd w:val="clear" w:color="auto" w:fill="FFFFFF"/>
        </w:rPr>
      </w:pPr>
      <w:r w:rsidRPr="002E2B5B">
        <w:rPr>
          <w:rFonts w:ascii="Calibri" w:hAnsi="Calibri" w:cs="Calibri"/>
          <w:bCs w:val="0"/>
          <w:sz w:val="22"/>
          <w:szCs w:val="22"/>
          <w:shd w:val="clear" w:color="auto" w:fill="FFFFFF"/>
        </w:rPr>
        <w:lastRenderedPageBreak/>
        <w:t>Em 27 de dezembro 2013, após a eleição e posse de dois representantes para compor o Conselho de Administração da Transnordestina Logística S/A, a VALEC passou a considerá-la coligada. Conforme a Norma Brasileira de Contabilidade NBC TG 18 (R3), coligada é a entidade sobre a qual o investidor tem influência significativa, isto é, o investidor possui o direito de participar de certas decisões sobre políticas</w:t>
      </w:r>
      <w:bookmarkStart w:id="3" w:name="SL147989"/>
      <w:bookmarkEnd w:id="3"/>
      <w:r w:rsidRPr="002E2B5B">
        <w:rPr>
          <w:rFonts w:ascii="Calibri" w:hAnsi="Calibri" w:cs="Calibri"/>
          <w:bCs w:val="0"/>
          <w:sz w:val="22"/>
          <w:szCs w:val="22"/>
          <w:shd w:val="clear" w:color="auto" w:fill="FFFFFF"/>
        </w:rPr>
        <w:t xml:space="preserve"> financeiras e operacionais da companhia investida, mas sem exercer controle individual ou conjunto dessas políticas.</w:t>
      </w:r>
    </w:p>
    <w:bookmarkEnd w:id="2"/>
    <w:p w14:paraId="77A757A9" w14:textId="622D1C1D" w:rsidR="00731BB6" w:rsidRPr="002E2B5B" w:rsidRDefault="00E05B2B" w:rsidP="00937ED9">
      <w:pPr>
        <w:pStyle w:val="Textoembloco"/>
        <w:spacing w:after="120" w:line="240" w:lineRule="auto"/>
        <w:ind w:left="0" w:right="57"/>
        <w:rPr>
          <w:rFonts w:ascii="Calibri" w:hAnsi="Calibri" w:cs="Calibri"/>
          <w:bCs w:val="0"/>
          <w:sz w:val="22"/>
          <w:szCs w:val="22"/>
          <w:shd w:val="clear" w:color="auto" w:fill="FFFFFF"/>
        </w:rPr>
      </w:pPr>
      <w:r w:rsidRPr="002E2B5B">
        <w:rPr>
          <w:rFonts w:ascii="Calibri" w:hAnsi="Calibri" w:cs="Calibri"/>
          <w:bCs w:val="0"/>
          <w:sz w:val="22"/>
          <w:szCs w:val="22"/>
          <w:shd w:val="clear" w:color="auto" w:fill="FFFFFF"/>
        </w:rPr>
        <w:t xml:space="preserve">A </w:t>
      </w:r>
      <w:r w:rsidR="00447628" w:rsidRPr="002E2B5B">
        <w:rPr>
          <w:rFonts w:ascii="Calibri" w:hAnsi="Calibri" w:cs="Calibri"/>
          <w:bCs w:val="0"/>
          <w:sz w:val="22"/>
          <w:szCs w:val="22"/>
          <w:shd w:val="clear" w:color="auto" w:fill="FFFFFF"/>
        </w:rPr>
        <w:t>NBC TG</w:t>
      </w:r>
      <w:r w:rsidR="00EE4322" w:rsidRPr="002E2B5B">
        <w:rPr>
          <w:rFonts w:ascii="Calibri" w:hAnsi="Calibri" w:cs="Calibri"/>
          <w:bCs w:val="0"/>
          <w:sz w:val="22"/>
          <w:szCs w:val="22"/>
          <w:shd w:val="clear" w:color="auto" w:fill="FFFFFF"/>
        </w:rPr>
        <w:t xml:space="preserve"> 18</w:t>
      </w:r>
      <w:r w:rsidR="00447628" w:rsidRPr="002E2B5B">
        <w:rPr>
          <w:rFonts w:ascii="Calibri" w:hAnsi="Calibri" w:cs="Calibri"/>
          <w:bCs w:val="0"/>
          <w:sz w:val="22"/>
          <w:szCs w:val="22"/>
          <w:shd w:val="clear" w:color="auto" w:fill="FFFFFF"/>
        </w:rPr>
        <w:t xml:space="preserve"> (R3)</w:t>
      </w:r>
      <w:r w:rsidR="002761AA" w:rsidRPr="002E2B5B">
        <w:rPr>
          <w:rFonts w:ascii="Calibri" w:hAnsi="Calibri" w:cs="Calibri"/>
          <w:bCs w:val="0"/>
          <w:sz w:val="22"/>
          <w:szCs w:val="22"/>
          <w:shd w:val="clear" w:color="auto" w:fill="FFFFFF"/>
        </w:rPr>
        <w:t xml:space="preserve"> determina que o investimento em coligada seja avaliado pelo método da equivalência patrimonial, o qual deve ser inicialmente reconhecido pelo custo e o seu valor contábil aumentado ou diminuído pelo reconhecimento da participação do investidor nos lucros ou prejuízos do período, gerados pela investida após a aquisição. A participação do investidor no lucro ou prejuízo do período da investida deve ser reconhecida no resultado do período do investidor.</w:t>
      </w:r>
    </w:p>
    <w:p w14:paraId="112CD9B0" w14:textId="5A103867" w:rsidR="006912C4" w:rsidRDefault="00843229" w:rsidP="00937ED9">
      <w:pPr>
        <w:pStyle w:val="Textoembloco"/>
        <w:spacing w:after="120" w:line="240" w:lineRule="auto"/>
        <w:ind w:left="0" w:right="57"/>
        <w:rPr>
          <w:rFonts w:ascii="Calibri" w:hAnsi="Calibri" w:cs="Calibri"/>
          <w:bCs w:val="0"/>
          <w:sz w:val="22"/>
          <w:szCs w:val="22"/>
          <w:shd w:val="clear" w:color="auto" w:fill="FFFFFF"/>
        </w:rPr>
      </w:pPr>
      <w:r w:rsidRPr="002E2B5B">
        <w:rPr>
          <w:rFonts w:ascii="Calibri" w:hAnsi="Calibri" w:cs="Calibri"/>
          <w:bCs w:val="0"/>
          <w:sz w:val="22"/>
          <w:szCs w:val="22"/>
          <w:shd w:val="clear" w:color="auto" w:fill="FFFFFF"/>
        </w:rPr>
        <w:t xml:space="preserve">Até o ano de 2016, a VALEC aportou o montante de R$ 1.124,6 milhões na TLSA. Desde janeiro de 2017, por determinação do Tribunal de Contas da União – Acórdão </w:t>
      </w:r>
      <w:r w:rsidR="003648BA">
        <w:rPr>
          <w:rFonts w:ascii="Calibri" w:hAnsi="Calibri" w:cs="Calibri"/>
          <w:bCs w:val="0"/>
          <w:sz w:val="22"/>
          <w:szCs w:val="22"/>
          <w:shd w:val="clear" w:color="auto" w:fill="FFFFFF"/>
        </w:rPr>
        <w:t>n</w:t>
      </w:r>
      <w:r w:rsidRPr="002E2B5B">
        <w:rPr>
          <w:rFonts w:ascii="Calibri" w:hAnsi="Calibri" w:cs="Calibri"/>
          <w:bCs w:val="0"/>
          <w:sz w:val="22"/>
          <w:szCs w:val="22"/>
          <w:shd w:val="clear" w:color="auto" w:fill="FFFFFF"/>
        </w:rPr>
        <w:t>° 67/2017, estão suspensos novos aportes de recursos públicos para o projeto.</w:t>
      </w:r>
    </w:p>
    <w:p w14:paraId="36B49F7A" w14:textId="75880AD9" w:rsidR="00993F2B" w:rsidRDefault="00623ED3" w:rsidP="00937ED9">
      <w:pPr>
        <w:pStyle w:val="Textoembloco"/>
        <w:spacing w:after="120" w:line="240" w:lineRule="auto"/>
        <w:ind w:left="0" w:right="57"/>
        <w:rPr>
          <w:rFonts w:ascii="Calibri" w:hAnsi="Calibri" w:cs="Calibri"/>
          <w:bCs w:val="0"/>
          <w:sz w:val="22"/>
          <w:szCs w:val="22"/>
          <w:shd w:val="clear" w:color="auto" w:fill="FFFFFF"/>
        </w:rPr>
      </w:pPr>
      <w:r>
        <w:rPr>
          <w:rFonts w:ascii="Calibri" w:hAnsi="Calibri" w:cs="Calibri"/>
          <w:bCs w:val="0"/>
          <w:sz w:val="22"/>
          <w:szCs w:val="22"/>
          <w:shd w:val="clear" w:color="auto" w:fill="FFFFFF"/>
        </w:rPr>
        <w:t>Até o 2</w:t>
      </w:r>
      <w:r w:rsidR="00690284">
        <w:rPr>
          <w:rFonts w:ascii="Calibri" w:hAnsi="Calibri" w:cs="Calibri"/>
          <w:bCs w:val="0"/>
          <w:sz w:val="22"/>
          <w:szCs w:val="22"/>
          <w:shd w:val="clear" w:color="auto" w:fill="FFFFFF"/>
        </w:rPr>
        <w:t xml:space="preserve">º trimestre de </w:t>
      </w:r>
      <w:r w:rsidR="00690284" w:rsidRPr="00690284">
        <w:rPr>
          <w:rFonts w:ascii="Calibri" w:hAnsi="Calibri" w:cs="Calibri"/>
          <w:bCs w:val="0"/>
          <w:sz w:val="22"/>
          <w:szCs w:val="22"/>
          <w:shd w:val="clear" w:color="auto" w:fill="FFFFFF"/>
        </w:rPr>
        <w:t>202</w:t>
      </w:r>
      <w:r w:rsidR="00690284">
        <w:rPr>
          <w:rFonts w:ascii="Calibri" w:hAnsi="Calibri" w:cs="Calibri"/>
          <w:bCs w:val="0"/>
          <w:sz w:val="22"/>
          <w:szCs w:val="22"/>
          <w:shd w:val="clear" w:color="auto" w:fill="FFFFFF"/>
        </w:rPr>
        <w:t>2</w:t>
      </w:r>
      <w:r w:rsidR="00690284" w:rsidRPr="00690284">
        <w:rPr>
          <w:rFonts w:ascii="Calibri" w:hAnsi="Calibri" w:cs="Calibri"/>
          <w:bCs w:val="0"/>
          <w:sz w:val="22"/>
          <w:szCs w:val="22"/>
          <w:shd w:val="clear" w:color="auto" w:fill="FFFFFF"/>
        </w:rPr>
        <w:t xml:space="preserve">, a Transnordestina Logística S/A apresentou um resultado negativo de R$ </w:t>
      </w:r>
      <w:r>
        <w:rPr>
          <w:rFonts w:ascii="Calibri" w:hAnsi="Calibri" w:cs="Calibri"/>
          <w:bCs w:val="0"/>
          <w:sz w:val="22"/>
          <w:szCs w:val="22"/>
          <w:shd w:val="clear" w:color="auto" w:fill="FFFFFF"/>
        </w:rPr>
        <w:t>33</w:t>
      </w:r>
      <w:r w:rsidR="00690284">
        <w:rPr>
          <w:rFonts w:ascii="Calibri" w:hAnsi="Calibri" w:cs="Calibri"/>
          <w:bCs w:val="0"/>
          <w:sz w:val="22"/>
          <w:szCs w:val="22"/>
          <w:shd w:val="clear" w:color="auto" w:fill="FFFFFF"/>
        </w:rPr>
        <w:t>,</w:t>
      </w:r>
      <w:r>
        <w:rPr>
          <w:rFonts w:ascii="Calibri" w:hAnsi="Calibri" w:cs="Calibri"/>
          <w:bCs w:val="0"/>
          <w:sz w:val="22"/>
          <w:szCs w:val="22"/>
          <w:shd w:val="clear" w:color="auto" w:fill="FFFFFF"/>
        </w:rPr>
        <w:t>6</w:t>
      </w:r>
      <w:r w:rsidR="00690284" w:rsidRPr="00690284">
        <w:rPr>
          <w:rFonts w:ascii="Calibri" w:hAnsi="Calibri" w:cs="Calibri"/>
          <w:bCs w:val="0"/>
          <w:sz w:val="22"/>
          <w:szCs w:val="22"/>
          <w:shd w:val="clear" w:color="auto" w:fill="FFFFFF"/>
        </w:rPr>
        <w:t xml:space="preserve"> milhões, o que provocou para a VALEC uma perda de equivalência patrimonial deste investimento na ordem de R$ </w:t>
      </w:r>
      <w:r>
        <w:rPr>
          <w:rFonts w:ascii="Calibri" w:hAnsi="Calibri" w:cs="Calibri"/>
          <w:bCs w:val="0"/>
          <w:sz w:val="22"/>
          <w:szCs w:val="22"/>
          <w:shd w:val="clear" w:color="auto" w:fill="FFFFFF"/>
        </w:rPr>
        <w:t>13</w:t>
      </w:r>
      <w:r w:rsidR="00690284">
        <w:rPr>
          <w:rFonts w:ascii="Calibri" w:hAnsi="Calibri" w:cs="Calibri"/>
          <w:bCs w:val="0"/>
          <w:sz w:val="22"/>
          <w:szCs w:val="22"/>
          <w:shd w:val="clear" w:color="auto" w:fill="FFFFFF"/>
        </w:rPr>
        <w:t>,</w:t>
      </w:r>
      <w:r>
        <w:rPr>
          <w:rFonts w:ascii="Calibri" w:hAnsi="Calibri" w:cs="Calibri"/>
          <w:bCs w:val="0"/>
          <w:sz w:val="22"/>
          <w:szCs w:val="22"/>
          <w:shd w:val="clear" w:color="auto" w:fill="FFFFFF"/>
        </w:rPr>
        <w:t>1</w:t>
      </w:r>
      <w:r w:rsidR="00690284" w:rsidRPr="00690284">
        <w:rPr>
          <w:rFonts w:ascii="Calibri" w:hAnsi="Calibri" w:cs="Calibri"/>
          <w:bCs w:val="0"/>
          <w:sz w:val="22"/>
          <w:szCs w:val="22"/>
          <w:shd w:val="clear" w:color="auto" w:fill="FFFFFF"/>
        </w:rPr>
        <w:t xml:space="preserve"> milhões no período.</w:t>
      </w:r>
    </w:p>
    <w:p w14:paraId="454F1F30" w14:textId="6BAB5B13" w:rsidR="007568E7" w:rsidRPr="002E2B5B" w:rsidRDefault="007568E7" w:rsidP="00937ED9">
      <w:pPr>
        <w:spacing w:after="120"/>
        <w:ind w:right="-85"/>
        <w:jc w:val="both"/>
        <w:rPr>
          <w:rFonts w:ascii="Calibri" w:hAnsi="Calibri" w:cs="Calibri"/>
          <w:b/>
          <w:sz w:val="22"/>
          <w:szCs w:val="22"/>
          <w:shd w:val="clear" w:color="auto" w:fill="FFFFFF"/>
        </w:rPr>
      </w:pPr>
      <w:r w:rsidRPr="002E2B5B">
        <w:rPr>
          <w:rFonts w:ascii="Calibri" w:hAnsi="Calibri" w:cs="Calibri"/>
          <w:b/>
          <w:sz w:val="22"/>
          <w:szCs w:val="22"/>
          <w:shd w:val="clear" w:color="auto" w:fill="FFFFFF"/>
        </w:rPr>
        <w:t xml:space="preserve">NOTA </w:t>
      </w:r>
      <w:r w:rsidR="003648BA">
        <w:rPr>
          <w:rFonts w:ascii="Calibri" w:hAnsi="Calibri" w:cs="Calibri"/>
          <w:b/>
          <w:sz w:val="22"/>
          <w:szCs w:val="22"/>
          <w:shd w:val="clear" w:color="auto" w:fill="FFFFFF"/>
        </w:rPr>
        <w:t>8</w:t>
      </w:r>
      <w:r w:rsidRPr="002E2B5B">
        <w:rPr>
          <w:rFonts w:ascii="Calibri" w:hAnsi="Calibri" w:cs="Calibri"/>
          <w:b/>
          <w:sz w:val="22"/>
          <w:szCs w:val="22"/>
          <w:shd w:val="clear" w:color="auto" w:fill="FFFFFF"/>
        </w:rPr>
        <w:t xml:space="preserve"> – IMOBILIZADO</w:t>
      </w:r>
      <w:r w:rsidR="00DB7529" w:rsidRPr="002E2B5B">
        <w:rPr>
          <w:rFonts w:ascii="Calibri" w:hAnsi="Calibri" w:cs="Calibri"/>
          <w:b/>
          <w:sz w:val="22"/>
          <w:szCs w:val="22"/>
          <w:shd w:val="clear" w:color="auto" w:fill="FFFFFF"/>
        </w:rPr>
        <w:t xml:space="preserve"> </w:t>
      </w:r>
    </w:p>
    <w:p w14:paraId="076C46DD" w14:textId="77777777" w:rsidR="004A5C0E" w:rsidRPr="002E2B5B" w:rsidRDefault="004A5C0E" w:rsidP="00937ED9">
      <w:pPr>
        <w:spacing w:after="120"/>
        <w:ind w:right="-85"/>
        <w:jc w:val="both"/>
        <w:rPr>
          <w:rFonts w:ascii="Calibri" w:hAnsi="Calibri" w:cs="Calibri"/>
          <w:b/>
          <w:sz w:val="22"/>
          <w:szCs w:val="22"/>
          <w:shd w:val="clear" w:color="auto" w:fill="FFFFFF"/>
        </w:rPr>
      </w:pPr>
      <w:r w:rsidRPr="002E2B5B">
        <w:rPr>
          <w:rFonts w:ascii="Calibri" w:hAnsi="Calibri" w:cs="Calibri"/>
          <w:b/>
          <w:sz w:val="22"/>
          <w:szCs w:val="22"/>
          <w:shd w:val="clear" w:color="auto" w:fill="FFFFFF"/>
        </w:rPr>
        <w:t>I – COMPOSIÇÃO E FLUXO DO ATIVO IMOBILIZADO:</w:t>
      </w:r>
    </w:p>
    <w:p w14:paraId="792B2C8A" w14:textId="4DA147BE" w:rsidR="00484222" w:rsidRDefault="00A32466" w:rsidP="00937ED9">
      <w:pPr>
        <w:spacing w:after="120"/>
        <w:ind w:right="-85"/>
        <w:jc w:val="both"/>
        <w:rPr>
          <w:rFonts w:ascii="Calibri" w:hAnsi="Calibri" w:cs="Calibri"/>
          <w:bCs/>
          <w:sz w:val="22"/>
          <w:szCs w:val="22"/>
          <w:shd w:val="clear" w:color="auto" w:fill="FFFFFF"/>
        </w:rPr>
      </w:pPr>
      <w:r w:rsidRPr="002E2B5B">
        <w:rPr>
          <w:rFonts w:ascii="Calibri" w:hAnsi="Calibri" w:cs="Calibri"/>
          <w:bCs/>
          <w:sz w:val="22"/>
          <w:szCs w:val="22"/>
          <w:shd w:val="clear" w:color="auto" w:fill="FFFFFF"/>
        </w:rPr>
        <w:t>O fluxo de movimentação do ativo imobilizado da VALEC</w:t>
      </w:r>
      <w:r w:rsidR="00A717AC">
        <w:rPr>
          <w:rFonts w:ascii="Calibri" w:hAnsi="Calibri" w:cs="Calibri"/>
          <w:bCs/>
          <w:sz w:val="22"/>
          <w:szCs w:val="22"/>
          <w:shd w:val="clear" w:color="auto" w:fill="FFFFFF"/>
        </w:rPr>
        <w:t>,</w:t>
      </w:r>
      <w:r w:rsidRPr="002E2B5B">
        <w:rPr>
          <w:rFonts w:ascii="Calibri" w:hAnsi="Calibri" w:cs="Calibri"/>
          <w:bCs/>
          <w:sz w:val="22"/>
          <w:szCs w:val="22"/>
          <w:shd w:val="clear" w:color="auto" w:fill="FFFFFF"/>
        </w:rPr>
        <w:t xml:space="preserve"> no </w:t>
      </w:r>
      <w:r w:rsidR="004133F5">
        <w:rPr>
          <w:rFonts w:ascii="Calibri" w:hAnsi="Calibri" w:cs="Calibri"/>
          <w:bCs/>
          <w:sz w:val="22"/>
          <w:szCs w:val="22"/>
          <w:shd w:val="clear" w:color="auto" w:fill="FFFFFF"/>
        </w:rPr>
        <w:t>2</w:t>
      </w:r>
      <w:r w:rsidR="00A717AC">
        <w:rPr>
          <w:rFonts w:ascii="Calibri" w:hAnsi="Calibri" w:cs="Calibri"/>
          <w:bCs/>
          <w:sz w:val="22"/>
          <w:szCs w:val="22"/>
          <w:shd w:val="clear" w:color="auto" w:fill="FFFFFF"/>
        </w:rPr>
        <w:t>º trimestre de 2022,</w:t>
      </w:r>
      <w:r w:rsidR="00954EAC">
        <w:rPr>
          <w:rFonts w:ascii="Calibri" w:hAnsi="Calibri" w:cs="Calibri"/>
          <w:bCs/>
          <w:sz w:val="22"/>
          <w:szCs w:val="22"/>
          <w:shd w:val="clear" w:color="auto" w:fill="FFFFFF"/>
        </w:rPr>
        <w:t xml:space="preserve"> </w:t>
      </w:r>
      <w:r w:rsidRPr="002E2B5B">
        <w:rPr>
          <w:rFonts w:ascii="Calibri" w:hAnsi="Calibri" w:cs="Calibri"/>
          <w:bCs/>
          <w:sz w:val="22"/>
          <w:szCs w:val="22"/>
          <w:shd w:val="clear" w:color="auto" w:fill="FFFFFF"/>
        </w:rPr>
        <w:t>está representado na tabela abaixo e justificado nos itens que segue:</w:t>
      </w:r>
    </w:p>
    <w:tbl>
      <w:tblPr>
        <w:tblW w:w="10520" w:type="dxa"/>
        <w:tblCellMar>
          <w:left w:w="70" w:type="dxa"/>
          <w:right w:w="70" w:type="dxa"/>
        </w:tblCellMar>
        <w:tblLook w:val="04A0" w:firstRow="1" w:lastRow="0" w:firstColumn="1" w:lastColumn="0" w:noHBand="0" w:noVBand="1"/>
      </w:tblPr>
      <w:tblGrid>
        <w:gridCol w:w="3145"/>
        <w:gridCol w:w="1418"/>
        <w:gridCol w:w="1237"/>
        <w:gridCol w:w="1128"/>
        <w:gridCol w:w="1359"/>
        <w:gridCol w:w="1490"/>
        <w:gridCol w:w="743"/>
      </w:tblGrid>
      <w:tr w:rsidR="004133F5" w14:paraId="2E685E83" w14:textId="77777777" w:rsidTr="004133F5">
        <w:trPr>
          <w:trHeight w:val="465"/>
        </w:trPr>
        <w:tc>
          <w:tcPr>
            <w:tcW w:w="3145" w:type="dxa"/>
            <w:tcBorders>
              <w:top w:val="nil"/>
              <w:left w:val="nil"/>
              <w:bottom w:val="single" w:sz="8" w:space="0" w:color="auto"/>
              <w:right w:val="nil"/>
            </w:tcBorders>
            <w:shd w:val="clear" w:color="auto" w:fill="auto"/>
            <w:vAlign w:val="center"/>
            <w:hideMark/>
          </w:tcPr>
          <w:p w14:paraId="3C9B12DB" w14:textId="77777777" w:rsidR="004133F5" w:rsidRDefault="004133F5">
            <w:pPr>
              <w:rPr>
                <w:rFonts w:ascii="Calibri" w:hAnsi="Calibri" w:cs="Calibri"/>
                <w:b/>
                <w:bCs/>
                <w:color w:val="000000"/>
                <w:sz w:val="16"/>
                <w:szCs w:val="16"/>
              </w:rPr>
            </w:pPr>
            <w:r>
              <w:rPr>
                <w:rFonts w:ascii="Calibri" w:hAnsi="Calibri" w:cs="Calibri"/>
                <w:b/>
                <w:bCs/>
                <w:color w:val="000000"/>
                <w:sz w:val="16"/>
                <w:szCs w:val="16"/>
              </w:rPr>
              <w:t>IMOBILIZADO BENS MÓVEIS</w:t>
            </w:r>
          </w:p>
        </w:tc>
        <w:tc>
          <w:tcPr>
            <w:tcW w:w="1418" w:type="dxa"/>
            <w:tcBorders>
              <w:top w:val="nil"/>
              <w:left w:val="nil"/>
              <w:bottom w:val="single" w:sz="8" w:space="0" w:color="auto"/>
              <w:right w:val="nil"/>
            </w:tcBorders>
            <w:shd w:val="clear" w:color="auto" w:fill="auto"/>
            <w:vAlign w:val="center"/>
            <w:hideMark/>
          </w:tcPr>
          <w:p w14:paraId="242F3506" w14:textId="77777777" w:rsidR="004133F5" w:rsidRDefault="004133F5">
            <w:pPr>
              <w:jc w:val="right"/>
              <w:rPr>
                <w:rFonts w:ascii="Calibri" w:hAnsi="Calibri" w:cs="Calibri"/>
                <w:b/>
                <w:bCs/>
                <w:color w:val="000000"/>
                <w:sz w:val="16"/>
                <w:szCs w:val="16"/>
              </w:rPr>
            </w:pPr>
            <w:r>
              <w:rPr>
                <w:rFonts w:ascii="Calibri" w:hAnsi="Calibri" w:cs="Calibri"/>
                <w:b/>
                <w:bCs/>
                <w:color w:val="000000"/>
                <w:sz w:val="16"/>
                <w:szCs w:val="16"/>
              </w:rPr>
              <w:t>SALDO EM 31/12/2021</w:t>
            </w:r>
          </w:p>
        </w:tc>
        <w:tc>
          <w:tcPr>
            <w:tcW w:w="1237" w:type="dxa"/>
            <w:tcBorders>
              <w:top w:val="nil"/>
              <w:left w:val="nil"/>
              <w:bottom w:val="single" w:sz="8" w:space="0" w:color="auto"/>
              <w:right w:val="nil"/>
            </w:tcBorders>
            <w:shd w:val="clear" w:color="auto" w:fill="auto"/>
            <w:vAlign w:val="center"/>
            <w:hideMark/>
          </w:tcPr>
          <w:p w14:paraId="4211FC60" w14:textId="77777777" w:rsidR="004133F5" w:rsidRDefault="004133F5">
            <w:pPr>
              <w:jc w:val="right"/>
              <w:rPr>
                <w:rFonts w:ascii="Calibri" w:hAnsi="Calibri" w:cs="Calibri"/>
                <w:b/>
                <w:bCs/>
                <w:color w:val="000000"/>
                <w:sz w:val="16"/>
                <w:szCs w:val="16"/>
              </w:rPr>
            </w:pPr>
            <w:r>
              <w:rPr>
                <w:rFonts w:ascii="Calibri" w:hAnsi="Calibri" w:cs="Calibri"/>
                <w:b/>
                <w:bCs/>
                <w:color w:val="000000"/>
                <w:sz w:val="16"/>
                <w:szCs w:val="16"/>
              </w:rPr>
              <w:t>ENTRADAS</w:t>
            </w:r>
          </w:p>
        </w:tc>
        <w:tc>
          <w:tcPr>
            <w:tcW w:w="1128" w:type="dxa"/>
            <w:tcBorders>
              <w:top w:val="nil"/>
              <w:left w:val="nil"/>
              <w:bottom w:val="single" w:sz="8" w:space="0" w:color="auto"/>
              <w:right w:val="nil"/>
            </w:tcBorders>
            <w:shd w:val="clear" w:color="auto" w:fill="auto"/>
            <w:vAlign w:val="center"/>
            <w:hideMark/>
          </w:tcPr>
          <w:p w14:paraId="470BB682" w14:textId="77777777" w:rsidR="004133F5" w:rsidRDefault="004133F5">
            <w:pPr>
              <w:jc w:val="right"/>
              <w:rPr>
                <w:rFonts w:ascii="Calibri" w:hAnsi="Calibri" w:cs="Calibri"/>
                <w:b/>
                <w:bCs/>
                <w:color w:val="000000"/>
                <w:sz w:val="16"/>
                <w:szCs w:val="16"/>
              </w:rPr>
            </w:pPr>
            <w:r>
              <w:rPr>
                <w:rFonts w:ascii="Calibri" w:hAnsi="Calibri" w:cs="Calibri"/>
                <w:b/>
                <w:bCs/>
                <w:color w:val="000000"/>
                <w:sz w:val="16"/>
                <w:szCs w:val="16"/>
              </w:rPr>
              <w:t>BAIXAS</w:t>
            </w:r>
          </w:p>
        </w:tc>
        <w:tc>
          <w:tcPr>
            <w:tcW w:w="1359" w:type="dxa"/>
            <w:tcBorders>
              <w:top w:val="nil"/>
              <w:left w:val="nil"/>
              <w:bottom w:val="single" w:sz="8" w:space="0" w:color="auto"/>
              <w:right w:val="nil"/>
            </w:tcBorders>
            <w:shd w:val="clear" w:color="auto" w:fill="auto"/>
            <w:vAlign w:val="center"/>
            <w:hideMark/>
          </w:tcPr>
          <w:p w14:paraId="27656595" w14:textId="77777777" w:rsidR="004133F5" w:rsidRDefault="004133F5">
            <w:pPr>
              <w:jc w:val="right"/>
              <w:rPr>
                <w:rFonts w:ascii="Calibri" w:hAnsi="Calibri" w:cs="Calibri"/>
                <w:b/>
                <w:bCs/>
                <w:color w:val="000000"/>
                <w:sz w:val="16"/>
                <w:szCs w:val="16"/>
              </w:rPr>
            </w:pPr>
            <w:r>
              <w:rPr>
                <w:rFonts w:ascii="Calibri" w:hAnsi="Calibri" w:cs="Calibri"/>
                <w:b/>
                <w:bCs/>
                <w:color w:val="000000"/>
                <w:sz w:val="16"/>
                <w:szCs w:val="16"/>
              </w:rPr>
              <w:t>TRANSF.</w:t>
            </w:r>
          </w:p>
        </w:tc>
        <w:tc>
          <w:tcPr>
            <w:tcW w:w="1490" w:type="dxa"/>
            <w:tcBorders>
              <w:top w:val="nil"/>
              <w:left w:val="nil"/>
              <w:bottom w:val="single" w:sz="8" w:space="0" w:color="auto"/>
              <w:right w:val="nil"/>
            </w:tcBorders>
            <w:shd w:val="clear" w:color="auto" w:fill="auto"/>
            <w:vAlign w:val="center"/>
            <w:hideMark/>
          </w:tcPr>
          <w:p w14:paraId="77F6BC20" w14:textId="77777777" w:rsidR="004133F5" w:rsidRDefault="004133F5">
            <w:pPr>
              <w:jc w:val="right"/>
              <w:rPr>
                <w:rFonts w:ascii="Calibri" w:hAnsi="Calibri" w:cs="Calibri"/>
                <w:b/>
                <w:bCs/>
                <w:color w:val="000000"/>
                <w:sz w:val="16"/>
                <w:szCs w:val="16"/>
              </w:rPr>
            </w:pPr>
            <w:r>
              <w:rPr>
                <w:rFonts w:ascii="Calibri" w:hAnsi="Calibri" w:cs="Calibri"/>
                <w:b/>
                <w:bCs/>
                <w:color w:val="000000"/>
                <w:sz w:val="16"/>
                <w:szCs w:val="16"/>
              </w:rPr>
              <w:t>SALDO EM 30/06/2022</w:t>
            </w:r>
          </w:p>
        </w:tc>
        <w:tc>
          <w:tcPr>
            <w:tcW w:w="743" w:type="dxa"/>
            <w:tcBorders>
              <w:top w:val="nil"/>
              <w:left w:val="nil"/>
              <w:bottom w:val="single" w:sz="8" w:space="0" w:color="auto"/>
              <w:right w:val="nil"/>
            </w:tcBorders>
            <w:shd w:val="clear" w:color="auto" w:fill="auto"/>
            <w:vAlign w:val="center"/>
            <w:hideMark/>
          </w:tcPr>
          <w:p w14:paraId="4F9BFDE7" w14:textId="77777777" w:rsidR="004133F5" w:rsidRDefault="004133F5">
            <w:pPr>
              <w:jc w:val="right"/>
              <w:rPr>
                <w:rFonts w:ascii="Calibri" w:hAnsi="Calibri" w:cs="Calibri"/>
                <w:b/>
                <w:bCs/>
                <w:color w:val="000000"/>
                <w:sz w:val="16"/>
                <w:szCs w:val="16"/>
              </w:rPr>
            </w:pPr>
            <w:r>
              <w:rPr>
                <w:rFonts w:ascii="Calibri" w:hAnsi="Calibri" w:cs="Calibri"/>
                <w:b/>
                <w:bCs/>
                <w:color w:val="000000"/>
                <w:sz w:val="16"/>
                <w:szCs w:val="16"/>
              </w:rPr>
              <w:t>TAXA DEPREC. (%)</w:t>
            </w:r>
          </w:p>
        </w:tc>
      </w:tr>
      <w:tr w:rsidR="004133F5" w14:paraId="3E48A37B" w14:textId="77777777" w:rsidTr="004133F5">
        <w:trPr>
          <w:trHeight w:val="300"/>
        </w:trPr>
        <w:tc>
          <w:tcPr>
            <w:tcW w:w="3145" w:type="dxa"/>
            <w:tcBorders>
              <w:top w:val="nil"/>
              <w:left w:val="nil"/>
              <w:bottom w:val="nil"/>
              <w:right w:val="nil"/>
            </w:tcBorders>
            <w:shd w:val="clear" w:color="auto" w:fill="auto"/>
            <w:noWrap/>
            <w:vAlign w:val="center"/>
            <w:hideMark/>
          </w:tcPr>
          <w:p w14:paraId="74FE8806" w14:textId="77777777" w:rsidR="004133F5" w:rsidRDefault="004133F5">
            <w:pPr>
              <w:rPr>
                <w:rFonts w:ascii="Calibri" w:hAnsi="Calibri" w:cs="Calibri"/>
                <w:color w:val="000000"/>
                <w:sz w:val="16"/>
                <w:szCs w:val="16"/>
              </w:rPr>
            </w:pPr>
            <w:r>
              <w:rPr>
                <w:rFonts w:ascii="Calibri" w:hAnsi="Calibri" w:cs="Calibri"/>
                <w:color w:val="000000"/>
                <w:sz w:val="16"/>
                <w:szCs w:val="16"/>
              </w:rPr>
              <w:t>Mobiliário em Geral</w:t>
            </w:r>
          </w:p>
        </w:tc>
        <w:tc>
          <w:tcPr>
            <w:tcW w:w="1418" w:type="dxa"/>
            <w:tcBorders>
              <w:top w:val="nil"/>
              <w:left w:val="nil"/>
              <w:bottom w:val="nil"/>
              <w:right w:val="nil"/>
            </w:tcBorders>
            <w:shd w:val="clear" w:color="auto" w:fill="auto"/>
            <w:noWrap/>
            <w:vAlign w:val="center"/>
            <w:hideMark/>
          </w:tcPr>
          <w:p w14:paraId="63B55679" w14:textId="77777777" w:rsidR="004133F5" w:rsidRDefault="004133F5">
            <w:pPr>
              <w:jc w:val="right"/>
              <w:rPr>
                <w:rFonts w:ascii="Calibri" w:hAnsi="Calibri" w:cs="Calibri"/>
                <w:color w:val="000000"/>
                <w:sz w:val="16"/>
                <w:szCs w:val="16"/>
              </w:rPr>
            </w:pPr>
            <w:r>
              <w:rPr>
                <w:rFonts w:ascii="Calibri" w:hAnsi="Calibri" w:cs="Calibri"/>
                <w:color w:val="000000"/>
                <w:sz w:val="16"/>
                <w:szCs w:val="16"/>
              </w:rPr>
              <w:t xml:space="preserve">                 8.704.128 </w:t>
            </w:r>
          </w:p>
        </w:tc>
        <w:tc>
          <w:tcPr>
            <w:tcW w:w="1237" w:type="dxa"/>
            <w:tcBorders>
              <w:top w:val="nil"/>
              <w:left w:val="nil"/>
              <w:bottom w:val="nil"/>
              <w:right w:val="nil"/>
            </w:tcBorders>
            <w:shd w:val="clear" w:color="auto" w:fill="auto"/>
            <w:noWrap/>
            <w:vAlign w:val="center"/>
            <w:hideMark/>
          </w:tcPr>
          <w:p w14:paraId="3EC34962" w14:textId="04A71701" w:rsidR="004133F5" w:rsidRDefault="004133F5" w:rsidP="004133F5">
            <w:pPr>
              <w:rPr>
                <w:rFonts w:ascii="Calibri" w:hAnsi="Calibri" w:cs="Calibri"/>
                <w:color w:val="000000"/>
                <w:sz w:val="16"/>
                <w:szCs w:val="16"/>
              </w:rPr>
            </w:pPr>
            <w:r>
              <w:rPr>
                <w:rFonts w:ascii="Calibri" w:hAnsi="Calibri" w:cs="Calibri"/>
                <w:color w:val="000000"/>
                <w:sz w:val="16"/>
                <w:szCs w:val="16"/>
              </w:rPr>
              <w:t xml:space="preserve">                            -   </w:t>
            </w:r>
          </w:p>
        </w:tc>
        <w:tc>
          <w:tcPr>
            <w:tcW w:w="1128" w:type="dxa"/>
            <w:tcBorders>
              <w:top w:val="nil"/>
              <w:left w:val="nil"/>
              <w:bottom w:val="nil"/>
              <w:right w:val="nil"/>
            </w:tcBorders>
            <w:shd w:val="clear" w:color="auto" w:fill="auto"/>
            <w:noWrap/>
            <w:vAlign w:val="center"/>
            <w:hideMark/>
          </w:tcPr>
          <w:p w14:paraId="64E2FDE1" w14:textId="79F09778" w:rsidR="004133F5" w:rsidRDefault="004133F5">
            <w:pPr>
              <w:jc w:val="right"/>
              <w:rPr>
                <w:rFonts w:ascii="Calibri" w:hAnsi="Calibri" w:cs="Calibri"/>
                <w:color w:val="000000"/>
                <w:sz w:val="16"/>
                <w:szCs w:val="16"/>
              </w:rPr>
            </w:pPr>
            <w:r>
              <w:rPr>
                <w:rFonts w:ascii="Calibri" w:hAnsi="Calibri" w:cs="Calibri"/>
                <w:color w:val="000000"/>
                <w:sz w:val="16"/>
                <w:szCs w:val="16"/>
              </w:rPr>
              <w:t xml:space="preserve">                         -   </w:t>
            </w:r>
          </w:p>
        </w:tc>
        <w:tc>
          <w:tcPr>
            <w:tcW w:w="1359" w:type="dxa"/>
            <w:tcBorders>
              <w:top w:val="nil"/>
              <w:left w:val="nil"/>
              <w:bottom w:val="nil"/>
              <w:right w:val="nil"/>
            </w:tcBorders>
            <w:shd w:val="clear" w:color="auto" w:fill="auto"/>
            <w:noWrap/>
            <w:vAlign w:val="center"/>
            <w:hideMark/>
          </w:tcPr>
          <w:p w14:paraId="7332934D" w14:textId="77777777" w:rsidR="004133F5" w:rsidRDefault="004133F5">
            <w:pPr>
              <w:jc w:val="right"/>
              <w:rPr>
                <w:rFonts w:ascii="Calibri" w:hAnsi="Calibri" w:cs="Calibri"/>
                <w:color w:val="000000"/>
                <w:sz w:val="16"/>
                <w:szCs w:val="16"/>
              </w:rPr>
            </w:pPr>
            <w:r>
              <w:rPr>
                <w:rFonts w:ascii="Calibri" w:hAnsi="Calibri" w:cs="Calibri"/>
                <w:color w:val="000000"/>
                <w:sz w:val="16"/>
                <w:szCs w:val="16"/>
              </w:rPr>
              <w:t xml:space="preserve">                   361.158 </w:t>
            </w:r>
          </w:p>
        </w:tc>
        <w:tc>
          <w:tcPr>
            <w:tcW w:w="1490" w:type="dxa"/>
            <w:tcBorders>
              <w:top w:val="nil"/>
              <w:left w:val="nil"/>
              <w:bottom w:val="nil"/>
              <w:right w:val="nil"/>
            </w:tcBorders>
            <w:shd w:val="clear" w:color="auto" w:fill="auto"/>
            <w:noWrap/>
            <w:vAlign w:val="center"/>
            <w:hideMark/>
          </w:tcPr>
          <w:p w14:paraId="7649E6C2" w14:textId="77777777" w:rsidR="004133F5" w:rsidRDefault="004133F5">
            <w:pPr>
              <w:jc w:val="right"/>
              <w:rPr>
                <w:rFonts w:ascii="Calibri" w:hAnsi="Calibri" w:cs="Calibri"/>
                <w:color w:val="000000"/>
                <w:sz w:val="16"/>
                <w:szCs w:val="16"/>
              </w:rPr>
            </w:pPr>
            <w:r>
              <w:rPr>
                <w:rFonts w:ascii="Calibri" w:hAnsi="Calibri" w:cs="Calibri"/>
                <w:color w:val="000000"/>
                <w:sz w:val="16"/>
                <w:szCs w:val="16"/>
              </w:rPr>
              <w:t xml:space="preserve">                  9.065.286 </w:t>
            </w:r>
          </w:p>
        </w:tc>
        <w:tc>
          <w:tcPr>
            <w:tcW w:w="743" w:type="dxa"/>
            <w:tcBorders>
              <w:top w:val="nil"/>
              <w:left w:val="nil"/>
              <w:bottom w:val="nil"/>
              <w:right w:val="nil"/>
            </w:tcBorders>
            <w:shd w:val="clear" w:color="auto" w:fill="auto"/>
            <w:noWrap/>
            <w:vAlign w:val="center"/>
            <w:hideMark/>
          </w:tcPr>
          <w:p w14:paraId="0C268F00" w14:textId="77777777" w:rsidR="004133F5" w:rsidRDefault="004133F5">
            <w:pPr>
              <w:jc w:val="right"/>
              <w:rPr>
                <w:rFonts w:ascii="Calibri" w:hAnsi="Calibri" w:cs="Calibri"/>
                <w:color w:val="000000"/>
                <w:sz w:val="16"/>
                <w:szCs w:val="16"/>
              </w:rPr>
            </w:pPr>
            <w:r>
              <w:rPr>
                <w:rFonts w:ascii="Calibri" w:hAnsi="Calibri" w:cs="Calibri"/>
                <w:color w:val="000000"/>
                <w:sz w:val="16"/>
                <w:szCs w:val="16"/>
              </w:rPr>
              <w:t>10</w:t>
            </w:r>
          </w:p>
        </w:tc>
      </w:tr>
      <w:tr w:rsidR="004133F5" w14:paraId="3E187F3D" w14:textId="77777777" w:rsidTr="004133F5">
        <w:trPr>
          <w:trHeight w:val="300"/>
        </w:trPr>
        <w:tc>
          <w:tcPr>
            <w:tcW w:w="3145" w:type="dxa"/>
            <w:tcBorders>
              <w:top w:val="nil"/>
              <w:left w:val="nil"/>
              <w:bottom w:val="nil"/>
              <w:right w:val="nil"/>
            </w:tcBorders>
            <w:shd w:val="clear" w:color="auto" w:fill="auto"/>
            <w:noWrap/>
            <w:vAlign w:val="center"/>
            <w:hideMark/>
          </w:tcPr>
          <w:p w14:paraId="03B46D2B" w14:textId="77777777" w:rsidR="004133F5" w:rsidRDefault="004133F5">
            <w:pPr>
              <w:rPr>
                <w:rFonts w:ascii="Calibri" w:hAnsi="Calibri" w:cs="Calibri"/>
                <w:color w:val="000000"/>
                <w:sz w:val="16"/>
                <w:szCs w:val="16"/>
              </w:rPr>
            </w:pPr>
            <w:r>
              <w:rPr>
                <w:rFonts w:ascii="Calibri" w:hAnsi="Calibri" w:cs="Calibri"/>
                <w:color w:val="000000"/>
                <w:sz w:val="16"/>
                <w:szCs w:val="16"/>
              </w:rPr>
              <w:t>Ativos de Concessão (Pátios)</w:t>
            </w:r>
          </w:p>
        </w:tc>
        <w:tc>
          <w:tcPr>
            <w:tcW w:w="1418" w:type="dxa"/>
            <w:tcBorders>
              <w:top w:val="nil"/>
              <w:left w:val="nil"/>
              <w:bottom w:val="nil"/>
              <w:right w:val="nil"/>
            </w:tcBorders>
            <w:shd w:val="clear" w:color="auto" w:fill="auto"/>
            <w:noWrap/>
            <w:vAlign w:val="center"/>
            <w:hideMark/>
          </w:tcPr>
          <w:p w14:paraId="3BCCC909" w14:textId="77777777" w:rsidR="004133F5" w:rsidRDefault="004133F5">
            <w:pPr>
              <w:jc w:val="right"/>
              <w:rPr>
                <w:rFonts w:ascii="Calibri" w:hAnsi="Calibri" w:cs="Calibri"/>
                <w:color w:val="000000"/>
                <w:sz w:val="16"/>
                <w:szCs w:val="16"/>
              </w:rPr>
            </w:pPr>
            <w:r>
              <w:rPr>
                <w:rFonts w:ascii="Calibri" w:hAnsi="Calibri" w:cs="Calibri"/>
                <w:color w:val="000000"/>
                <w:sz w:val="16"/>
                <w:szCs w:val="16"/>
              </w:rPr>
              <w:t xml:space="preserve">                 5.524.762 </w:t>
            </w:r>
          </w:p>
        </w:tc>
        <w:tc>
          <w:tcPr>
            <w:tcW w:w="1237" w:type="dxa"/>
            <w:tcBorders>
              <w:top w:val="nil"/>
              <w:left w:val="nil"/>
              <w:bottom w:val="nil"/>
              <w:right w:val="nil"/>
            </w:tcBorders>
            <w:shd w:val="clear" w:color="auto" w:fill="auto"/>
            <w:noWrap/>
            <w:vAlign w:val="center"/>
            <w:hideMark/>
          </w:tcPr>
          <w:p w14:paraId="3A4943DF" w14:textId="41885B5B" w:rsidR="004133F5" w:rsidRDefault="004133F5" w:rsidP="00343A60">
            <w:pPr>
              <w:rPr>
                <w:rFonts w:ascii="Calibri" w:hAnsi="Calibri" w:cs="Calibri"/>
                <w:color w:val="000000"/>
                <w:sz w:val="16"/>
                <w:szCs w:val="16"/>
              </w:rPr>
            </w:pPr>
            <w:r>
              <w:rPr>
                <w:rFonts w:ascii="Calibri" w:hAnsi="Calibri" w:cs="Calibri"/>
                <w:color w:val="000000"/>
                <w:sz w:val="16"/>
                <w:szCs w:val="16"/>
              </w:rPr>
              <w:t xml:space="preserve">                            -   </w:t>
            </w:r>
          </w:p>
        </w:tc>
        <w:tc>
          <w:tcPr>
            <w:tcW w:w="1128" w:type="dxa"/>
            <w:tcBorders>
              <w:top w:val="nil"/>
              <w:left w:val="nil"/>
              <w:bottom w:val="nil"/>
              <w:right w:val="nil"/>
            </w:tcBorders>
            <w:shd w:val="clear" w:color="auto" w:fill="auto"/>
            <w:noWrap/>
            <w:vAlign w:val="center"/>
            <w:hideMark/>
          </w:tcPr>
          <w:p w14:paraId="27BDA78B" w14:textId="2A3951FD" w:rsidR="004133F5" w:rsidRDefault="004133F5" w:rsidP="00343A60">
            <w:pPr>
              <w:jc w:val="right"/>
              <w:rPr>
                <w:rFonts w:ascii="Calibri" w:hAnsi="Calibri" w:cs="Calibri"/>
                <w:color w:val="000000"/>
                <w:sz w:val="16"/>
                <w:szCs w:val="16"/>
              </w:rPr>
            </w:pPr>
            <w:r>
              <w:rPr>
                <w:rFonts w:ascii="Calibri" w:hAnsi="Calibri" w:cs="Calibri"/>
                <w:color w:val="000000"/>
                <w:sz w:val="16"/>
                <w:szCs w:val="16"/>
              </w:rPr>
              <w:t xml:space="preserve">                         -   </w:t>
            </w:r>
          </w:p>
        </w:tc>
        <w:tc>
          <w:tcPr>
            <w:tcW w:w="1359" w:type="dxa"/>
            <w:tcBorders>
              <w:top w:val="nil"/>
              <w:left w:val="nil"/>
              <w:bottom w:val="nil"/>
              <w:right w:val="nil"/>
            </w:tcBorders>
            <w:shd w:val="clear" w:color="auto" w:fill="auto"/>
            <w:noWrap/>
            <w:vAlign w:val="center"/>
            <w:hideMark/>
          </w:tcPr>
          <w:p w14:paraId="31D137B2" w14:textId="7AD13583" w:rsidR="004133F5" w:rsidRDefault="004133F5" w:rsidP="00343A60">
            <w:pPr>
              <w:rPr>
                <w:rFonts w:ascii="Calibri" w:hAnsi="Calibri" w:cs="Calibri"/>
                <w:color w:val="000000"/>
                <w:sz w:val="16"/>
                <w:szCs w:val="16"/>
              </w:rPr>
            </w:pPr>
            <w:r>
              <w:rPr>
                <w:rFonts w:ascii="Calibri" w:hAnsi="Calibri" w:cs="Calibri"/>
                <w:color w:val="000000"/>
                <w:sz w:val="16"/>
                <w:szCs w:val="16"/>
              </w:rPr>
              <w:t xml:space="preserve">                                -   </w:t>
            </w:r>
          </w:p>
        </w:tc>
        <w:tc>
          <w:tcPr>
            <w:tcW w:w="1490" w:type="dxa"/>
            <w:tcBorders>
              <w:top w:val="nil"/>
              <w:left w:val="nil"/>
              <w:bottom w:val="nil"/>
              <w:right w:val="nil"/>
            </w:tcBorders>
            <w:shd w:val="clear" w:color="auto" w:fill="auto"/>
            <w:noWrap/>
            <w:vAlign w:val="center"/>
            <w:hideMark/>
          </w:tcPr>
          <w:p w14:paraId="425263FB" w14:textId="77777777" w:rsidR="004133F5" w:rsidRDefault="004133F5">
            <w:pPr>
              <w:jc w:val="right"/>
              <w:rPr>
                <w:rFonts w:ascii="Calibri" w:hAnsi="Calibri" w:cs="Calibri"/>
                <w:color w:val="000000"/>
                <w:sz w:val="16"/>
                <w:szCs w:val="16"/>
              </w:rPr>
            </w:pPr>
            <w:r>
              <w:rPr>
                <w:rFonts w:ascii="Calibri" w:hAnsi="Calibri" w:cs="Calibri"/>
                <w:color w:val="000000"/>
                <w:sz w:val="16"/>
                <w:szCs w:val="16"/>
              </w:rPr>
              <w:t xml:space="preserve">                  5.524.762 </w:t>
            </w:r>
          </w:p>
        </w:tc>
        <w:tc>
          <w:tcPr>
            <w:tcW w:w="743" w:type="dxa"/>
            <w:tcBorders>
              <w:top w:val="nil"/>
              <w:left w:val="nil"/>
              <w:bottom w:val="nil"/>
              <w:right w:val="nil"/>
            </w:tcBorders>
            <w:shd w:val="clear" w:color="auto" w:fill="auto"/>
            <w:noWrap/>
            <w:vAlign w:val="center"/>
            <w:hideMark/>
          </w:tcPr>
          <w:p w14:paraId="6DD2767D" w14:textId="77777777" w:rsidR="004133F5" w:rsidRDefault="004133F5">
            <w:pPr>
              <w:jc w:val="right"/>
              <w:rPr>
                <w:rFonts w:ascii="Calibri" w:hAnsi="Calibri" w:cs="Calibri"/>
                <w:color w:val="000000"/>
                <w:sz w:val="16"/>
                <w:szCs w:val="16"/>
              </w:rPr>
            </w:pPr>
            <w:r>
              <w:rPr>
                <w:rFonts w:ascii="Calibri" w:hAnsi="Calibri" w:cs="Calibri"/>
                <w:color w:val="000000"/>
                <w:sz w:val="16"/>
                <w:szCs w:val="16"/>
              </w:rPr>
              <w:t>10</w:t>
            </w:r>
          </w:p>
        </w:tc>
      </w:tr>
      <w:tr w:rsidR="004133F5" w14:paraId="73088C3F" w14:textId="77777777" w:rsidTr="004133F5">
        <w:trPr>
          <w:trHeight w:val="300"/>
        </w:trPr>
        <w:tc>
          <w:tcPr>
            <w:tcW w:w="3145" w:type="dxa"/>
            <w:tcBorders>
              <w:top w:val="nil"/>
              <w:left w:val="nil"/>
              <w:bottom w:val="nil"/>
              <w:right w:val="nil"/>
            </w:tcBorders>
            <w:shd w:val="clear" w:color="auto" w:fill="auto"/>
            <w:noWrap/>
            <w:vAlign w:val="center"/>
            <w:hideMark/>
          </w:tcPr>
          <w:p w14:paraId="4CD61B4E" w14:textId="77777777" w:rsidR="004133F5" w:rsidRDefault="004133F5">
            <w:pPr>
              <w:rPr>
                <w:rFonts w:ascii="Calibri" w:hAnsi="Calibri" w:cs="Calibri"/>
                <w:color w:val="000000"/>
                <w:sz w:val="16"/>
                <w:szCs w:val="16"/>
              </w:rPr>
            </w:pPr>
            <w:r>
              <w:rPr>
                <w:rFonts w:ascii="Calibri" w:hAnsi="Calibri" w:cs="Calibri"/>
                <w:color w:val="000000"/>
                <w:sz w:val="16"/>
                <w:szCs w:val="16"/>
              </w:rPr>
              <w:t>Equipamentos</w:t>
            </w:r>
          </w:p>
        </w:tc>
        <w:tc>
          <w:tcPr>
            <w:tcW w:w="1418" w:type="dxa"/>
            <w:tcBorders>
              <w:top w:val="nil"/>
              <w:left w:val="nil"/>
              <w:bottom w:val="nil"/>
              <w:right w:val="nil"/>
            </w:tcBorders>
            <w:shd w:val="clear" w:color="auto" w:fill="auto"/>
            <w:noWrap/>
            <w:vAlign w:val="center"/>
            <w:hideMark/>
          </w:tcPr>
          <w:p w14:paraId="4CE25880" w14:textId="77777777" w:rsidR="004133F5" w:rsidRDefault="004133F5">
            <w:pPr>
              <w:jc w:val="right"/>
              <w:rPr>
                <w:rFonts w:ascii="Calibri" w:hAnsi="Calibri" w:cs="Calibri"/>
                <w:color w:val="000000"/>
                <w:sz w:val="16"/>
                <w:szCs w:val="16"/>
              </w:rPr>
            </w:pPr>
            <w:r>
              <w:rPr>
                <w:rFonts w:ascii="Calibri" w:hAnsi="Calibri" w:cs="Calibri"/>
                <w:color w:val="000000"/>
                <w:sz w:val="16"/>
                <w:szCs w:val="16"/>
              </w:rPr>
              <w:t xml:space="preserve">              24.077.444 </w:t>
            </w:r>
          </w:p>
        </w:tc>
        <w:tc>
          <w:tcPr>
            <w:tcW w:w="1237" w:type="dxa"/>
            <w:tcBorders>
              <w:top w:val="nil"/>
              <w:left w:val="nil"/>
              <w:bottom w:val="nil"/>
              <w:right w:val="nil"/>
            </w:tcBorders>
            <w:shd w:val="clear" w:color="auto" w:fill="auto"/>
            <w:noWrap/>
            <w:vAlign w:val="center"/>
            <w:hideMark/>
          </w:tcPr>
          <w:p w14:paraId="226A0630" w14:textId="46FEE437" w:rsidR="004133F5" w:rsidRDefault="004133F5">
            <w:pPr>
              <w:jc w:val="right"/>
              <w:rPr>
                <w:rFonts w:ascii="Calibri" w:hAnsi="Calibri" w:cs="Calibri"/>
                <w:color w:val="000000"/>
                <w:sz w:val="16"/>
                <w:szCs w:val="16"/>
              </w:rPr>
            </w:pPr>
            <w:r>
              <w:rPr>
                <w:rFonts w:ascii="Calibri" w:hAnsi="Calibri" w:cs="Calibri"/>
                <w:color w:val="000000"/>
                <w:sz w:val="16"/>
                <w:szCs w:val="16"/>
              </w:rPr>
              <w:t xml:space="preserve">                  16.300 </w:t>
            </w:r>
          </w:p>
        </w:tc>
        <w:tc>
          <w:tcPr>
            <w:tcW w:w="1128" w:type="dxa"/>
            <w:tcBorders>
              <w:top w:val="nil"/>
              <w:left w:val="nil"/>
              <w:bottom w:val="nil"/>
              <w:right w:val="nil"/>
            </w:tcBorders>
            <w:shd w:val="clear" w:color="auto" w:fill="auto"/>
            <w:noWrap/>
            <w:vAlign w:val="center"/>
            <w:hideMark/>
          </w:tcPr>
          <w:p w14:paraId="587C1130" w14:textId="1690A25F" w:rsidR="004133F5" w:rsidRDefault="004133F5" w:rsidP="00343A60">
            <w:pPr>
              <w:jc w:val="right"/>
              <w:rPr>
                <w:rFonts w:ascii="Calibri" w:hAnsi="Calibri" w:cs="Calibri"/>
                <w:color w:val="000000"/>
                <w:sz w:val="16"/>
                <w:szCs w:val="16"/>
              </w:rPr>
            </w:pPr>
            <w:r>
              <w:rPr>
                <w:rFonts w:ascii="Calibri" w:hAnsi="Calibri" w:cs="Calibri"/>
                <w:color w:val="000000"/>
                <w:sz w:val="16"/>
                <w:szCs w:val="16"/>
              </w:rPr>
              <w:t xml:space="preserve">                         </w:t>
            </w:r>
            <w:r w:rsidR="00343A60">
              <w:rPr>
                <w:rFonts w:ascii="Calibri" w:hAnsi="Calibri" w:cs="Calibri"/>
                <w:color w:val="000000"/>
                <w:sz w:val="16"/>
                <w:szCs w:val="16"/>
              </w:rPr>
              <w:t>-</w:t>
            </w:r>
            <w:r>
              <w:rPr>
                <w:rFonts w:ascii="Calibri" w:hAnsi="Calibri" w:cs="Calibri"/>
                <w:color w:val="000000"/>
                <w:sz w:val="16"/>
                <w:szCs w:val="16"/>
              </w:rPr>
              <w:t xml:space="preserve">  </w:t>
            </w:r>
          </w:p>
        </w:tc>
        <w:tc>
          <w:tcPr>
            <w:tcW w:w="1359" w:type="dxa"/>
            <w:tcBorders>
              <w:top w:val="nil"/>
              <w:left w:val="nil"/>
              <w:bottom w:val="nil"/>
              <w:right w:val="nil"/>
            </w:tcBorders>
            <w:shd w:val="clear" w:color="auto" w:fill="auto"/>
            <w:noWrap/>
            <w:vAlign w:val="center"/>
            <w:hideMark/>
          </w:tcPr>
          <w:p w14:paraId="2AAC4FA8" w14:textId="46D031F7" w:rsidR="004133F5" w:rsidRDefault="004133F5" w:rsidP="00343A60">
            <w:pPr>
              <w:rPr>
                <w:rFonts w:ascii="Calibri" w:hAnsi="Calibri" w:cs="Calibri"/>
                <w:color w:val="000000"/>
                <w:sz w:val="16"/>
                <w:szCs w:val="16"/>
              </w:rPr>
            </w:pPr>
            <w:r>
              <w:rPr>
                <w:rFonts w:ascii="Calibri" w:hAnsi="Calibri" w:cs="Calibri"/>
                <w:color w:val="000000"/>
                <w:sz w:val="16"/>
                <w:szCs w:val="16"/>
              </w:rPr>
              <w:t xml:space="preserve">                          170 </w:t>
            </w:r>
          </w:p>
        </w:tc>
        <w:tc>
          <w:tcPr>
            <w:tcW w:w="1490" w:type="dxa"/>
            <w:tcBorders>
              <w:top w:val="nil"/>
              <w:left w:val="nil"/>
              <w:bottom w:val="nil"/>
              <w:right w:val="nil"/>
            </w:tcBorders>
            <w:shd w:val="clear" w:color="auto" w:fill="auto"/>
            <w:noWrap/>
            <w:vAlign w:val="center"/>
            <w:hideMark/>
          </w:tcPr>
          <w:p w14:paraId="2F78A51E" w14:textId="77777777" w:rsidR="004133F5" w:rsidRDefault="004133F5">
            <w:pPr>
              <w:jc w:val="right"/>
              <w:rPr>
                <w:rFonts w:ascii="Calibri" w:hAnsi="Calibri" w:cs="Calibri"/>
                <w:color w:val="000000"/>
                <w:sz w:val="16"/>
                <w:szCs w:val="16"/>
              </w:rPr>
            </w:pPr>
            <w:r>
              <w:rPr>
                <w:rFonts w:ascii="Calibri" w:hAnsi="Calibri" w:cs="Calibri"/>
                <w:color w:val="000000"/>
                <w:sz w:val="16"/>
                <w:szCs w:val="16"/>
              </w:rPr>
              <w:t xml:space="preserve">               24.093.914 </w:t>
            </w:r>
          </w:p>
        </w:tc>
        <w:tc>
          <w:tcPr>
            <w:tcW w:w="743" w:type="dxa"/>
            <w:tcBorders>
              <w:top w:val="nil"/>
              <w:left w:val="nil"/>
              <w:bottom w:val="nil"/>
              <w:right w:val="nil"/>
            </w:tcBorders>
            <w:shd w:val="clear" w:color="auto" w:fill="auto"/>
            <w:noWrap/>
            <w:vAlign w:val="center"/>
            <w:hideMark/>
          </w:tcPr>
          <w:p w14:paraId="42633582" w14:textId="77777777" w:rsidR="004133F5" w:rsidRDefault="004133F5">
            <w:pPr>
              <w:jc w:val="right"/>
              <w:rPr>
                <w:rFonts w:ascii="Calibri" w:hAnsi="Calibri" w:cs="Calibri"/>
                <w:color w:val="000000"/>
                <w:sz w:val="16"/>
                <w:szCs w:val="16"/>
              </w:rPr>
            </w:pPr>
            <w:r>
              <w:rPr>
                <w:rFonts w:ascii="Calibri" w:hAnsi="Calibri" w:cs="Calibri"/>
                <w:color w:val="000000"/>
                <w:sz w:val="16"/>
                <w:szCs w:val="16"/>
              </w:rPr>
              <w:t>10 e 20</w:t>
            </w:r>
          </w:p>
        </w:tc>
      </w:tr>
      <w:tr w:rsidR="004133F5" w14:paraId="438685B3" w14:textId="77777777" w:rsidTr="004133F5">
        <w:trPr>
          <w:trHeight w:val="300"/>
        </w:trPr>
        <w:tc>
          <w:tcPr>
            <w:tcW w:w="3145" w:type="dxa"/>
            <w:tcBorders>
              <w:top w:val="nil"/>
              <w:left w:val="nil"/>
              <w:bottom w:val="nil"/>
              <w:right w:val="nil"/>
            </w:tcBorders>
            <w:shd w:val="clear" w:color="auto" w:fill="auto"/>
            <w:noWrap/>
            <w:vAlign w:val="center"/>
            <w:hideMark/>
          </w:tcPr>
          <w:p w14:paraId="29F94CCA" w14:textId="77777777" w:rsidR="004133F5" w:rsidRDefault="004133F5">
            <w:pPr>
              <w:rPr>
                <w:rFonts w:ascii="Calibri" w:hAnsi="Calibri" w:cs="Calibri"/>
                <w:color w:val="000000"/>
                <w:sz w:val="16"/>
                <w:szCs w:val="16"/>
              </w:rPr>
            </w:pPr>
            <w:r>
              <w:rPr>
                <w:rFonts w:ascii="Calibri" w:hAnsi="Calibri" w:cs="Calibri"/>
                <w:color w:val="000000"/>
                <w:sz w:val="16"/>
                <w:szCs w:val="16"/>
              </w:rPr>
              <w:t>Equipamentos de Comunicação</w:t>
            </w:r>
          </w:p>
        </w:tc>
        <w:tc>
          <w:tcPr>
            <w:tcW w:w="1418" w:type="dxa"/>
            <w:tcBorders>
              <w:top w:val="nil"/>
              <w:left w:val="nil"/>
              <w:bottom w:val="nil"/>
              <w:right w:val="nil"/>
            </w:tcBorders>
            <w:shd w:val="clear" w:color="auto" w:fill="auto"/>
            <w:noWrap/>
            <w:vAlign w:val="center"/>
            <w:hideMark/>
          </w:tcPr>
          <w:p w14:paraId="5C03BD9E" w14:textId="3C19B536" w:rsidR="004133F5" w:rsidRDefault="004133F5">
            <w:pPr>
              <w:jc w:val="right"/>
              <w:rPr>
                <w:rFonts w:ascii="Calibri" w:hAnsi="Calibri" w:cs="Calibri"/>
                <w:color w:val="000000"/>
                <w:sz w:val="16"/>
                <w:szCs w:val="16"/>
              </w:rPr>
            </w:pPr>
            <w:r>
              <w:rPr>
                <w:rFonts w:ascii="Calibri" w:hAnsi="Calibri" w:cs="Calibri"/>
                <w:color w:val="000000"/>
                <w:sz w:val="16"/>
                <w:szCs w:val="16"/>
              </w:rPr>
              <w:t xml:space="preserve">                       46.130 </w:t>
            </w:r>
          </w:p>
        </w:tc>
        <w:tc>
          <w:tcPr>
            <w:tcW w:w="1237" w:type="dxa"/>
            <w:tcBorders>
              <w:top w:val="nil"/>
              <w:left w:val="nil"/>
              <w:bottom w:val="nil"/>
              <w:right w:val="nil"/>
            </w:tcBorders>
            <w:shd w:val="clear" w:color="auto" w:fill="auto"/>
            <w:noWrap/>
            <w:vAlign w:val="center"/>
            <w:hideMark/>
          </w:tcPr>
          <w:p w14:paraId="168E473E" w14:textId="2047E670" w:rsidR="004133F5" w:rsidRDefault="004133F5">
            <w:pPr>
              <w:jc w:val="right"/>
              <w:rPr>
                <w:rFonts w:ascii="Calibri" w:hAnsi="Calibri" w:cs="Calibri"/>
                <w:color w:val="000000"/>
                <w:sz w:val="16"/>
                <w:szCs w:val="16"/>
              </w:rPr>
            </w:pPr>
            <w:r>
              <w:rPr>
                <w:rFonts w:ascii="Calibri" w:hAnsi="Calibri" w:cs="Calibri"/>
                <w:color w:val="000000"/>
                <w:sz w:val="16"/>
                <w:szCs w:val="16"/>
              </w:rPr>
              <w:t xml:space="preserve">                          -   </w:t>
            </w:r>
          </w:p>
        </w:tc>
        <w:tc>
          <w:tcPr>
            <w:tcW w:w="1128" w:type="dxa"/>
            <w:tcBorders>
              <w:top w:val="nil"/>
              <w:left w:val="nil"/>
              <w:bottom w:val="nil"/>
              <w:right w:val="nil"/>
            </w:tcBorders>
            <w:shd w:val="clear" w:color="auto" w:fill="auto"/>
            <w:noWrap/>
            <w:vAlign w:val="center"/>
            <w:hideMark/>
          </w:tcPr>
          <w:p w14:paraId="6B4FDE20" w14:textId="433E410E" w:rsidR="004133F5" w:rsidRDefault="004133F5" w:rsidP="00343A60">
            <w:pPr>
              <w:jc w:val="right"/>
              <w:rPr>
                <w:rFonts w:ascii="Calibri" w:hAnsi="Calibri" w:cs="Calibri"/>
                <w:color w:val="000000"/>
                <w:sz w:val="16"/>
                <w:szCs w:val="16"/>
              </w:rPr>
            </w:pPr>
            <w:r>
              <w:rPr>
                <w:rFonts w:ascii="Calibri" w:hAnsi="Calibri" w:cs="Calibri"/>
                <w:color w:val="000000"/>
                <w:sz w:val="16"/>
                <w:szCs w:val="16"/>
              </w:rPr>
              <w:t xml:space="preserve">                         -   </w:t>
            </w:r>
          </w:p>
        </w:tc>
        <w:tc>
          <w:tcPr>
            <w:tcW w:w="1359" w:type="dxa"/>
            <w:tcBorders>
              <w:top w:val="nil"/>
              <w:left w:val="nil"/>
              <w:bottom w:val="nil"/>
              <w:right w:val="nil"/>
            </w:tcBorders>
            <w:shd w:val="clear" w:color="auto" w:fill="auto"/>
            <w:noWrap/>
            <w:vAlign w:val="center"/>
            <w:hideMark/>
          </w:tcPr>
          <w:p w14:paraId="72097233" w14:textId="50578B96" w:rsidR="004133F5" w:rsidRDefault="004133F5" w:rsidP="00343A60">
            <w:pPr>
              <w:rPr>
                <w:rFonts w:ascii="Calibri" w:hAnsi="Calibri" w:cs="Calibri"/>
                <w:color w:val="000000"/>
                <w:sz w:val="16"/>
                <w:szCs w:val="16"/>
              </w:rPr>
            </w:pPr>
            <w:r>
              <w:rPr>
                <w:rFonts w:ascii="Calibri" w:hAnsi="Calibri" w:cs="Calibri"/>
                <w:color w:val="000000"/>
                <w:sz w:val="16"/>
                <w:szCs w:val="16"/>
              </w:rPr>
              <w:t xml:space="preserve">                                -   </w:t>
            </w:r>
          </w:p>
        </w:tc>
        <w:tc>
          <w:tcPr>
            <w:tcW w:w="1490" w:type="dxa"/>
            <w:tcBorders>
              <w:top w:val="nil"/>
              <w:left w:val="nil"/>
              <w:bottom w:val="nil"/>
              <w:right w:val="nil"/>
            </w:tcBorders>
            <w:shd w:val="clear" w:color="auto" w:fill="auto"/>
            <w:noWrap/>
            <w:vAlign w:val="center"/>
            <w:hideMark/>
          </w:tcPr>
          <w:p w14:paraId="6F6F030A" w14:textId="1F1BA890" w:rsidR="004133F5" w:rsidRDefault="004133F5">
            <w:pPr>
              <w:jc w:val="right"/>
              <w:rPr>
                <w:rFonts w:ascii="Calibri" w:hAnsi="Calibri" w:cs="Calibri"/>
                <w:color w:val="000000"/>
                <w:sz w:val="16"/>
                <w:szCs w:val="16"/>
              </w:rPr>
            </w:pPr>
            <w:r>
              <w:rPr>
                <w:rFonts w:ascii="Calibri" w:hAnsi="Calibri" w:cs="Calibri"/>
                <w:color w:val="000000"/>
                <w:sz w:val="16"/>
                <w:szCs w:val="16"/>
              </w:rPr>
              <w:t xml:space="preserve">                        46.130 </w:t>
            </w:r>
          </w:p>
        </w:tc>
        <w:tc>
          <w:tcPr>
            <w:tcW w:w="743" w:type="dxa"/>
            <w:tcBorders>
              <w:top w:val="nil"/>
              <w:left w:val="nil"/>
              <w:bottom w:val="nil"/>
              <w:right w:val="nil"/>
            </w:tcBorders>
            <w:shd w:val="clear" w:color="auto" w:fill="auto"/>
            <w:noWrap/>
            <w:vAlign w:val="center"/>
            <w:hideMark/>
          </w:tcPr>
          <w:p w14:paraId="10D481DC" w14:textId="77777777" w:rsidR="004133F5" w:rsidRDefault="004133F5">
            <w:pPr>
              <w:jc w:val="right"/>
              <w:rPr>
                <w:rFonts w:ascii="Calibri" w:hAnsi="Calibri" w:cs="Calibri"/>
                <w:color w:val="000000"/>
                <w:sz w:val="16"/>
                <w:szCs w:val="16"/>
              </w:rPr>
            </w:pPr>
          </w:p>
        </w:tc>
      </w:tr>
      <w:tr w:rsidR="004133F5" w14:paraId="446E9C0E" w14:textId="77777777" w:rsidTr="004133F5">
        <w:trPr>
          <w:trHeight w:val="300"/>
        </w:trPr>
        <w:tc>
          <w:tcPr>
            <w:tcW w:w="3145" w:type="dxa"/>
            <w:tcBorders>
              <w:top w:val="nil"/>
              <w:left w:val="nil"/>
              <w:bottom w:val="nil"/>
              <w:right w:val="nil"/>
            </w:tcBorders>
            <w:shd w:val="clear" w:color="auto" w:fill="auto"/>
            <w:noWrap/>
            <w:vAlign w:val="center"/>
            <w:hideMark/>
          </w:tcPr>
          <w:p w14:paraId="1AC40763" w14:textId="77777777" w:rsidR="004133F5" w:rsidRDefault="004133F5">
            <w:pPr>
              <w:rPr>
                <w:rFonts w:ascii="Calibri" w:hAnsi="Calibri" w:cs="Calibri"/>
                <w:color w:val="000000"/>
                <w:sz w:val="16"/>
                <w:szCs w:val="16"/>
              </w:rPr>
            </w:pPr>
            <w:r>
              <w:rPr>
                <w:rFonts w:ascii="Calibri" w:hAnsi="Calibri" w:cs="Calibri"/>
                <w:color w:val="000000"/>
                <w:sz w:val="16"/>
                <w:szCs w:val="16"/>
              </w:rPr>
              <w:t>Utensílios de Escritório</w:t>
            </w:r>
          </w:p>
        </w:tc>
        <w:tc>
          <w:tcPr>
            <w:tcW w:w="1418" w:type="dxa"/>
            <w:tcBorders>
              <w:top w:val="nil"/>
              <w:left w:val="nil"/>
              <w:bottom w:val="nil"/>
              <w:right w:val="nil"/>
            </w:tcBorders>
            <w:shd w:val="clear" w:color="auto" w:fill="auto"/>
            <w:noWrap/>
            <w:vAlign w:val="center"/>
            <w:hideMark/>
          </w:tcPr>
          <w:p w14:paraId="6D5C0EE5" w14:textId="031E6DB0" w:rsidR="004133F5" w:rsidRDefault="004133F5">
            <w:pPr>
              <w:jc w:val="right"/>
              <w:rPr>
                <w:rFonts w:ascii="Calibri" w:hAnsi="Calibri" w:cs="Calibri"/>
                <w:color w:val="000000"/>
                <w:sz w:val="16"/>
                <w:szCs w:val="16"/>
              </w:rPr>
            </w:pPr>
            <w:r>
              <w:rPr>
                <w:rFonts w:ascii="Calibri" w:hAnsi="Calibri" w:cs="Calibri"/>
                <w:color w:val="000000"/>
                <w:sz w:val="16"/>
                <w:szCs w:val="16"/>
              </w:rPr>
              <w:t xml:space="preserve">                    408.737 </w:t>
            </w:r>
          </w:p>
        </w:tc>
        <w:tc>
          <w:tcPr>
            <w:tcW w:w="1237" w:type="dxa"/>
            <w:tcBorders>
              <w:top w:val="nil"/>
              <w:left w:val="nil"/>
              <w:bottom w:val="nil"/>
              <w:right w:val="nil"/>
            </w:tcBorders>
            <w:shd w:val="clear" w:color="auto" w:fill="auto"/>
            <w:noWrap/>
            <w:vAlign w:val="center"/>
            <w:hideMark/>
          </w:tcPr>
          <w:p w14:paraId="7FB44E4A" w14:textId="02FE5EDB" w:rsidR="004133F5" w:rsidRDefault="004133F5">
            <w:pPr>
              <w:jc w:val="right"/>
              <w:rPr>
                <w:rFonts w:ascii="Calibri" w:hAnsi="Calibri" w:cs="Calibri"/>
                <w:color w:val="000000"/>
                <w:sz w:val="16"/>
                <w:szCs w:val="16"/>
              </w:rPr>
            </w:pPr>
            <w:r>
              <w:rPr>
                <w:rFonts w:ascii="Calibri" w:hAnsi="Calibri" w:cs="Calibri"/>
                <w:color w:val="000000"/>
                <w:sz w:val="16"/>
                <w:szCs w:val="16"/>
              </w:rPr>
              <w:t xml:space="preserve">                 48.885 </w:t>
            </w:r>
          </w:p>
        </w:tc>
        <w:tc>
          <w:tcPr>
            <w:tcW w:w="1128" w:type="dxa"/>
            <w:tcBorders>
              <w:top w:val="nil"/>
              <w:left w:val="nil"/>
              <w:bottom w:val="nil"/>
              <w:right w:val="nil"/>
            </w:tcBorders>
            <w:shd w:val="clear" w:color="auto" w:fill="auto"/>
            <w:noWrap/>
            <w:vAlign w:val="center"/>
            <w:hideMark/>
          </w:tcPr>
          <w:p w14:paraId="432C6AB0" w14:textId="53DD1725" w:rsidR="004133F5" w:rsidRDefault="004133F5">
            <w:pPr>
              <w:jc w:val="right"/>
              <w:rPr>
                <w:rFonts w:ascii="Calibri" w:hAnsi="Calibri" w:cs="Calibri"/>
                <w:color w:val="000000"/>
                <w:sz w:val="16"/>
                <w:szCs w:val="16"/>
              </w:rPr>
            </w:pPr>
            <w:r>
              <w:rPr>
                <w:rFonts w:ascii="Calibri" w:hAnsi="Calibri" w:cs="Calibri"/>
                <w:color w:val="000000"/>
                <w:sz w:val="16"/>
                <w:szCs w:val="16"/>
              </w:rPr>
              <w:t xml:space="preserve">                         -   </w:t>
            </w:r>
          </w:p>
        </w:tc>
        <w:tc>
          <w:tcPr>
            <w:tcW w:w="1359" w:type="dxa"/>
            <w:tcBorders>
              <w:top w:val="nil"/>
              <w:left w:val="nil"/>
              <w:bottom w:val="nil"/>
              <w:right w:val="nil"/>
            </w:tcBorders>
            <w:shd w:val="clear" w:color="auto" w:fill="auto"/>
            <w:noWrap/>
            <w:vAlign w:val="center"/>
            <w:hideMark/>
          </w:tcPr>
          <w:p w14:paraId="1A05BAE1" w14:textId="77777777" w:rsidR="004133F5" w:rsidRDefault="004133F5">
            <w:pPr>
              <w:jc w:val="right"/>
              <w:rPr>
                <w:rFonts w:ascii="Calibri" w:hAnsi="Calibri" w:cs="Calibri"/>
                <w:color w:val="000000"/>
                <w:sz w:val="16"/>
                <w:szCs w:val="16"/>
              </w:rPr>
            </w:pPr>
            <w:r>
              <w:rPr>
                <w:rFonts w:ascii="Calibri" w:hAnsi="Calibri" w:cs="Calibri"/>
                <w:color w:val="000000"/>
                <w:sz w:val="16"/>
                <w:szCs w:val="16"/>
              </w:rPr>
              <w:t xml:space="preserve">                   123.407 </w:t>
            </w:r>
          </w:p>
        </w:tc>
        <w:tc>
          <w:tcPr>
            <w:tcW w:w="1490" w:type="dxa"/>
            <w:tcBorders>
              <w:top w:val="nil"/>
              <w:left w:val="nil"/>
              <w:bottom w:val="nil"/>
              <w:right w:val="nil"/>
            </w:tcBorders>
            <w:shd w:val="clear" w:color="auto" w:fill="auto"/>
            <w:noWrap/>
            <w:vAlign w:val="center"/>
            <w:hideMark/>
          </w:tcPr>
          <w:p w14:paraId="68DF1484" w14:textId="63CDD602" w:rsidR="004133F5" w:rsidRDefault="004133F5">
            <w:pPr>
              <w:jc w:val="right"/>
              <w:rPr>
                <w:rFonts w:ascii="Calibri" w:hAnsi="Calibri" w:cs="Calibri"/>
                <w:color w:val="000000"/>
                <w:sz w:val="16"/>
                <w:szCs w:val="16"/>
              </w:rPr>
            </w:pPr>
            <w:r>
              <w:rPr>
                <w:rFonts w:ascii="Calibri" w:hAnsi="Calibri" w:cs="Calibri"/>
                <w:color w:val="000000"/>
                <w:sz w:val="16"/>
                <w:szCs w:val="16"/>
              </w:rPr>
              <w:t xml:space="preserve">                      581.029 </w:t>
            </w:r>
          </w:p>
        </w:tc>
        <w:tc>
          <w:tcPr>
            <w:tcW w:w="743" w:type="dxa"/>
            <w:tcBorders>
              <w:top w:val="nil"/>
              <w:left w:val="nil"/>
              <w:bottom w:val="nil"/>
              <w:right w:val="nil"/>
            </w:tcBorders>
            <w:shd w:val="clear" w:color="auto" w:fill="auto"/>
            <w:noWrap/>
            <w:vAlign w:val="center"/>
            <w:hideMark/>
          </w:tcPr>
          <w:p w14:paraId="5122F06E" w14:textId="77777777" w:rsidR="004133F5" w:rsidRDefault="004133F5">
            <w:pPr>
              <w:jc w:val="right"/>
              <w:rPr>
                <w:rFonts w:ascii="Calibri" w:hAnsi="Calibri" w:cs="Calibri"/>
                <w:color w:val="000000"/>
                <w:sz w:val="16"/>
                <w:szCs w:val="16"/>
              </w:rPr>
            </w:pPr>
            <w:r>
              <w:rPr>
                <w:rFonts w:ascii="Calibri" w:hAnsi="Calibri" w:cs="Calibri"/>
                <w:color w:val="000000"/>
                <w:sz w:val="16"/>
                <w:szCs w:val="16"/>
              </w:rPr>
              <w:t>10</w:t>
            </w:r>
          </w:p>
        </w:tc>
      </w:tr>
      <w:tr w:rsidR="004133F5" w14:paraId="5A1E53AC" w14:textId="77777777" w:rsidTr="004133F5">
        <w:trPr>
          <w:trHeight w:val="300"/>
        </w:trPr>
        <w:tc>
          <w:tcPr>
            <w:tcW w:w="3145" w:type="dxa"/>
            <w:tcBorders>
              <w:top w:val="nil"/>
              <w:left w:val="nil"/>
              <w:bottom w:val="nil"/>
              <w:right w:val="nil"/>
            </w:tcBorders>
            <w:shd w:val="clear" w:color="auto" w:fill="auto"/>
            <w:noWrap/>
            <w:vAlign w:val="center"/>
            <w:hideMark/>
          </w:tcPr>
          <w:p w14:paraId="626594BC" w14:textId="77777777" w:rsidR="004133F5" w:rsidRDefault="004133F5">
            <w:pPr>
              <w:rPr>
                <w:rFonts w:ascii="Calibri" w:hAnsi="Calibri" w:cs="Calibri"/>
                <w:color w:val="000000"/>
                <w:sz w:val="16"/>
                <w:szCs w:val="16"/>
              </w:rPr>
            </w:pPr>
            <w:r>
              <w:rPr>
                <w:rFonts w:ascii="Calibri" w:hAnsi="Calibri" w:cs="Calibri"/>
                <w:color w:val="000000"/>
                <w:sz w:val="16"/>
                <w:szCs w:val="16"/>
              </w:rPr>
              <w:t>(Redução ao Valor Recuperável)</w:t>
            </w:r>
          </w:p>
        </w:tc>
        <w:tc>
          <w:tcPr>
            <w:tcW w:w="1418" w:type="dxa"/>
            <w:tcBorders>
              <w:top w:val="nil"/>
              <w:left w:val="nil"/>
              <w:bottom w:val="nil"/>
              <w:right w:val="nil"/>
            </w:tcBorders>
            <w:shd w:val="clear" w:color="auto" w:fill="auto"/>
            <w:noWrap/>
            <w:vAlign w:val="center"/>
            <w:hideMark/>
          </w:tcPr>
          <w:p w14:paraId="6E07CD5B" w14:textId="62D1A1B2" w:rsidR="004133F5" w:rsidRDefault="004133F5">
            <w:pPr>
              <w:jc w:val="right"/>
              <w:rPr>
                <w:rFonts w:ascii="Calibri" w:hAnsi="Calibri" w:cs="Calibri"/>
                <w:color w:val="000000"/>
                <w:sz w:val="16"/>
                <w:szCs w:val="16"/>
              </w:rPr>
            </w:pPr>
            <w:r>
              <w:rPr>
                <w:rFonts w:ascii="Calibri" w:hAnsi="Calibri" w:cs="Calibri"/>
                <w:color w:val="000000"/>
                <w:sz w:val="16"/>
                <w:szCs w:val="16"/>
              </w:rPr>
              <w:t xml:space="preserve">                    (34.974)</w:t>
            </w:r>
          </w:p>
        </w:tc>
        <w:tc>
          <w:tcPr>
            <w:tcW w:w="1237" w:type="dxa"/>
            <w:tcBorders>
              <w:top w:val="nil"/>
              <w:left w:val="nil"/>
              <w:bottom w:val="nil"/>
              <w:right w:val="nil"/>
            </w:tcBorders>
            <w:shd w:val="clear" w:color="auto" w:fill="auto"/>
            <w:noWrap/>
            <w:vAlign w:val="center"/>
            <w:hideMark/>
          </w:tcPr>
          <w:p w14:paraId="3C5E0CD4" w14:textId="4A0EFC12" w:rsidR="004133F5" w:rsidRDefault="004133F5" w:rsidP="00343A60">
            <w:pPr>
              <w:rPr>
                <w:rFonts w:ascii="Calibri" w:hAnsi="Calibri" w:cs="Calibri"/>
                <w:color w:val="000000"/>
                <w:sz w:val="16"/>
                <w:szCs w:val="16"/>
              </w:rPr>
            </w:pPr>
            <w:r>
              <w:rPr>
                <w:rFonts w:ascii="Calibri" w:hAnsi="Calibri" w:cs="Calibri"/>
                <w:color w:val="000000"/>
                <w:sz w:val="16"/>
                <w:szCs w:val="16"/>
              </w:rPr>
              <w:t xml:space="preserve">                            -   </w:t>
            </w:r>
          </w:p>
        </w:tc>
        <w:tc>
          <w:tcPr>
            <w:tcW w:w="1128" w:type="dxa"/>
            <w:tcBorders>
              <w:top w:val="nil"/>
              <w:left w:val="nil"/>
              <w:bottom w:val="nil"/>
              <w:right w:val="nil"/>
            </w:tcBorders>
            <w:shd w:val="clear" w:color="auto" w:fill="auto"/>
            <w:noWrap/>
            <w:vAlign w:val="center"/>
            <w:hideMark/>
          </w:tcPr>
          <w:p w14:paraId="7F1EE2B9" w14:textId="24765427" w:rsidR="004133F5" w:rsidRDefault="004133F5" w:rsidP="00343A60">
            <w:pPr>
              <w:rPr>
                <w:rFonts w:ascii="Calibri" w:hAnsi="Calibri" w:cs="Calibri"/>
                <w:color w:val="000000"/>
                <w:sz w:val="16"/>
                <w:szCs w:val="16"/>
              </w:rPr>
            </w:pPr>
            <w:r>
              <w:rPr>
                <w:rFonts w:ascii="Calibri" w:hAnsi="Calibri" w:cs="Calibri"/>
                <w:color w:val="000000"/>
                <w:sz w:val="16"/>
                <w:szCs w:val="16"/>
              </w:rPr>
              <w:t xml:space="preserve">                         -   </w:t>
            </w:r>
          </w:p>
        </w:tc>
        <w:tc>
          <w:tcPr>
            <w:tcW w:w="1359" w:type="dxa"/>
            <w:tcBorders>
              <w:top w:val="nil"/>
              <w:left w:val="nil"/>
              <w:bottom w:val="nil"/>
              <w:right w:val="nil"/>
            </w:tcBorders>
            <w:shd w:val="clear" w:color="auto" w:fill="auto"/>
            <w:noWrap/>
            <w:vAlign w:val="center"/>
            <w:hideMark/>
          </w:tcPr>
          <w:p w14:paraId="5EECDEDF" w14:textId="46A86669" w:rsidR="004133F5" w:rsidRDefault="004133F5">
            <w:pPr>
              <w:jc w:val="right"/>
              <w:rPr>
                <w:rFonts w:ascii="Calibri" w:hAnsi="Calibri" w:cs="Calibri"/>
                <w:color w:val="000000"/>
                <w:sz w:val="16"/>
                <w:szCs w:val="16"/>
              </w:rPr>
            </w:pPr>
            <w:r>
              <w:rPr>
                <w:rFonts w:ascii="Calibri" w:hAnsi="Calibri" w:cs="Calibri"/>
                <w:color w:val="000000"/>
                <w:sz w:val="16"/>
                <w:szCs w:val="16"/>
              </w:rPr>
              <w:t xml:space="preserve">                                -   </w:t>
            </w:r>
          </w:p>
        </w:tc>
        <w:tc>
          <w:tcPr>
            <w:tcW w:w="1490" w:type="dxa"/>
            <w:tcBorders>
              <w:top w:val="nil"/>
              <w:left w:val="nil"/>
              <w:bottom w:val="nil"/>
              <w:right w:val="nil"/>
            </w:tcBorders>
            <w:shd w:val="clear" w:color="auto" w:fill="auto"/>
            <w:noWrap/>
            <w:vAlign w:val="center"/>
            <w:hideMark/>
          </w:tcPr>
          <w:p w14:paraId="402F0108" w14:textId="1B91BCB4" w:rsidR="004133F5" w:rsidRDefault="004133F5">
            <w:pPr>
              <w:jc w:val="right"/>
              <w:rPr>
                <w:rFonts w:ascii="Calibri" w:hAnsi="Calibri" w:cs="Calibri"/>
                <w:color w:val="000000"/>
                <w:sz w:val="16"/>
                <w:szCs w:val="16"/>
              </w:rPr>
            </w:pPr>
            <w:r>
              <w:rPr>
                <w:rFonts w:ascii="Calibri" w:hAnsi="Calibri" w:cs="Calibri"/>
                <w:color w:val="000000"/>
                <w:sz w:val="16"/>
                <w:szCs w:val="16"/>
              </w:rPr>
              <w:t xml:space="preserve">                      (34.974)</w:t>
            </w:r>
          </w:p>
        </w:tc>
        <w:tc>
          <w:tcPr>
            <w:tcW w:w="743" w:type="dxa"/>
            <w:tcBorders>
              <w:top w:val="nil"/>
              <w:left w:val="nil"/>
              <w:bottom w:val="nil"/>
              <w:right w:val="nil"/>
            </w:tcBorders>
            <w:shd w:val="clear" w:color="auto" w:fill="auto"/>
            <w:noWrap/>
            <w:vAlign w:val="bottom"/>
            <w:hideMark/>
          </w:tcPr>
          <w:p w14:paraId="66475896" w14:textId="77777777" w:rsidR="004133F5" w:rsidRDefault="004133F5">
            <w:pPr>
              <w:jc w:val="right"/>
              <w:rPr>
                <w:rFonts w:ascii="Calibri" w:hAnsi="Calibri" w:cs="Calibri"/>
                <w:color w:val="000000"/>
                <w:sz w:val="16"/>
                <w:szCs w:val="16"/>
              </w:rPr>
            </w:pPr>
          </w:p>
        </w:tc>
      </w:tr>
      <w:tr w:rsidR="004133F5" w14:paraId="56E9C645" w14:textId="77777777" w:rsidTr="004133F5">
        <w:trPr>
          <w:trHeight w:val="105"/>
        </w:trPr>
        <w:tc>
          <w:tcPr>
            <w:tcW w:w="3145" w:type="dxa"/>
            <w:tcBorders>
              <w:top w:val="nil"/>
              <w:left w:val="nil"/>
              <w:bottom w:val="nil"/>
              <w:right w:val="nil"/>
            </w:tcBorders>
            <w:shd w:val="clear" w:color="auto" w:fill="auto"/>
            <w:noWrap/>
            <w:vAlign w:val="bottom"/>
            <w:hideMark/>
          </w:tcPr>
          <w:p w14:paraId="587CDDE0" w14:textId="77777777" w:rsidR="004133F5" w:rsidRDefault="004133F5">
            <w:pPr>
              <w:rPr>
                <w:sz w:val="20"/>
                <w:szCs w:val="20"/>
              </w:rPr>
            </w:pPr>
          </w:p>
        </w:tc>
        <w:tc>
          <w:tcPr>
            <w:tcW w:w="1418" w:type="dxa"/>
            <w:tcBorders>
              <w:top w:val="nil"/>
              <w:left w:val="nil"/>
              <w:bottom w:val="nil"/>
              <w:right w:val="nil"/>
            </w:tcBorders>
            <w:shd w:val="clear" w:color="auto" w:fill="auto"/>
            <w:noWrap/>
            <w:vAlign w:val="bottom"/>
            <w:hideMark/>
          </w:tcPr>
          <w:p w14:paraId="4958C5E6" w14:textId="77777777" w:rsidR="004133F5" w:rsidRDefault="004133F5">
            <w:pPr>
              <w:rPr>
                <w:sz w:val="20"/>
                <w:szCs w:val="20"/>
              </w:rPr>
            </w:pPr>
          </w:p>
        </w:tc>
        <w:tc>
          <w:tcPr>
            <w:tcW w:w="1237" w:type="dxa"/>
            <w:tcBorders>
              <w:top w:val="nil"/>
              <w:left w:val="nil"/>
              <w:bottom w:val="nil"/>
              <w:right w:val="nil"/>
            </w:tcBorders>
            <w:shd w:val="clear" w:color="auto" w:fill="auto"/>
            <w:noWrap/>
            <w:vAlign w:val="bottom"/>
            <w:hideMark/>
          </w:tcPr>
          <w:p w14:paraId="6DACD521" w14:textId="77777777" w:rsidR="004133F5" w:rsidRDefault="004133F5">
            <w:pPr>
              <w:rPr>
                <w:sz w:val="20"/>
                <w:szCs w:val="20"/>
              </w:rPr>
            </w:pPr>
          </w:p>
        </w:tc>
        <w:tc>
          <w:tcPr>
            <w:tcW w:w="1128" w:type="dxa"/>
            <w:tcBorders>
              <w:top w:val="nil"/>
              <w:left w:val="nil"/>
              <w:bottom w:val="nil"/>
              <w:right w:val="nil"/>
            </w:tcBorders>
            <w:shd w:val="clear" w:color="auto" w:fill="auto"/>
            <w:noWrap/>
            <w:vAlign w:val="bottom"/>
            <w:hideMark/>
          </w:tcPr>
          <w:p w14:paraId="1A794542" w14:textId="77777777" w:rsidR="004133F5" w:rsidRDefault="004133F5">
            <w:pPr>
              <w:rPr>
                <w:sz w:val="20"/>
                <w:szCs w:val="20"/>
              </w:rPr>
            </w:pPr>
          </w:p>
        </w:tc>
        <w:tc>
          <w:tcPr>
            <w:tcW w:w="1359" w:type="dxa"/>
            <w:tcBorders>
              <w:top w:val="nil"/>
              <w:left w:val="nil"/>
              <w:bottom w:val="nil"/>
              <w:right w:val="nil"/>
            </w:tcBorders>
            <w:shd w:val="clear" w:color="auto" w:fill="auto"/>
            <w:noWrap/>
            <w:vAlign w:val="bottom"/>
            <w:hideMark/>
          </w:tcPr>
          <w:p w14:paraId="3962A89A" w14:textId="77777777" w:rsidR="004133F5" w:rsidRDefault="004133F5">
            <w:pPr>
              <w:rPr>
                <w:sz w:val="20"/>
                <w:szCs w:val="20"/>
              </w:rPr>
            </w:pPr>
          </w:p>
        </w:tc>
        <w:tc>
          <w:tcPr>
            <w:tcW w:w="1490" w:type="dxa"/>
            <w:tcBorders>
              <w:top w:val="nil"/>
              <w:left w:val="nil"/>
              <w:bottom w:val="nil"/>
              <w:right w:val="nil"/>
            </w:tcBorders>
            <w:shd w:val="clear" w:color="auto" w:fill="auto"/>
            <w:noWrap/>
            <w:vAlign w:val="bottom"/>
            <w:hideMark/>
          </w:tcPr>
          <w:p w14:paraId="18EAFB8E" w14:textId="77777777" w:rsidR="004133F5" w:rsidRDefault="004133F5">
            <w:pPr>
              <w:rPr>
                <w:sz w:val="20"/>
                <w:szCs w:val="20"/>
              </w:rPr>
            </w:pPr>
          </w:p>
        </w:tc>
        <w:tc>
          <w:tcPr>
            <w:tcW w:w="743" w:type="dxa"/>
            <w:tcBorders>
              <w:top w:val="nil"/>
              <w:left w:val="nil"/>
              <w:bottom w:val="nil"/>
              <w:right w:val="nil"/>
            </w:tcBorders>
            <w:shd w:val="clear" w:color="auto" w:fill="auto"/>
            <w:noWrap/>
            <w:vAlign w:val="bottom"/>
            <w:hideMark/>
          </w:tcPr>
          <w:p w14:paraId="09C147BD" w14:textId="77777777" w:rsidR="004133F5" w:rsidRDefault="004133F5">
            <w:pPr>
              <w:rPr>
                <w:sz w:val="20"/>
                <w:szCs w:val="20"/>
              </w:rPr>
            </w:pPr>
          </w:p>
        </w:tc>
      </w:tr>
      <w:tr w:rsidR="004133F5" w14:paraId="0BBA8220" w14:textId="77777777" w:rsidTr="004133F5">
        <w:trPr>
          <w:trHeight w:val="315"/>
        </w:trPr>
        <w:tc>
          <w:tcPr>
            <w:tcW w:w="3145" w:type="dxa"/>
            <w:tcBorders>
              <w:top w:val="single" w:sz="8" w:space="0" w:color="auto"/>
              <w:left w:val="nil"/>
              <w:bottom w:val="single" w:sz="8" w:space="0" w:color="auto"/>
              <w:right w:val="nil"/>
            </w:tcBorders>
            <w:shd w:val="clear" w:color="auto" w:fill="auto"/>
            <w:noWrap/>
            <w:vAlign w:val="center"/>
            <w:hideMark/>
          </w:tcPr>
          <w:p w14:paraId="61683023" w14:textId="77777777" w:rsidR="004133F5" w:rsidRDefault="004133F5">
            <w:pPr>
              <w:rPr>
                <w:rFonts w:ascii="Calibri" w:hAnsi="Calibri" w:cs="Calibri"/>
                <w:b/>
                <w:bCs/>
                <w:color w:val="000000"/>
                <w:sz w:val="16"/>
                <w:szCs w:val="16"/>
              </w:rPr>
            </w:pPr>
            <w:r>
              <w:rPr>
                <w:rFonts w:ascii="Calibri" w:hAnsi="Calibri" w:cs="Calibri"/>
                <w:b/>
                <w:bCs/>
                <w:color w:val="000000"/>
                <w:sz w:val="16"/>
                <w:szCs w:val="16"/>
              </w:rPr>
              <w:t>Total Bens Móveis (1)</w:t>
            </w:r>
          </w:p>
        </w:tc>
        <w:tc>
          <w:tcPr>
            <w:tcW w:w="1418" w:type="dxa"/>
            <w:tcBorders>
              <w:top w:val="single" w:sz="8" w:space="0" w:color="auto"/>
              <w:left w:val="nil"/>
              <w:bottom w:val="single" w:sz="8" w:space="0" w:color="auto"/>
              <w:right w:val="nil"/>
            </w:tcBorders>
            <w:shd w:val="clear" w:color="auto" w:fill="auto"/>
            <w:noWrap/>
            <w:vAlign w:val="center"/>
            <w:hideMark/>
          </w:tcPr>
          <w:p w14:paraId="750B9E35" w14:textId="77777777" w:rsidR="004133F5" w:rsidRDefault="004133F5">
            <w:pPr>
              <w:jc w:val="right"/>
              <w:rPr>
                <w:rFonts w:ascii="Calibri" w:hAnsi="Calibri" w:cs="Calibri"/>
                <w:b/>
                <w:bCs/>
                <w:color w:val="000000"/>
                <w:sz w:val="16"/>
                <w:szCs w:val="16"/>
              </w:rPr>
            </w:pPr>
            <w:r>
              <w:rPr>
                <w:rFonts w:ascii="Calibri" w:hAnsi="Calibri" w:cs="Calibri"/>
                <w:b/>
                <w:bCs/>
                <w:color w:val="000000"/>
                <w:sz w:val="16"/>
                <w:szCs w:val="16"/>
              </w:rPr>
              <w:t xml:space="preserve">              38.726.226 </w:t>
            </w:r>
          </w:p>
        </w:tc>
        <w:tc>
          <w:tcPr>
            <w:tcW w:w="1237" w:type="dxa"/>
            <w:tcBorders>
              <w:top w:val="single" w:sz="8" w:space="0" w:color="auto"/>
              <w:left w:val="nil"/>
              <w:bottom w:val="single" w:sz="8" w:space="0" w:color="auto"/>
              <w:right w:val="nil"/>
            </w:tcBorders>
            <w:shd w:val="clear" w:color="auto" w:fill="auto"/>
            <w:noWrap/>
            <w:vAlign w:val="center"/>
            <w:hideMark/>
          </w:tcPr>
          <w:p w14:paraId="59C13BE2" w14:textId="6BFFB5A0" w:rsidR="004133F5" w:rsidRDefault="004133F5" w:rsidP="004133F5">
            <w:pPr>
              <w:jc w:val="center"/>
              <w:rPr>
                <w:rFonts w:ascii="Calibri" w:hAnsi="Calibri" w:cs="Calibri"/>
                <w:b/>
                <w:bCs/>
                <w:color w:val="000000"/>
                <w:sz w:val="16"/>
                <w:szCs w:val="16"/>
              </w:rPr>
            </w:pPr>
            <w:r>
              <w:rPr>
                <w:rFonts w:ascii="Calibri" w:hAnsi="Calibri" w:cs="Calibri"/>
                <w:b/>
                <w:bCs/>
                <w:color w:val="000000"/>
                <w:sz w:val="16"/>
                <w:szCs w:val="16"/>
              </w:rPr>
              <w:t xml:space="preserve">                 65.185 </w:t>
            </w:r>
          </w:p>
        </w:tc>
        <w:tc>
          <w:tcPr>
            <w:tcW w:w="1128" w:type="dxa"/>
            <w:tcBorders>
              <w:top w:val="single" w:sz="8" w:space="0" w:color="auto"/>
              <w:left w:val="nil"/>
              <w:bottom w:val="single" w:sz="8" w:space="0" w:color="auto"/>
              <w:right w:val="nil"/>
            </w:tcBorders>
            <w:shd w:val="clear" w:color="auto" w:fill="auto"/>
            <w:noWrap/>
            <w:vAlign w:val="center"/>
            <w:hideMark/>
          </w:tcPr>
          <w:p w14:paraId="652324D7" w14:textId="09813214" w:rsidR="004133F5" w:rsidRDefault="004133F5">
            <w:pPr>
              <w:jc w:val="right"/>
              <w:rPr>
                <w:rFonts w:ascii="Calibri" w:hAnsi="Calibri" w:cs="Calibri"/>
                <w:b/>
                <w:bCs/>
                <w:color w:val="000000"/>
                <w:sz w:val="16"/>
                <w:szCs w:val="16"/>
              </w:rPr>
            </w:pPr>
            <w:r>
              <w:rPr>
                <w:rFonts w:ascii="Calibri" w:hAnsi="Calibri" w:cs="Calibri"/>
                <w:b/>
                <w:bCs/>
                <w:color w:val="000000"/>
                <w:sz w:val="16"/>
                <w:szCs w:val="16"/>
              </w:rPr>
              <w:t xml:space="preserve">                         -   </w:t>
            </w:r>
          </w:p>
        </w:tc>
        <w:tc>
          <w:tcPr>
            <w:tcW w:w="1359" w:type="dxa"/>
            <w:tcBorders>
              <w:top w:val="single" w:sz="8" w:space="0" w:color="auto"/>
              <w:left w:val="nil"/>
              <w:bottom w:val="single" w:sz="8" w:space="0" w:color="auto"/>
              <w:right w:val="nil"/>
            </w:tcBorders>
            <w:shd w:val="clear" w:color="auto" w:fill="auto"/>
            <w:noWrap/>
            <w:vAlign w:val="center"/>
            <w:hideMark/>
          </w:tcPr>
          <w:p w14:paraId="104940D9" w14:textId="77777777" w:rsidR="004133F5" w:rsidRDefault="004133F5">
            <w:pPr>
              <w:jc w:val="right"/>
              <w:rPr>
                <w:rFonts w:ascii="Calibri" w:hAnsi="Calibri" w:cs="Calibri"/>
                <w:b/>
                <w:bCs/>
                <w:color w:val="000000"/>
                <w:sz w:val="16"/>
                <w:szCs w:val="16"/>
              </w:rPr>
            </w:pPr>
            <w:r>
              <w:rPr>
                <w:rFonts w:ascii="Calibri" w:hAnsi="Calibri" w:cs="Calibri"/>
                <w:b/>
                <w:bCs/>
                <w:color w:val="000000"/>
                <w:sz w:val="16"/>
                <w:szCs w:val="16"/>
              </w:rPr>
              <w:t xml:space="preserve">                   484.735 </w:t>
            </w:r>
          </w:p>
        </w:tc>
        <w:tc>
          <w:tcPr>
            <w:tcW w:w="1490" w:type="dxa"/>
            <w:tcBorders>
              <w:top w:val="single" w:sz="8" w:space="0" w:color="auto"/>
              <w:left w:val="nil"/>
              <w:bottom w:val="single" w:sz="8" w:space="0" w:color="auto"/>
              <w:right w:val="nil"/>
            </w:tcBorders>
            <w:shd w:val="clear" w:color="auto" w:fill="auto"/>
            <w:noWrap/>
            <w:vAlign w:val="center"/>
            <w:hideMark/>
          </w:tcPr>
          <w:p w14:paraId="65497828" w14:textId="77777777" w:rsidR="004133F5" w:rsidRDefault="004133F5">
            <w:pPr>
              <w:jc w:val="right"/>
              <w:rPr>
                <w:rFonts w:ascii="Calibri" w:hAnsi="Calibri" w:cs="Calibri"/>
                <w:b/>
                <w:bCs/>
                <w:color w:val="000000"/>
                <w:sz w:val="16"/>
                <w:szCs w:val="16"/>
              </w:rPr>
            </w:pPr>
            <w:r>
              <w:rPr>
                <w:rFonts w:ascii="Calibri" w:hAnsi="Calibri" w:cs="Calibri"/>
                <w:b/>
                <w:bCs/>
                <w:color w:val="000000"/>
                <w:sz w:val="16"/>
                <w:szCs w:val="16"/>
              </w:rPr>
              <w:t xml:space="preserve">               39.276.147 </w:t>
            </w:r>
          </w:p>
        </w:tc>
        <w:tc>
          <w:tcPr>
            <w:tcW w:w="743" w:type="dxa"/>
            <w:tcBorders>
              <w:top w:val="single" w:sz="8" w:space="0" w:color="auto"/>
              <w:left w:val="nil"/>
              <w:bottom w:val="single" w:sz="8" w:space="0" w:color="auto"/>
              <w:right w:val="nil"/>
            </w:tcBorders>
            <w:shd w:val="clear" w:color="auto" w:fill="auto"/>
            <w:noWrap/>
            <w:vAlign w:val="center"/>
            <w:hideMark/>
          </w:tcPr>
          <w:p w14:paraId="4E9380A1" w14:textId="77777777" w:rsidR="004133F5" w:rsidRDefault="004133F5">
            <w:pPr>
              <w:jc w:val="right"/>
              <w:rPr>
                <w:rFonts w:ascii="Calibri" w:hAnsi="Calibri" w:cs="Calibri"/>
                <w:b/>
                <w:bCs/>
                <w:color w:val="000000"/>
                <w:sz w:val="16"/>
                <w:szCs w:val="16"/>
              </w:rPr>
            </w:pPr>
            <w:r>
              <w:rPr>
                <w:rFonts w:ascii="Calibri" w:hAnsi="Calibri" w:cs="Calibri"/>
                <w:b/>
                <w:bCs/>
                <w:color w:val="000000"/>
                <w:sz w:val="16"/>
                <w:szCs w:val="16"/>
              </w:rPr>
              <w:t>-</w:t>
            </w:r>
          </w:p>
        </w:tc>
      </w:tr>
      <w:tr w:rsidR="004133F5" w14:paraId="0216451B" w14:textId="77777777" w:rsidTr="004133F5">
        <w:trPr>
          <w:trHeight w:val="450"/>
        </w:trPr>
        <w:tc>
          <w:tcPr>
            <w:tcW w:w="3145" w:type="dxa"/>
            <w:tcBorders>
              <w:top w:val="nil"/>
              <w:left w:val="nil"/>
              <w:bottom w:val="single" w:sz="8" w:space="0" w:color="auto"/>
              <w:right w:val="nil"/>
            </w:tcBorders>
            <w:shd w:val="clear" w:color="auto" w:fill="auto"/>
            <w:vAlign w:val="center"/>
            <w:hideMark/>
          </w:tcPr>
          <w:p w14:paraId="66B50135" w14:textId="77777777" w:rsidR="004133F5" w:rsidRDefault="004133F5">
            <w:pPr>
              <w:rPr>
                <w:rFonts w:ascii="Calibri" w:hAnsi="Calibri" w:cs="Calibri"/>
                <w:b/>
                <w:bCs/>
                <w:color w:val="000000"/>
                <w:sz w:val="16"/>
                <w:szCs w:val="16"/>
              </w:rPr>
            </w:pPr>
            <w:r>
              <w:rPr>
                <w:rFonts w:ascii="Calibri" w:hAnsi="Calibri" w:cs="Calibri"/>
                <w:b/>
                <w:bCs/>
                <w:color w:val="000000"/>
                <w:sz w:val="16"/>
                <w:szCs w:val="16"/>
              </w:rPr>
              <w:t>IMOBILIZADO BENS IMÓVEIS</w:t>
            </w:r>
          </w:p>
        </w:tc>
        <w:tc>
          <w:tcPr>
            <w:tcW w:w="1418" w:type="dxa"/>
            <w:tcBorders>
              <w:top w:val="nil"/>
              <w:left w:val="nil"/>
              <w:bottom w:val="single" w:sz="8" w:space="0" w:color="auto"/>
              <w:right w:val="nil"/>
            </w:tcBorders>
            <w:shd w:val="clear" w:color="auto" w:fill="auto"/>
            <w:vAlign w:val="center"/>
            <w:hideMark/>
          </w:tcPr>
          <w:p w14:paraId="48FC3BCD" w14:textId="77777777" w:rsidR="004133F5" w:rsidRDefault="004133F5">
            <w:pPr>
              <w:jc w:val="right"/>
              <w:rPr>
                <w:rFonts w:ascii="Calibri" w:hAnsi="Calibri" w:cs="Calibri"/>
                <w:b/>
                <w:bCs/>
                <w:color w:val="000000"/>
                <w:sz w:val="16"/>
                <w:szCs w:val="16"/>
              </w:rPr>
            </w:pPr>
            <w:r>
              <w:rPr>
                <w:rFonts w:ascii="Calibri" w:hAnsi="Calibri" w:cs="Calibri"/>
                <w:b/>
                <w:bCs/>
                <w:color w:val="000000"/>
                <w:sz w:val="16"/>
                <w:szCs w:val="16"/>
              </w:rPr>
              <w:t>SALDO EM 31/12/2021</w:t>
            </w:r>
          </w:p>
        </w:tc>
        <w:tc>
          <w:tcPr>
            <w:tcW w:w="1237" w:type="dxa"/>
            <w:tcBorders>
              <w:top w:val="nil"/>
              <w:left w:val="nil"/>
              <w:bottom w:val="single" w:sz="8" w:space="0" w:color="auto"/>
              <w:right w:val="nil"/>
            </w:tcBorders>
            <w:shd w:val="clear" w:color="auto" w:fill="auto"/>
            <w:vAlign w:val="center"/>
            <w:hideMark/>
          </w:tcPr>
          <w:p w14:paraId="0F8EF062" w14:textId="77777777" w:rsidR="004133F5" w:rsidRDefault="004133F5">
            <w:pPr>
              <w:jc w:val="right"/>
              <w:rPr>
                <w:rFonts w:ascii="Calibri" w:hAnsi="Calibri" w:cs="Calibri"/>
                <w:b/>
                <w:bCs/>
                <w:color w:val="000000"/>
                <w:sz w:val="16"/>
                <w:szCs w:val="16"/>
              </w:rPr>
            </w:pPr>
            <w:r>
              <w:rPr>
                <w:rFonts w:ascii="Calibri" w:hAnsi="Calibri" w:cs="Calibri"/>
                <w:b/>
                <w:bCs/>
                <w:color w:val="000000"/>
                <w:sz w:val="16"/>
                <w:szCs w:val="16"/>
              </w:rPr>
              <w:t>ENTRADAS</w:t>
            </w:r>
          </w:p>
        </w:tc>
        <w:tc>
          <w:tcPr>
            <w:tcW w:w="1128" w:type="dxa"/>
            <w:tcBorders>
              <w:top w:val="nil"/>
              <w:left w:val="nil"/>
              <w:bottom w:val="single" w:sz="8" w:space="0" w:color="auto"/>
              <w:right w:val="nil"/>
            </w:tcBorders>
            <w:shd w:val="clear" w:color="auto" w:fill="auto"/>
            <w:vAlign w:val="center"/>
            <w:hideMark/>
          </w:tcPr>
          <w:p w14:paraId="79A888F5" w14:textId="77777777" w:rsidR="004133F5" w:rsidRDefault="004133F5">
            <w:pPr>
              <w:jc w:val="right"/>
              <w:rPr>
                <w:rFonts w:ascii="Calibri" w:hAnsi="Calibri" w:cs="Calibri"/>
                <w:b/>
                <w:bCs/>
                <w:color w:val="000000"/>
                <w:sz w:val="16"/>
                <w:szCs w:val="16"/>
              </w:rPr>
            </w:pPr>
            <w:r>
              <w:rPr>
                <w:rFonts w:ascii="Calibri" w:hAnsi="Calibri" w:cs="Calibri"/>
                <w:b/>
                <w:bCs/>
                <w:color w:val="000000"/>
                <w:sz w:val="16"/>
                <w:szCs w:val="16"/>
              </w:rPr>
              <w:t>BAIXAS</w:t>
            </w:r>
          </w:p>
        </w:tc>
        <w:tc>
          <w:tcPr>
            <w:tcW w:w="1359" w:type="dxa"/>
            <w:tcBorders>
              <w:top w:val="nil"/>
              <w:left w:val="nil"/>
              <w:bottom w:val="single" w:sz="8" w:space="0" w:color="auto"/>
              <w:right w:val="nil"/>
            </w:tcBorders>
            <w:shd w:val="clear" w:color="auto" w:fill="auto"/>
            <w:vAlign w:val="center"/>
            <w:hideMark/>
          </w:tcPr>
          <w:p w14:paraId="519B2965" w14:textId="77777777" w:rsidR="004133F5" w:rsidRDefault="004133F5">
            <w:pPr>
              <w:jc w:val="right"/>
              <w:rPr>
                <w:rFonts w:ascii="Calibri" w:hAnsi="Calibri" w:cs="Calibri"/>
                <w:b/>
                <w:bCs/>
                <w:color w:val="000000"/>
                <w:sz w:val="16"/>
                <w:szCs w:val="16"/>
              </w:rPr>
            </w:pPr>
            <w:r>
              <w:rPr>
                <w:rFonts w:ascii="Calibri" w:hAnsi="Calibri" w:cs="Calibri"/>
                <w:b/>
                <w:bCs/>
                <w:color w:val="000000"/>
                <w:sz w:val="16"/>
                <w:szCs w:val="16"/>
              </w:rPr>
              <w:t>TRANSF.</w:t>
            </w:r>
          </w:p>
        </w:tc>
        <w:tc>
          <w:tcPr>
            <w:tcW w:w="1490" w:type="dxa"/>
            <w:tcBorders>
              <w:top w:val="nil"/>
              <w:left w:val="nil"/>
              <w:bottom w:val="single" w:sz="8" w:space="0" w:color="auto"/>
              <w:right w:val="nil"/>
            </w:tcBorders>
            <w:shd w:val="clear" w:color="auto" w:fill="auto"/>
            <w:vAlign w:val="center"/>
            <w:hideMark/>
          </w:tcPr>
          <w:p w14:paraId="488FF46A" w14:textId="77777777" w:rsidR="004133F5" w:rsidRDefault="004133F5">
            <w:pPr>
              <w:jc w:val="right"/>
              <w:rPr>
                <w:rFonts w:ascii="Calibri" w:hAnsi="Calibri" w:cs="Calibri"/>
                <w:b/>
                <w:bCs/>
                <w:color w:val="000000"/>
                <w:sz w:val="16"/>
                <w:szCs w:val="16"/>
              </w:rPr>
            </w:pPr>
            <w:r>
              <w:rPr>
                <w:rFonts w:ascii="Calibri" w:hAnsi="Calibri" w:cs="Calibri"/>
                <w:b/>
                <w:bCs/>
                <w:color w:val="000000"/>
                <w:sz w:val="16"/>
                <w:szCs w:val="16"/>
              </w:rPr>
              <w:t>SALDO EM 30/06/2022</w:t>
            </w:r>
          </w:p>
        </w:tc>
        <w:tc>
          <w:tcPr>
            <w:tcW w:w="743" w:type="dxa"/>
            <w:tcBorders>
              <w:top w:val="nil"/>
              <w:left w:val="nil"/>
              <w:bottom w:val="single" w:sz="8" w:space="0" w:color="auto"/>
              <w:right w:val="nil"/>
            </w:tcBorders>
            <w:shd w:val="clear" w:color="auto" w:fill="auto"/>
            <w:vAlign w:val="center"/>
            <w:hideMark/>
          </w:tcPr>
          <w:p w14:paraId="55A04F7D" w14:textId="77777777" w:rsidR="004133F5" w:rsidRDefault="004133F5">
            <w:pPr>
              <w:jc w:val="right"/>
              <w:rPr>
                <w:rFonts w:ascii="Calibri" w:hAnsi="Calibri" w:cs="Calibri"/>
                <w:b/>
                <w:bCs/>
                <w:color w:val="000000"/>
                <w:sz w:val="16"/>
                <w:szCs w:val="16"/>
              </w:rPr>
            </w:pPr>
            <w:r>
              <w:rPr>
                <w:rFonts w:ascii="Calibri" w:hAnsi="Calibri" w:cs="Calibri"/>
                <w:b/>
                <w:bCs/>
                <w:color w:val="000000"/>
                <w:sz w:val="16"/>
                <w:szCs w:val="16"/>
              </w:rPr>
              <w:t>TAXA DEPREC. (%)</w:t>
            </w:r>
          </w:p>
        </w:tc>
      </w:tr>
      <w:tr w:rsidR="004133F5" w14:paraId="434994D0" w14:textId="77777777" w:rsidTr="004133F5">
        <w:trPr>
          <w:trHeight w:val="300"/>
        </w:trPr>
        <w:tc>
          <w:tcPr>
            <w:tcW w:w="3145" w:type="dxa"/>
            <w:tcBorders>
              <w:top w:val="nil"/>
              <w:left w:val="nil"/>
              <w:bottom w:val="nil"/>
              <w:right w:val="nil"/>
            </w:tcBorders>
            <w:shd w:val="clear" w:color="auto" w:fill="auto"/>
            <w:noWrap/>
            <w:vAlign w:val="center"/>
            <w:hideMark/>
          </w:tcPr>
          <w:p w14:paraId="2B65D65B" w14:textId="77777777" w:rsidR="004133F5" w:rsidRDefault="004133F5">
            <w:pPr>
              <w:rPr>
                <w:rFonts w:ascii="Calibri" w:hAnsi="Calibri" w:cs="Calibri"/>
                <w:color w:val="000000"/>
                <w:sz w:val="16"/>
                <w:szCs w:val="16"/>
              </w:rPr>
            </w:pPr>
            <w:r>
              <w:rPr>
                <w:rFonts w:ascii="Calibri" w:hAnsi="Calibri" w:cs="Calibri"/>
                <w:color w:val="000000"/>
                <w:sz w:val="16"/>
                <w:szCs w:val="16"/>
              </w:rPr>
              <w:t>Terrenos</w:t>
            </w:r>
          </w:p>
        </w:tc>
        <w:tc>
          <w:tcPr>
            <w:tcW w:w="1418" w:type="dxa"/>
            <w:tcBorders>
              <w:top w:val="nil"/>
              <w:left w:val="nil"/>
              <w:bottom w:val="nil"/>
              <w:right w:val="nil"/>
            </w:tcBorders>
            <w:shd w:val="clear" w:color="auto" w:fill="auto"/>
            <w:noWrap/>
            <w:vAlign w:val="center"/>
            <w:hideMark/>
          </w:tcPr>
          <w:p w14:paraId="7CDD27B7" w14:textId="77777777" w:rsidR="004133F5" w:rsidRDefault="004133F5" w:rsidP="001B1772">
            <w:pPr>
              <w:jc w:val="right"/>
              <w:rPr>
                <w:rFonts w:ascii="Calibri" w:hAnsi="Calibri" w:cs="Calibri"/>
                <w:color w:val="000000"/>
                <w:sz w:val="16"/>
                <w:szCs w:val="16"/>
              </w:rPr>
            </w:pPr>
            <w:r>
              <w:rPr>
                <w:rFonts w:ascii="Calibri" w:hAnsi="Calibri" w:cs="Calibri"/>
                <w:color w:val="000000"/>
                <w:sz w:val="16"/>
                <w:szCs w:val="16"/>
              </w:rPr>
              <w:t xml:space="preserve">           407.485.211 </w:t>
            </w:r>
          </w:p>
        </w:tc>
        <w:tc>
          <w:tcPr>
            <w:tcW w:w="1237" w:type="dxa"/>
            <w:tcBorders>
              <w:top w:val="nil"/>
              <w:left w:val="nil"/>
              <w:bottom w:val="nil"/>
              <w:right w:val="nil"/>
            </w:tcBorders>
            <w:shd w:val="clear" w:color="auto" w:fill="auto"/>
            <w:noWrap/>
            <w:vAlign w:val="center"/>
            <w:hideMark/>
          </w:tcPr>
          <w:p w14:paraId="4B499356" w14:textId="77777777" w:rsidR="004133F5" w:rsidRDefault="004133F5" w:rsidP="001B1772">
            <w:pPr>
              <w:jc w:val="right"/>
              <w:rPr>
                <w:rFonts w:ascii="Calibri" w:hAnsi="Calibri" w:cs="Calibri"/>
                <w:color w:val="000000"/>
                <w:sz w:val="16"/>
                <w:szCs w:val="16"/>
              </w:rPr>
            </w:pPr>
            <w:r>
              <w:rPr>
                <w:rFonts w:ascii="Calibri" w:hAnsi="Calibri" w:cs="Calibri"/>
                <w:color w:val="000000"/>
                <w:sz w:val="16"/>
                <w:szCs w:val="16"/>
              </w:rPr>
              <w:t xml:space="preserve">           4.505.738 </w:t>
            </w:r>
          </w:p>
        </w:tc>
        <w:tc>
          <w:tcPr>
            <w:tcW w:w="1128" w:type="dxa"/>
            <w:tcBorders>
              <w:top w:val="nil"/>
              <w:left w:val="nil"/>
              <w:bottom w:val="nil"/>
              <w:right w:val="nil"/>
            </w:tcBorders>
            <w:shd w:val="clear" w:color="auto" w:fill="auto"/>
            <w:noWrap/>
            <w:vAlign w:val="center"/>
            <w:hideMark/>
          </w:tcPr>
          <w:p w14:paraId="60A62DD2" w14:textId="49FFC555" w:rsidR="004133F5" w:rsidRDefault="004133F5" w:rsidP="001B1772">
            <w:pPr>
              <w:rPr>
                <w:rFonts w:ascii="Calibri" w:hAnsi="Calibri" w:cs="Calibri"/>
                <w:color w:val="000000"/>
                <w:sz w:val="16"/>
                <w:szCs w:val="16"/>
              </w:rPr>
            </w:pPr>
            <w:r>
              <w:rPr>
                <w:rFonts w:ascii="Calibri" w:hAnsi="Calibri" w:cs="Calibri"/>
                <w:color w:val="000000"/>
                <w:sz w:val="16"/>
                <w:szCs w:val="16"/>
              </w:rPr>
              <w:t xml:space="preserve">                         -   </w:t>
            </w:r>
          </w:p>
        </w:tc>
        <w:tc>
          <w:tcPr>
            <w:tcW w:w="1359" w:type="dxa"/>
            <w:tcBorders>
              <w:top w:val="nil"/>
              <w:left w:val="nil"/>
              <w:bottom w:val="nil"/>
              <w:right w:val="nil"/>
            </w:tcBorders>
            <w:shd w:val="clear" w:color="auto" w:fill="auto"/>
            <w:noWrap/>
            <w:vAlign w:val="center"/>
            <w:hideMark/>
          </w:tcPr>
          <w:p w14:paraId="6238BA7D" w14:textId="09F3AF5C" w:rsidR="004133F5" w:rsidRDefault="004133F5" w:rsidP="001B1772">
            <w:pPr>
              <w:jc w:val="right"/>
              <w:rPr>
                <w:rFonts w:ascii="Calibri" w:hAnsi="Calibri" w:cs="Calibri"/>
                <w:color w:val="000000"/>
                <w:sz w:val="16"/>
                <w:szCs w:val="16"/>
              </w:rPr>
            </w:pPr>
            <w:r>
              <w:rPr>
                <w:rFonts w:ascii="Calibri" w:hAnsi="Calibri" w:cs="Calibri"/>
                <w:color w:val="000000"/>
                <w:sz w:val="16"/>
                <w:szCs w:val="16"/>
              </w:rPr>
              <w:t xml:space="preserve">                               -   </w:t>
            </w:r>
          </w:p>
        </w:tc>
        <w:tc>
          <w:tcPr>
            <w:tcW w:w="1490" w:type="dxa"/>
            <w:tcBorders>
              <w:top w:val="nil"/>
              <w:left w:val="nil"/>
              <w:bottom w:val="nil"/>
              <w:right w:val="nil"/>
            </w:tcBorders>
            <w:shd w:val="clear" w:color="auto" w:fill="auto"/>
            <w:noWrap/>
            <w:vAlign w:val="center"/>
            <w:hideMark/>
          </w:tcPr>
          <w:p w14:paraId="35572826" w14:textId="77777777" w:rsidR="004133F5" w:rsidRDefault="004133F5" w:rsidP="001B1772">
            <w:pPr>
              <w:jc w:val="right"/>
              <w:rPr>
                <w:rFonts w:ascii="Calibri" w:hAnsi="Calibri" w:cs="Calibri"/>
                <w:color w:val="000000"/>
                <w:sz w:val="16"/>
                <w:szCs w:val="16"/>
              </w:rPr>
            </w:pPr>
            <w:r>
              <w:rPr>
                <w:rFonts w:ascii="Calibri" w:hAnsi="Calibri" w:cs="Calibri"/>
                <w:color w:val="000000"/>
                <w:sz w:val="16"/>
                <w:szCs w:val="16"/>
              </w:rPr>
              <w:t xml:space="preserve">            411.990.949 </w:t>
            </w:r>
          </w:p>
        </w:tc>
        <w:tc>
          <w:tcPr>
            <w:tcW w:w="743" w:type="dxa"/>
            <w:tcBorders>
              <w:top w:val="nil"/>
              <w:left w:val="nil"/>
              <w:bottom w:val="nil"/>
              <w:right w:val="nil"/>
            </w:tcBorders>
            <w:shd w:val="clear" w:color="auto" w:fill="auto"/>
            <w:noWrap/>
            <w:vAlign w:val="center"/>
            <w:hideMark/>
          </w:tcPr>
          <w:p w14:paraId="6BAC125E" w14:textId="77777777" w:rsidR="004133F5" w:rsidRDefault="004133F5">
            <w:pPr>
              <w:jc w:val="right"/>
              <w:rPr>
                <w:rFonts w:ascii="Calibri" w:hAnsi="Calibri" w:cs="Calibri"/>
                <w:color w:val="000000"/>
                <w:sz w:val="16"/>
                <w:szCs w:val="16"/>
              </w:rPr>
            </w:pPr>
            <w:r>
              <w:rPr>
                <w:rFonts w:ascii="Calibri" w:hAnsi="Calibri" w:cs="Calibri"/>
                <w:color w:val="000000"/>
                <w:sz w:val="16"/>
                <w:szCs w:val="16"/>
              </w:rPr>
              <w:t>-</w:t>
            </w:r>
          </w:p>
        </w:tc>
      </w:tr>
      <w:tr w:rsidR="004133F5" w14:paraId="0F31465C" w14:textId="77777777" w:rsidTr="004133F5">
        <w:trPr>
          <w:trHeight w:val="300"/>
        </w:trPr>
        <w:tc>
          <w:tcPr>
            <w:tcW w:w="3145" w:type="dxa"/>
            <w:tcBorders>
              <w:top w:val="nil"/>
              <w:left w:val="nil"/>
              <w:bottom w:val="nil"/>
              <w:right w:val="nil"/>
            </w:tcBorders>
            <w:shd w:val="clear" w:color="auto" w:fill="auto"/>
            <w:noWrap/>
            <w:vAlign w:val="center"/>
            <w:hideMark/>
          </w:tcPr>
          <w:p w14:paraId="78DEC25B" w14:textId="77777777" w:rsidR="004133F5" w:rsidRDefault="004133F5">
            <w:pPr>
              <w:rPr>
                <w:rFonts w:ascii="Calibri" w:hAnsi="Calibri" w:cs="Calibri"/>
                <w:color w:val="000000"/>
                <w:sz w:val="16"/>
                <w:szCs w:val="16"/>
              </w:rPr>
            </w:pPr>
            <w:r>
              <w:rPr>
                <w:rFonts w:ascii="Calibri" w:hAnsi="Calibri" w:cs="Calibri"/>
                <w:color w:val="000000"/>
                <w:sz w:val="16"/>
                <w:szCs w:val="16"/>
              </w:rPr>
              <w:t>Terrenos – Permissão de Uso de Pátios</w:t>
            </w:r>
          </w:p>
        </w:tc>
        <w:tc>
          <w:tcPr>
            <w:tcW w:w="1418" w:type="dxa"/>
            <w:tcBorders>
              <w:top w:val="nil"/>
              <w:left w:val="nil"/>
              <w:bottom w:val="nil"/>
              <w:right w:val="nil"/>
            </w:tcBorders>
            <w:shd w:val="clear" w:color="auto" w:fill="auto"/>
            <w:noWrap/>
            <w:vAlign w:val="center"/>
            <w:hideMark/>
          </w:tcPr>
          <w:p w14:paraId="14D31240" w14:textId="77D1350F" w:rsidR="004133F5" w:rsidRDefault="004133F5" w:rsidP="001B1772">
            <w:pPr>
              <w:jc w:val="right"/>
              <w:rPr>
                <w:rFonts w:ascii="Calibri" w:hAnsi="Calibri" w:cs="Calibri"/>
                <w:color w:val="000000"/>
                <w:sz w:val="16"/>
                <w:szCs w:val="16"/>
              </w:rPr>
            </w:pPr>
            <w:r>
              <w:rPr>
                <w:rFonts w:ascii="Calibri" w:hAnsi="Calibri" w:cs="Calibri"/>
                <w:color w:val="000000"/>
                <w:sz w:val="16"/>
                <w:szCs w:val="16"/>
              </w:rPr>
              <w:t xml:space="preserve">                    480.985 </w:t>
            </w:r>
          </w:p>
        </w:tc>
        <w:tc>
          <w:tcPr>
            <w:tcW w:w="1237" w:type="dxa"/>
            <w:tcBorders>
              <w:top w:val="nil"/>
              <w:left w:val="nil"/>
              <w:bottom w:val="nil"/>
              <w:right w:val="nil"/>
            </w:tcBorders>
            <w:shd w:val="clear" w:color="auto" w:fill="auto"/>
            <w:noWrap/>
            <w:vAlign w:val="center"/>
            <w:hideMark/>
          </w:tcPr>
          <w:p w14:paraId="006FD807" w14:textId="68AB7705" w:rsidR="004133F5" w:rsidRDefault="004133F5" w:rsidP="001B1772">
            <w:pPr>
              <w:jc w:val="right"/>
              <w:rPr>
                <w:rFonts w:ascii="Calibri" w:hAnsi="Calibri" w:cs="Calibri"/>
                <w:color w:val="000000"/>
                <w:sz w:val="16"/>
                <w:szCs w:val="16"/>
              </w:rPr>
            </w:pPr>
            <w:r>
              <w:rPr>
                <w:rFonts w:ascii="Calibri" w:hAnsi="Calibri" w:cs="Calibri"/>
                <w:color w:val="000000"/>
                <w:sz w:val="16"/>
                <w:szCs w:val="16"/>
              </w:rPr>
              <w:t xml:space="preserve">                           -   </w:t>
            </w:r>
          </w:p>
        </w:tc>
        <w:tc>
          <w:tcPr>
            <w:tcW w:w="1128" w:type="dxa"/>
            <w:tcBorders>
              <w:top w:val="nil"/>
              <w:left w:val="nil"/>
              <w:bottom w:val="nil"/>
              <w:right w:val="nil"/>
            </w:tcBorders>
            <w:shd w:val="clear" w:color="auto" w:fill="auto"/>
            <w:noWrap/>
            <w:vAlign w:val="center"/>
            <w:hideMark/>
          </w:tcPr>
          <w:p w14:paraId="5DBF2F8D" w14:textId="027DA923" w:rsidR="004133F5" w:rsidRDefault="004133F5" w:rsidP="001B1772">
            <w:pPr>
              <w:jc w:val="right"/>
              <w:rPr>
                <w:rFonts w:ascii="Calibri" w:hAnsi="Calibri" w:cs="Calibri"/>
                <w:color w:val="000000"/>
                <w:sz w:val="16"/>
                <w:szCs w:val="16"/>
              </w:rPr>
            </w:pPr>
            <w:r>
              <w:rPr>
                <w:rFonts w:ascii="Calibri" w:hAnsi="Calibri" w:cs="Calibri"/>
                <w:color w:val="000000"/>
                <w:sz w:val="16"/>
                <w:szCs w:val="16"/>
              </w:rPr>
              <w:t xml:space="preserve">                         -   </w:t>
            </w:r>
          </w:p>
        </w:tc>
        <w:tc>
          <w:tcPr>
            <w:tcW w:w="1359" w:type="dxa"/>
            <w:tcBorders>
              <w:top w:val="nil"/>
              <w:left w:val="nil"/>
              <w:bottom w:val="nil"/>
              <w:right w:val="nil"/>
            </w:tcBorders>
            <w:shd w:val="clear" w:color="auto" w:fill="auto"/>
            <w:noWrap/>
            <w:vAlign w:val="center"/>
            <w:hideMark/>
          </w:tcPr>
          <w:p w14:paraId="0A90181B" w14:textId="408F1A0C" w:rsidR="004133F5" w:rsidRDefault="004133F5" w:rsidP="001B1772">
            <w:pPr>
              <w:rPr>
                <w:rFonts w:ascii="Calibri" w:hAnsi="Calibri" w:cs="Calibri"/>
                <w:color w:val="000000"/>
                <w:sz w:val="16"/>
                <w:szCs w:val="16"/>
              </w:rPr>
            </w:pPr>
            <w:r>
              <w:rPr>
                <w:rFonts w:ascii="Calibri" w:hAnsi="Calibri" w:cs="Calibri"/>
                <w:color w:val="000000"/>
                <w:sz w:val="16"/>
                <w:szCs w:val="16"/>
              </w:rPr>
              <w:t xml:space="preserve">                                -   </w:t>
            </w:r>
          </w:p>
        </w:tc>
        <w:tc>
          <w:tcPr>
            <w:tcW w:w="1490" w:type="dxa"/>
            <w:tcBorders>
              <w:top w:val="nil"/>
              <w:left w:val="nil"/>
              <w:bottom w:val="nil"/>
              <w:right w:val="nil"/>
            </w:tcBorders>
            <w:shd w:val="clear" w:color="auto" w:fill="auto"/>
            <w:noWrap/>
            <w:vAlign w:val="center"/>
            <w:hideMark/>
          </w:tcPr>
          <w:p w14:paraId="54F9879E" w14:textId="649B0A5A" w:rsidR="004133F5" w:rsidRDefault="004133F5" w:rsidP="001B1772">
            <w:pPr>
              <w:jc w:val="right"/>
              <w:rPr>
                <w:rFonts w:ascii="Calibri" w:hAnsi="Calibri" w:cs="Calibri"/>
                <w:color w:val="000000"/>
                <w:sz w:val="16"/>
                <w:szCs w:val="16"/>
              </w:rPr>
            </w:pPr>
            <w:r>
              <w:rPr>
                <w:rFonts w:ascii="Calibri" w:hAnsi="Calibri" w:cs="Calibri"/>
                <w:color w:val="000000"/>
                <w:sz w:val="16"/>
                <w:szCs w:val="16"/>
              </w:rPr>
              <w:t xml:space="preserve">                      480.985 </w:t>
            </w:r>
          </w:p>
        </w:tc>
        <w:tc>
          <w:tcPr>
            <w:tcW w:w="743" w:type="dxa"/>
            <w:tcBorders>
              <w:top w:val="nil"/>
              <w:left w:val="nil"/>
              <w:bottom w:val="nil"/>
              <w:right w:val="nil"/>
            </w:tcBorders>
            <w:shd w:val="clear" w:color="auto" w:fill="auto"/>
            <w:noWrap/>
            <w:vAlign w:val="center"/>
            <w:hideMark/>
          </w:tcPr>
          <w:p w14:paraId="03D4A101" w14:textId="77777777" w:rsidR="004133F5" w:rsidRDefault="004133F5">
            <w:pPr>
              <w:jc w:val="right"/>
              <w:rPr>
                <w:rFonts w:ascii="Calibri" w:hAnsi="Calibri" w:cs="Calibri"/>
                <w:color w:val="000000"/>
                <w:sz w:val="16"/>
                <w:szCs w:val="16"/>
              </w:rPr>
            </w:pPr>
            <w:r>
              <w:rPr>
                <w:rFonts w:ascii="Calibri" w:hAnsi="Calibri" w:cs="Calibri"/>
                <w:color w:val="000000"/>
                <w:sz w:val="16"/>
                <w:szCs w:val="16"/>
              </w:rPr>
              <w:t>-</w:t>
            </w:r>
          </w:p>
        </w:tc>
      </w:tr>
      <w:tr w:rsidR="004133F5" w14:paraId="2FAD50D7" w14:textId="77777777" w:rsidTr="004133F5">
        <w:trPr>
          <w:trHeight w:val="300"/>
        </w:trPr>
        <w:tc>
          <w:tcPr>
            <w:tcW w:w="3145" w:type="dxa"/>
            <w:tcBorders>
              <w:top w:val="nil"/>
              <w:left w:val="nil"/>
              <w:bottom w:val="nil"/>
              <w:right w:val="nil"/>
            </w:tcBorders>
            <w:shd w:val="clear" w:color="auto" w:fill="auto"/>
            <w:noWrap/>
            <w:vAlign w:val="center"/>
            <w:hideMark/>
          </w:tcPr>
          <w:p w14:paraId="7064E43A" w14:textId="77777777" w:rsidR="004133F5" w:rsidRDefault="004133F5">
            <w:pPr>
              <w:rPr>
                <w:rFonts w:ascii="Calibri" w:hAnsi="Calibri" w:cs="Calibri"/>
                <w:color w:val="000000"/>
                <w:sz w:val="16"/>
                <w:szCs w:val="16"/>
              </w:rPr>
            </w:pPr>
            <w:r>
              <w:rPr>
                <w:rFonts w:ascii="Calibri" w:hAnsi="Calibri" w:cs="Calibri"/>
                <w:color w:val="000000"/>
                <w:sz w:val="16"/>
                <w:szCs w:val="16"/>
              </w:rPr>
              <w:t>Salas e Escritórios</w:t>
            </w:r>
          </w:p>
        </w:tc>
        <w:tc>
          <w:tcPr>
            <w:tcW w:w="1418" w:type="dxa"/>
            <w:tcBorders>
              <w:top w:val="nil"/>
              <w:left w:val="nil"/>
              <w:bottom w:val="nil"/>
              <w:right w:val="nil"/>
            </w:tcBorders>
            <w:shd w:val="clear" w:color="auto" w:fill="auto"/>
            <w:noWrap/>
            <w:vAlign w:val="center"/>
            <w:hideMark/>
          </w:tcPr>
          <w:p w14:paraId="699476BC" w14:textId="14B38B63" w:rsidR="004133F5" w:rsidRDefault="004133F5" w:rsidP="001B1772">
            <w:pPr>
              <w:jc w:val="right"/>
              <w:rPr>
                <w:rFonts w:ascii="Calibri" w:hAnsi="Calibri" w:cs="Calibri"/>
                <w:color w:val="000000"/>
                <w:sz w:val="16"/>
                <w:szCs w:val="16"/>
              </w:rPr>
            </w:pPr>
            <w:r>
              <w:rPr>
                <w:rFonts w:ascii="Calibri" w:hAnsi="Calibri" w:cs="Calibri"/>
                <w:color w:val="000000"/>
                <w:sz w:val="16"/>
                <w:szCs w:val="16"/>
              </w:rPr>
              <w:t xml:space="preserve">    </w:t>
            </w:r>
            <w:r w:rsidR="001B1772">
              <w:rPr>
                <w:rFonts w:ascii="Calibri" w:hAnsi="Calibri" w:cs="Calibri"/>
                <w:color w:val="000000"/>
                <w:sz w:val="16"/>
                <w:szCs w:val="16"/>
              </w:rPr>
              <w:t>2</w:t>
            </w:r>
            <w:r>
              <w:rPr>
                <w:rFonts w:ascii="Calibri" w:hAnsi="Calibri" w:cs="Calibri"/>
                <w:color w:val="000000"/>
                <w:sz w:val="16"/>
                <w:szCs w:val="16"/>
              </w:rPr>
              <w:t xml:space="preserve">.361.441 </w:t>
            </w:r>
          </w:p>
        </w:tc>
        <w:tc>
          <w:tcPr>
            <w:tcW w:w="1237" w:type="dxa"/>
            <w:tcBorders>
              <w:top w:val="nil"/>
              <w:left w:val="nil"/>
              <w:bottom w:val="nil"/>
              <w:right w:val="nil"/>
            </w:tcBorders>
            <w:shd w:val="clear" w:color="auto" w:fill="auto"/>
            <w:noWrap/>
            <w:vAlign w:val="center"/>
            <w:hideMark/>
          </w:tcPr>
          <w:p w14:paraId="7F9BF943" w14:textId="76ACAE2F" w:rsidR="004133F5" w:rsidRDefault="004133F5" w:rsidP="001B1772">
            <w:pPr>
              <w:jc w:val="right"/>
              <w:rPr>
                <w:rFonts w:ascii="Calibri" w:hAnsi="Calibri" w:cs="Calibri"/>
                <w:color w:val="000000"/>
                <w:sz w:val="16"/>
                <w:szCs w:val="16"/>
              </w:rPr>
            </w:pPr>
            <w:r>
              <w:rPr>
                <w:rFonts w:ascii="Calibri" w:hAnsi="Calibri" w:cs="Calibri"/>
                <w:color w:val="000000"/>
                <w:sz w:val="16"/>
                <w:szCs w:val="16"/>
              </w:rPr>
              <w:t xml:space="preserve">                            -   </w:t>
            </w:r>
          </w:p>
        </w:tc>
        <w:tc>
          <w:tcPr>
            <w:tcW w:w="1128" w:type="dxa"/>
            <w:tcBorders>
              <w:top w:val="nil"/>
              <w:left w:val="nil"/>
              <w:bottom w:val="nil"/>
              <w:right w:val="nil"/>
            </w:tcBorders>
            <w:shd w:val="clear" w:color="auto" w:fill="auto"/>
            <w:noWrap/>
            <w:vAlign w:val="center"/>
            <w:hideMark/>
          </w:tcPr>
          <w:p w14:paraId="1DB67FEB" w14:textId="46F70BBD" w:rsidR="004133F5" w:rsidRDefault="004133F5" w:rsidP="001B1772">
            <w:pPr>
              <w:jc w:val="right"/>
              <w:rPr>
                <w:rFonts w:ascii="Calibri" w:hAnsi="Calibri" w:cs="Calibri"/>
                <w:color w:val="000000"/>
                <w:sz w:val="16"/>
                <w:szCs w:val="16"/>
              </w:rPr>
            </w:pPr>
            <w:r>
              <w:rPr>
                <w:rFonts w:ascii="Calibri" w:hAnsi="Calibri" w:cs="Calibri"/>
                <w:color w:val="000000"/>
                <w:sz w:val="16"/>
                <w:szCs w:val="16"/>
              </w:rPr>
              <w:t xml:space="preserve">          (165.019)</w:t>
            </w:r>
          </w:p>
        </w:tc>
        <w:tc>
          <w:tcPr>
            <w:tcW w:w="1359" w:type="dxa"/>
            <w:tcBorders>
              <w:top w:val="nil"/>
              <w:left w:val="nil"/>
              <w:bottom w:val="nil"/>
              <w:right w:val="nil"/>
            </w:tcBorders>
            <w:shd w:val="clear" w:color="auto" w:fill="auto"/>
            <w:noWrap/>
            <w:vAlign w:val="center"/>
            <w:hideMark/>
          </w:tcPr>
          <w:p w14:paraId="7D562885" w14:textId="7A2BB9E7" w:rsidR="004133F5" w:rsidRDefault="004133F5" w:rsidP="001B1772">
            <w:pPr>
              <w:jc w:val="right"/>
              <w:rPr>
                <w:rFonts w:ascii="Calibri" w:hAnsi="Calibri" w:cs="Calibri"/>
                <w:color w:val="000000"/>
                <w:sz w:val="16"/>
                <w:szCs w:val="16"/>
              </w:rPr>
            </w:pPr>
            <w:r>
              <w:rPr>
                <w:rFonts w:ascii="Calibri" w:hAnsi="Calibri" w:cs="Calibri"/>
                <w:color w:val="000000"/>
                <w:sz w:val="16"/>
                <w:szCs w:val="16"/>
              </w:rPr>
              <w:t xml:space="preserve">                                -   </w:t>
            </w:r>
          </w:p>
        </w:tc>
        <w:tc>
          <w:tcPr>
            <w:tcW w:w="1490" w:type="dxa"/>
            <w:tcBorders>
              <w:top w:val="nil"/>
              <w:left w:val="nil"/>
              <w:bottom w:val="nil"/>
              <w:right w:val="nil"/>
            </w:tcBorders>
            <w:shd w:val="clear" w:color="auto" w:fill="auto"/>
            <w:noWrap/>
            <w:vAlign w:val="center"/>
            <w:hideMark/>
          </w:tcPr>
          <w:p w14:paraId="6D5D6176" w14:textId="77777777" w:rsidR="004133F5" w:rsidRDefault="004133F5" w:rsidP="001B1772">
            <w:pPr>
              <w:jc w:val="right"/>
              <w:rPr>
                <w:rFonts w:ascii="Calibri" w:hAnsi="Calibri" w:cs="Calibri"/>
                <w:color w:val="000000"/>
                <w:sz w:val="16"/>
                <w:szCs w:val="16"/>
              </w:rPr>
            </w:pPr>
            <w:r>
              <w:rPr>
                <w:rFonts w:ascii="Calibri" w:hAnsi="Calibri" w:cs="Calibri"/>
                <w:color w:val="000000"/>
                <w:sz w:val="16"/>
                <w:szCs w:val="16"/>
              </w:rPr>
              <w:t xml:space="preserve">                  2.196.421 </w:t>
            </w:r>
          </w:p>
        </w:tc>
        <w:tc>
          <w:tcPr>
            <w:tcW w:w="743" w:type="dxa"/>
            <w:tcBorders>
              <w:top w:val="nil"/>
              <w:left w:val="nil"/>
              <w:bottom w:val="nil"/>
              <w:right w:val="nil"/>
            </w:tcBorders>
            <w:shd w:val="clear" w:color="auto" w:fill="auto"/>
            <w:noWrap/>
            <w:vAlign w:val="center"/>
            <w:hideMark/>
          </w:tcPr>
          <w:p w14:paraId="3270E27B" w14:textId="77777777" w:rsidR="004133F5" w:rsidRDefault="004133F5">
            <w:pPr>
              <w:jc w:val="right"/>
              <w:rPr>
                <w:rFonts w:ascii="Calibri" w:hAnsi="Calibri" w:cs="Calibri"/>
                <w:color w:val="000000"/>
                <w:sz w:val="16"/>
                <w:szCs w:val="16"/>
              </w:rPr>
            </w:pPr>
            <w:r>
              <w:rPr>
                <w:rFonts w:ascii="Calibri" w:hAnsi="Calibri" w:cs="Calibri"/>
                <w:color w:val="000000"/>
                <w:sz w:val="16"/>
                <w:szCs w:val="16"/>
              </w:rPr>
              <w:t>10</w:t>
            </w:r>
          </w:p>
        </w:tc>
      </w:tr>
      <w:tr w:rsidR="004133F5" w14:paraId="3A28F269" w14:textId="77777777" w:rsidTr="004133F5">
        <w:trPr>
          <w:trHeight w:val="300"/>
        </w:trPr>
        <w:tc>
          <w:tcPr>
            <w:tcW w:w="3145" w:type="dxa"/>
            <w:tcBorders>
              <w:top w:val="nil"/>
              <w:left w:val="nil"/>
              <w:bottom w:val="nil"/>
              <w:right w:val="nil"/>
            </w:tcBorders>
            <w:shd w:val="clear" w:color="auto" w:fill="auto"/>
            <w:noWrap/>
            <w:vAlign w:val="center"/>
            <w:hideMark/>
          </w:tcPr>
          <w:p w14:paraId="27031EE0" w14:textId="77777777" w:rsidR="004133F5" w:rsidRDefault="004133F5">
            <w:pPr>
              <w:rPr>
                <w:rFonts w:ascii="Calibri" w:hAnsi="Calibri" w:cs="Calibri"/>
                <w:color w:val="000000"/>
                <w:sz w:val="16"/>
                <w:szCs w:val="16"/>
              </w:rPr>
            </w:pPr>
            <w:r>
              <w:rPr>
                <w:rFonts w:ascii="Calibri" w:hAnsi="Calibri" w:cs="Calibri"/>
                <w:color w:val="000000"/>
                <w:sz w:val="16"/>
                <w:szCs w:val="16"/>
              </w:rPr>
              <w:t>Estudos e Projetos</w:t>
            </w:r>
          </w:p>
        </w:tc>
        <w:tc>
          <w:tcPr>
            <w:tcW w:w="1418" w:type="dxa"/>
            <w:tcBorders>
              <w:top w:val="nil"/>
              <w:left w:val="nil"/>
              <w:bottom w:val="nil"/>
              <w:right w:val="nil"/>
            </w:tcBorders>
            <w:shd w:val="clear" w:color="auto" w:fill="auto"/>
            <w:noWrap/>
            <w:vAlign w:val="center"/>
            <w:hideMark/>
          </w:tcPr>
          <w:p w14:paraId="3DC437E4" w14:textId="12F37F4E" w:rsidR="004133F5" w:rsidRDefault="004133F5" w:rsidP="001B1772">
            <w:pPr>
              <w:jc w:val="right"/>
              <w:rPr>
                <w:rFonts w:ascii="Calibri" w:hAnsi="Calibri" w:cs="Calibri"/>
                <w:color w:val="000000"/>
                <w:sz w:val="16"/>
                <w:szCs w:val="16"/>
              </w:rPr>
            </w:pPr>
            <w:r>
              <w:rPr>
                <w:rFonts w:ascii="Calibri" w:hAnsi="Calibri" w:cs="Calibri"/>
                <w:color w:val="000000"/>
                <w:sz w:val="16"/>
                <w:szCs w:val="16"/>
              </w:rPr>
              <w:t xml:space="preserve">           157.746.865 </w:t>
            </w:r>
          </w:p>
        </w:tc>
        <w:tc>
          <w:tcPr>
            <w:tcW w:w="1237" w:type="dxa"/>
            <w:tcBorders>
              <w:top w:val="nil"/>
              <w:left w:val="nil"/>
              <w:bottom w:val="nil"/>
              <w:right w:val="nil"/>
            </w:tcBorders>
            <w:shd w:val="clear" w:color="auto" w:fill="auto"/>
            <w:noWrap/>
            <w:vAlign w:val="center"/>
            <w:hideMark/>
          </w:tcPr>
          <w:p w14:paraId="2BA0E85E" w14:textId="2AE905CC" w:rsidR="004133F5" w:rsidRDefault="004133F5" w:rsidP="001B1772">
            <w:pPr>
              <w:jc w:val="right"/>
              <w:rPr>
                <w:rFonts w:ascii="Calibri" w:hAnsi="Calibri" w:cs="Calibri"/>
                <w:color w:val="000000"/>
                <w:sz w:val="16"/>
                <w:szCs w:val="16"/>
              </w:rPr>
            </w:pPr>
            <w:r>
              <w:rPr>
                <w:rFonts w:ascii="Calibri" w:hAnsi="Calibri" w:cs="Calibri"/>
                <w:color w:val="000000"/>
                <w:sz w:val="16"/>
                <w:szCs w:val="16"/>
              </w:rPr>
              <w:t xml:space="preserve">               497.120 </w:t>
            </w:r>
          </w:p>
        </w:tc>
        <w:tc>
          <w:tcPr>
            <w:tcW w:w="1128" w:type="dxa"/>
            <w:tcBorders>
              <w:top w:val="nil"/>
              <w:left w:val="nil"/>
              <w:bottom w:val="nil"/>
              <w:right w:val="nil"/>
            </w:tcBorders>
            <w:shd w:val="clear" w:color="auto" w:fill="auto"/>
            <w:noWrap/>
            <w:vAlign w:val="center"/>
            <w:hideMark/>
          </w:tcPr>
          <w:p w14:paraId="56FF1D03" w14:textId="275B3DDC" w:rsidR="004133F5" w:rsidRDefault="004133F5" w:rsidP="001B1772">
            <w:pPr>
              <w:rPr>
                <w:rFonts w:ascii="Calibri" w:hAnsi="Calibri" w:cs="Calibri"/>
                <w:color w:val="000000"/>
                <w:sz w:val="16"/>
                <w:szCs w:val="16"/>
              </w:rPr>
            </w:pPr>
            <w:r>
              <w:rPr>
                <w:rFonts w:ascii="Calibri" w:hAnsi="Calibri" w:cs="Calibri"/>
                <w:color w:val="000000"/>
                <w:sz w:val="16"/>
                <w:szCs w:val="16"/>
              </w:rPr>
              <w:t xml:space="preserve">                         -   </w:t>
            </w:r>
          </w:p>
        </w:tc>
        <w:tc>
          <w:tcPr>
            <w:tcW w:w="1359" w:type="dxa"/>
            <w:tcBorders>
              <w:top w:val="nil"/>
              <w:left w:val="nil"/>
              <w:bottom w:val="nil"/>
              <w:right w:val="nil"/>
            </w:tcBorders>
            <w:shd w:val="clear" w:color="auto" w:fill="auto"/>
            <w:noWrap/>
            <w:vAlign w:val="center"/>
            <w:hideMark/>
          </w:tcPr>
          <w:p w14:paraId="1408E524" w14:textId="53244C8A" w:rsidR="004133F5" w:rsidRDefault="004133F5" w:rsidP="001B1772">
            <w:pPr>
              <w:jc w:val="right"/>
              <w:rPr>
                <w:rFonts w:ascii="Calibri" w:hAnsi="Calibri" w:cs="Calibri"/>
                <w:color w:val="000000"/>
                <w:sz w:val="16"/>
                <w:szCs w:val="16"/>
              </w:rPr>
            </w:pPr>
            <w:r>
              <w:rPr>
                <w:rFonts w:ascii="Calibri" w:hAnsi="Calibri" w:cs="Calibri"/>
                <w:color w:val="000000"/>
                <w:sz w:val="16"/>
                <w:szCs w:val="16"/>
              </w:rPr>
              <w:t xml:space="preserve">                               -   </w:t>
            </w:r>
          </w:p>
        </w:tc>
        <w:tc>
          <w:tcPr>
            <w:tcW w:w="1490" w:type="dxa"/>
            <w:tcBorders>
              <w:top w:val="nil"/>
              <w:left w:val="nil"/>
              <w:bottom w:val="nil"/>
              <w:right w:val="nil"/>
            </w:tcBorders>
            <w:shd w:val="clear" w:color="auto" w:fill="auto"/>
            <w:noWrap/>
            <w:vAlign w:val="center"/>
            <w:hideMark/>
          </w:tcPr>
          <w:p w14:paraId="344B62E1" w14:textId="77777777" w:rsidR="004133F5" w:rsidRDefault="004133F5" w:rsidP="001B1772">
            <w:pPr>
              <w:jc w:val="right"/>
              <w:rPr>
                <w:rFonts w:ascii="Calibri" w:hAnsi="Calibri" w:cs="Calibri"/>
                <w:color w:val="000000"/>
                <w:sz w:val="16"/>
                <w:szCs w:val="16"/>
              </w:rPr>
            </w:pPr>
            <w:r>
              <w:rPr>
                <w:rFonts w:ascii="Calibri" w:hAnsi="Calibri" w:cs="Calibri"/>
                <w:color w:val="000000"/>
                <w:sz w:val="16"/>
                <w:szCs w:val="16"/>
              </w:rPr>
              <w:t xml:space="preserve">            158.243.984 </w:t>
            </w:r>
          </w:p>
        </w:tc>
        <w:tc>
          <w:tcPr>
            <w:tcW w:w="743" w:type="dxa"/>
            <w:tcBorders>
              <w:top w:val="nil"/>
              <w:left w:val="nil"/>
              <w:bottom w:val="nil"/>
              <w:right w:val="nil"/>
            </w:tcBorders>
            <w:shd w:val="clear" w:color="auto" w:fill="auto"/>
            <w:noWrap/>
            <w:vAlign w:val="center"/>
            <w:hideMark/>
          </w:tcPr>
          <w:p w14:paraId="4B1D328C" w14:textId="77777777" w:rsidR="004133F5" w:rsidRDefault="004133F5">
            <w:pPr>
              <w:jc w:val="right"/>
              <w:rPr>
                <w:rFonts w:ascii="Calibri" w:hAnsi="Calibri" w:cs="Calibri"/>
                <w:color w:val="000000"/>
                <w:sz w:val="16"/>
                <w:szCs w:val="16"/>
              </w:rPr>
            </w:pPr>
            <w:r>
              <w:rPr>
                <w:rFonts w:ascii="Calibri" w:hAnsi="Calibri" w:cs="Calibri"/>
                <w:color w:val="000000"/>
                <w:sz w:val="16"/>
                <w:szCs w:val="16"/>
              </w:rPr>
              <w:t>-</w:t>
            </w:r>
          </w:p>
        </w:tc>
      </w:tr>
      <w:tr w:rsidR="004133F5" w14:paraId="3674A407" w14:textId="77777777" w:rsidTr="004133F5">
        <w:trPr>
          <w:trHeight w:val="300"/>
        </w:trPr>
        <w:tc>
          <w:tcPr>
            <w:tcW w:w="3145" w:type="dxa"/>
            <w:tcBorders>
              <w:top w:val="nil"/>
              <w:left w:val="nil"/>
              <w:bottom w:val="nil"/>
              <w:right w:val="nil"/>
            </w:tcBorders>
            <w:shd w:val="clear" w:color="auto" w:fill="auto"/>
            <w:noWrap/>
            <w:vAlign w:val="center"/>
            <w:hideMark/>
          </w:tcPr>
          <w:p w14:paraId="4FE87FE8" w14:textId="77777777" w:rsidR="004133F5" w:rsidRDefault="004133F5">
            <w:pPr>
              <w:rPr>
                <w:rFonts w:ascii="Calibri" w:hAnsi="Calibri" w:cs="Calibri"/>
                <w:color w:val="000000"/>
                <w:sz w:val="16"/>
                <w:szCs w:val="16"/>
              </w:rPr>
            </w:pPr>
            <w:r>
              <w:rPr>
                <w:rFonts w:ascii="Calibri" w:hAnsi="Calibri" w:cs="Calibri"/>
                <w:color w:val="000000"/>
                <w:sz w:val="16"/>
                <w:szCs w:val="16"/>
              </w:rPr>
              <w:t xml:space="preserve">      FNS - Porto Nacional/TO - Anápolis/GO</w:t>
            </w:r>
          </w:p>
        </w:tc>
        <w:tc>
          <w:tcPr>
            <w:tcW w:w="1418" w:type="dxa"/>
            <w:tcBorders>
              <w:top w:val="nil"/>
              <w:left w:val="nil"/>
              <w:bottom w:val="nil"/>
              <w:right w:val="nil"/>
            </w:tcBorders>
            <w:shd w:val="clear" w:color="auto" w:fill="auto"/>
            <w:noWrap/>
            <w:vAlign w:val="center"/>
            <w:hideMark/>
          </w:tcPr>
          <w:p w14:paraId="257FD85A" w14:textId="551AD722" w:rsidR="004133F5" w:rsidRDefault="004133F5" w:rsidP="001B1772">
            <w:pPr>
              <w:rPr>
                <w:rFonts w:ascii="Calibri" w:hAnsi="Calibri" w:cs="Calibri"/>
                <w:color w:val="000000"/>
                <w:sz w:val="16"/>
                <w:szCs w:val="16"/>
              </w:rPr>
            </w:pPr>
            <w:r>
              <w:rPr>
                <w:rFonts w:ascii="Calibri" w:hAnsi="Calibri" w:cs="Calibri"/>
                <w:color w:val="000000"/>
                <w:sz w:val="16"/>
                <w:szCs w:val="16"/>
              </w:rPr>
              <w:t xml:space="preserve">                                 -   </w:t>
            </w:r>
          </w:p>
        </w:tc>
        <w:tc>
          <w:tcPr>
            <w:tcW w:w="1237" w:type="dxa"/>
            <w:tcBorders>
              <w:top w:val="nil"/>
              <w:left w:val="nil"/>
              <w:bottom w:val="nil"/>
              <w:right w:val="nil"/>
            </w:tcBorders>
            <w:shd w:val="clear" w:color="auto" w:fill="auto"/>
            <w:noWrap/>
            <w:vAlign w:val="center"/>
            <w:hideMark/>
          </w:tcPr>
          <w:p w14:paraId="349BABD8" w14:textId="04A9D0D7" w:rsidR="004133F5" w:rsidRDefault="004133F5" w:rsidP="001B1772">
            <w:pPr>
              <w:jc w:val="right"/>
              <w:rPr>
                <w:rFonts w:ascii="Calibri" w:hAnsi="Calibri" w:cs="Calibri"/>
                <w:color w:val="000000"/>
                <w:sz w:val="16"/>
                <w:szCs w:val="16"/>
              </w:rPr>
            </w:pPr>
            <w:r>
              <w:rPr>
                <w:rFonts w:ascii="Calibri" w:hAnsi="Calibri" w:cs="Calibri"/>
                <w:color w:val="000000"/>
                <w:sz w:val="16"/>
                <w:szCs w:val="16"/>
              </w:rPr>
              <w:t xml:space="preserve">                           -   </w:t>
            </w:r>
          </w:p>
        </w:tc>
        <w:tc>
          <w:tcPr>
            <w:tcW w:w="1128" w:type="dxa"/>
            <w:tcBorders>
              <w:top w:val="nil"/>
              <w:left w:val="nil"/>
              <w:bottom w:val="nil"/>
              <w:right w:val="nil"/>
            </w:tcBorders>
            <w:shd w:val="clear" w:color="auto" w:fill="auto"/>
            <w:noWrap/>
            <w:vAlign w:val="center"/>
            <w:hideMark/>
          </w:tcPr>
          <w:p w14:paraId="531C4B52" w14:textId="348BC356" w:rsidR="004133F5" w:rsidRDefault="004133F5" w:rsidP="001B1772">
            <w:pPr>
              <w:jc w:val="right"/>
              <w:rPr>
                <w:rFonts w:ascii="Calibri" w:hAnsi="Calibri" w:cs="Calibri"/>
                <w:color w:val="000000"/>
                <w:sz w:val="16"/>
                <w:szCs w:val="16"/>
              </w:rPr>
            </w:pPr>
            <w:r>
              <w:rPr>
                <w:rFonts w:ascii="Calibri" w:hAnsi="Calibri" w:cs="Calibri"/>
                <w:color w:val="000000"/>
                <w:sz w:val="16"/>
                <w:szCs w:val="16"/>
              </w:rPr>
              <w:t xml:space="preserve">                         -   </w:t>
            </w:r>
          </w:p>
        </w:tc>
        <w:tc>
          <w:tcPr>
            <w:tcW w:w="1359" w:type="dxa"/>
            <w:tcBorders>
              <w:top w:val="nil"/>
              <w:left w:val="nil"/>
              <w:bottom w:val="nil"/>
              <w:right w:val="nil"/>
            </w:tcBorders>
            <w:shd w:val="clear" w:color="auto" w:fill="auto"/>
            <w:noWrap/>
            <w:vAlign w:val="center"/>
            <w:hideMark/>
          </w:tcPr>
          <w:p w14:paraId="7F82580F" w14:textId="099B7EB5" w:rsidR="004133F5" w:rsidRDefault="004133F5" w:rsidP="001B1772">
            <w:pPr>
              <w:jc w:val="right"/>
              <w:rPr>
                <w:rFonts w:ascii="Calibri" w:hAnsi="Calibri" w:cs="Calibri"/>
                <w:color w:val="000000"/>
                <w:sz w:val="16"/>
                <w:szCs w:val="16"/>
              </w:rPr>
            </w:pPr>
            <w:r>
              <w:rPr>
                <w:rFonts w:ascii="Calibri" w:hAnsi="Calibri" w:cs="Calibri"/>
                <w:color w:val="000000"/>
                <w:sz w:val="16"/>
                <w:szCs w:val="16"/>
              </w:rPr>
              <w:t xml:space="preserve">                                -   </w:t>
            </w:r>
          </w:p>
        </w:tc>
        <w:tc>
          <w:tcPr>
            <w:tcW w:w="1490" w:type="dxa"/>
            <w:tcBorders>
              <w:top w:val="nil"/>
              <w:left w:val="nil"/>
              <w:bottom w:val="nil"/>
              <w:right w:val="nil"/>
            </w:tcBorders>
            <w:shd w:val="clear" w:color="auto" w:fill="auto"/>
            <w:noWrap/>
            <w:vAlign w:val="center"/>
            <w:hideMark/>
          </w:tcPr>
          <w:p w14:paraId="46793E65" w14:textId="259BFB23" w:rsidR="004133F5" w:rsidRDefault="004133F5" w:rsidP="00C02D63">
            <w:pPr>
              <w:rPr>
                <w:rFonts w:ascii="Calibri" w:hAnsi="Calibri" w:cs="Calibri"/>
                <w:color w:val="000000"/>
                <w:sz w:val="16"/>
                <w:szCs w:val="16"/>
              </w:rPr>
            </w:pPr>
            <w:r>
              <w:rPr>
                <w:rFonts w:ascii="Calibri" w:hAnsi="Calibri" w:cs="Calibri"/>
                <w:color w:val="000000"/>
                <w:sz w:val="16"/>
                <w:szCs w:val="16"/>
              </w:rPr>
              <w:t xml:space="preserve">                                   -   </w:t>
            </w:r>
          </w:p>
        </w:tc>
        <w:tc>
          <w:tcPr>
            <w:tcW w:w="743" w:type="dxa"/>
            <w:tcBorders>
              <w:top w:val="nil"/>
              <w:left w:val="nil"/>
              <w:bottom w:val="nil"/>
              <w:right w:val="nil"/>
            </w:tcBorders>
            <w:shd w:val="clear" w:color="auto" w:fill="auto"/>
            <w:noWrap/>
            <w:vAlign w:val="bottom"/>
            <w:hideMark/>
          </w:tcPr>
          <w:p w14:paraId="345B87C7" w14:textId="77777777" w:rsidR="004133F5" w:rsidRDefault="004133F5">
            <w:pPr>
              <w:jc w:val="right"/>
              <w:rPr>
                <w:rFonts w:ascii="Calibri" w:hAnsi="Calibri" w:cs="Calibri"/>
                <w:color w:val="000000"/>
                <w:sz w:val="16"/>
                <w:szCs w:val="16"/>
              </w:rPr>
            </w:pPr>
          </w:p>
        </w:tc>
      </w:tr>
      <w:tr w:rsidR="004133F5" w14:paraId="2C457A2E" w14:textId="77777777" w:rsidTr="004133F5">
        <w:trPr>
          <w:trHeight w:val="300"/>
        </w:trPr>
        <w:tc>
          <w:tcPr>
            <w:tcW w:w="3145" w:type="dxa"/>
            <w:tcBorders>
              <w:top w:val="nil"/>
              <w:left w:val="nil"/>
              <w:bottom w:val="nil"/>
              <w:right w:val="nil"/>
            </w:tcBorders>
            <w:shd w:val="clear" w:color="auto" w:fill="auto"/>
            <w:noWrap/>
            <w:vAlign w:val="center"/>
            <w:hideMark/>
          </w:tcPr>
          <w:p w14:paraId="33C56601" w14:textId="77777777" w:rsidR="004133F5" w:rsidRDefault="004133F5">
            <w:pPr>
              <w:rPr>
                <w:rFonts w:ascii="Calibri" w:hAnsi="Calibri" w:cs="Calibri"/>
                <w:color w:val="000000"/>
                <w:sz w:val="16"/>
                <w:szCs w:val="16"/>
              </w:rPr>
            </w:pPr>
            <w:r>
              <w:rPr>
                <w:rFonts w:ascii="Calibri" w:hAnsi="Calibri" w:cs="Calibri"/>
                <w:color w:val="000000"/>
                <w:sz w:val="16"/>
                <w:szCs w:val="16"/>
              </w:rPr>
              <w:t xml:space="preserve">      FIOL - Ferrovia de Integração Oeste-Leste </w:t>
            </w:r>
          </w:p>
        </w:tc>
        <w:tc>
          <w:tcPr>
            <w:tcW w:w="1418" w:type="dxa"/>
            <w:tcBorders>
              <w:top w:val="nil"/>
              <w:left w:val="nil"/>
              <w:bottom w:val="nil"/>
              <w:right w:val="nil"/>
            </w:tcBorders>
            <w:shd w:val="clear" w:color="auto" w:fill="auto"/>
            <w:noWrap/>
            <w:vAlign w:val="center"/>
            <w:hideMark/>
          </w:tcPr>
          <w:p w14:paraId="36E6F673" w14:textId="6BFE3A4A" w:rsidR="004133F5" w:rsidRDefault="004133F5" w:rsidP="001B1772">
            <w:pPr>
              <w:jc w:val="right"/>
              <w:rPr>
                <w:rFonts w:ascii="Calibri" w:hAnsi="Calibri" w:cs="Calibri"/>
                <w:color w:val="000000"/>
                <w:sz w:val="16"/>
                <w:szCs w:val="16"/>
              </w:rPr>
            </w:pPr>
            <w:r>
              <w:rPr>
                <w:rFonts w:ascii="Calibri" w:hAnsi="Calibri" w:cs="Calibri"/>
                <w:color w:val="000000"/>
                <w:sz w:val="16"/>
                <w:szCs w:val="16"/>
              </w:rPr>
              <w:t xml:space="preserve">                    640.740 </w:t>
            </w:r>
          </w:p>
        </w:tc>
        <w:tc>
          <w:tcPr>
            <w:tcW w:w="1237" w:type="dxa"/>
            <w:tcBorders>
              <w:top w:val="nil"/>
              <w:left w:val="nil"/>
              <w:bottom w:val="nil"/>
              <w:right w:val="nil"/>
            </w:tcBorders>
            <w:shd w:val="clear" w:color="auto" w:fill="auto"/>
            <w:noWrap/>
            <w:vAlign w:val="center"/>
            <w:hideMark/>
          </w:tcPr>
          <w:p w14:paraId="55897B8F" w14:textId="130F1B27" w:rsidR="004133F5" w:rsidRDefault="004133F5" w:rsidP="001B1772">
            <w:pPr>
              <w:jc w:val="right"/>
              <w:rPr>
                <w:rFonts w:ascii="Calibri" w:hAnsi="Calibri" w:cs="Calibri"/>
                <w:color w:val="000000"/>
                <w:sz w:val="16"/>
                <w:szCs w:val="16"/>
              </w:rPr>
            </w:pPr>
            <w:r>
              <w:rPr>
                <w:rFonts w:ascii="Calibri" w:hAnsi="Calibri" w:cs="Calibri"/>
                <w:color w:val="000000"/>
                <w:sz w:val="16"/>
                <w:szCs w:val="16"/>
              </w:rPr>
              <w:t xml:space="preserve">               289.228 </w:t>
            </w:r>
          </w:p>
        </w:tc>
        <w:tc>
          <w:tcPr>
            <w:tcW w:w="1128" w:type="dxa"/>
            <w:tcBorders>
              <w:top w:val="nil"/>
              <w:left w:val="nil"/>
              <w:bottom w:val="nil"/>
              <w:right w:val="nil"/>
            </w:tcBorders>
            <w:shd w:val="clear" w:color="auto" w:fill="auto"/>
            <w:noWrap/>
            <w:vAlign w:val="center"/>
            <w:hideMark/>
          </w:tcPr>
          <w:p w14:paraId="1655F85D" w14:textId="396C894E" w:rsidR="004133F5" w:rsidRDefault="004133F5" w:rsidP="00C02D63">
            <w:pPr>
              <w:jc w:val="right"/>
              <w:rPr>
                <w:rFonts w:ascii="Calibri" w:hAnsi="Calibri" w:cs="Calibri"/>
                <w:color w:val="000000"/>
                <w:sz w:val="16"/>
                <w:szCs w:val="16"/>
              </w:rPr>
            </w:pPr>
            <w:r>
              <w:rPr>
                <w:rFonts w:ascii="Calibri" w:hAnsi="Calibri" w:cs="Calibri"/>
                <w:color w:val="000000"/>
                <w:sz w:val="16"/>
                <w:szCs w:val="16"/>
              </w:rPr>
              <w:t xml:space="preserve">                         -   </w:t>
            </w:r>
          </w:p>
        </w:tc>
        <w:tc>
          <w:tcPr>
            <w:tcW w:w="1359" w:type="dxa"/>
            <w:tcBorders>
              <w:top w:val="nil"/>
              <w:left w:val="nil"/>
              <w:bottom w:val="nil"/>
              <w:right w:val="nil"/>
            </w:tcBorders>
            <w:shd w:val="clear" w:color="auto" w:fill="auto"/>
            <w:noWrap/>
            <w:vAlign w:val="center"/>
            <w:hideMark/>
          </w:tcPr>
          <w:p w14:paraId="7B25D256" w14:textId="0C202CC4" w:rsidR="004133F5" w:rsidRDefault="004133F5" w:rsidP="00C02D63">
            <w:pPr>
              <w:rPr>
                <w:rFonts w:ascii="Calibri" w:hAnsi="Calibri" w:cs="Calibri"/>
                <w:color w:val="000000"/>
                <w:sz w:val="16"/>
                <w:szCs w:val="16"/>
              </w:rPr>
            </w:pPr>
            <w:r>
              <w:rPr>
                <w:rFonts w:ascii="Calibri" w:hAnsi="Calibri" w:cs="Calibri"/>
                <w:color w:val="000000"/>
                <w:sz w:val="16"/>
                <w:szCs w:val="16"/>
              </w:rPr>
              <w:t xml:space="preserve">                                -   </w:t>
            </w:r>
          </w:p>
        </w:tc>
        <w:tc>
          <w:tcPr>
            <w:tcW w:w="1490" w:type="dxa"/>
            <w:tcBorders>
              <w:top w:val="nil"/>
              <w:left w:val="nil"/>
              <w:bottom w:val="nil"/>
              <w:right w:val="nil"/>
            </w:tcBorders>
            <w:shd w:val="clear" w:color="auto" w:fill="auto"/>
            <w:noWrap/>
            <w:vAlign w:val="center"/>
            <w:hideMark/>
          </w:tcPr>
          <w:p w14:paraId="7503232D" w14:textId="4962095C" w:rsidR="004133F5" w:rsidRDefault="004133F5" w:rsidP="001B1772">
            <w:pPr>
              <w:jc w:val="right"/>
              <w:rPr>
                <w:rFonts w:ascii="Calibri" w:hAnsi="Calibri" w:cs="Calibri"/>
                <w:color w:val="000000"/>
                <w:sz w:val="16"/>
                <w:szCs w:val="16"/>
              </w:rPr>
            </w:pPr>
            <w:r>
              <w:rPr>
                <w:rFonts w:ascii="Calibri" w:hAnsi="Calibri" w:cs="Calibri"/>
                <w:color w:val="000000"/>
                <w:sz w:val="16"/>
                <w:szCs w:val="16"/>
              </w:rPr>
              <w:t xml:space="preserve">                      929.968 </w:t>
            </w:r>
          </w:p>
        </w:tc>
        <w:tc>
          <w:tcPr>
            <w:tcW w:w="743" w:type="dxa"/>
            <w:tcBorders>
              <w:top w:val="nil"/>
              <w:left w:val="nil"/>
              <w:bottom w:val="nil"/>
              <w:right w:val="nil"/>
            </w:tcBorders>
            <w:shd w:val="clear" w:color="auto" w:fill="auto"/>
            <w:noWrap/>
            <w:vAlign w:val="bottom"/>
            <w:hideMark/>
          </w:tcPr>
          <w:p w14:paraId="146971F5" w14:textId="77777777" w:rsidR="004133F5" w:rsidRDefault="004133F5">
            <w:pPr>
              <w:jc w:val="right"/>
              <w:rPr>
                <w:rFonts w:ascii="Calibri" w:hAnsi="Calibri" w:cs="Calibri"/>
                <w:color w:val="000000"/>
                <w:sz w:val="16"/>
                <w:szCs w:val="16"/>
              </w:rPr>
            </w:pPr>
          </w:p>
        </w:tc>
      </w:tr>
      <w:tr w:rsidR="004133F5" w14:paraId="3B227033" w14:textId="77777777" w:rsidTr="004133F5">
        <w:trPr>
          <w:trHeight w:val="300"/>
        </w:trPr>
        <w:tc>
          <w:tcPr>
            <w:tcW w:w="3145" w:type="dxa"/>
            <w:tcBorders>
              <w:top w:val="nil"/>
              <w:left w:val="nil"/>
              <w:bottom w:val="nil"/>
              <w:right w:val="nil"/>
            </w:tcBorders>
            <w:shd w:val="clear" w:color="auto" w:fill="auto"/>
            <w:noWrap/>
            <w:vAlign w:val="center"/>
            <w:hideMark/>
          </w:tcPr>
          <w:p w14:paraId="006CF6B4" w14:textId="77777777" w:rsidR="004133F5" w:rsidRDefault="004133F5">
            <w:pPr>
              <w:rPr>
                <w:rFonts w:ascii="Calibri" w:hAnsi="Calibri" w:cs="Calibri"/>
                <w:color w:val="000000"/>
                <w:sz w:val="16"/>
                <w:szCs w:val="16"/>
              </w:rPr>
            </w:pPr>
            <w:r>
              <w:rPr>
                <w:rFonts w:ascii="Calibri" w:hAnsi="Calibri" w:cs="Calibri"/>
                <w:color w:val="000000"/>
                <w:sz w:val="16"/>
                <w:szCs w:val="16"/>
              </w:rPr>
              <w:t xml:space="preserve">      Ferrovia Transcontinental</w:t>
            </w:r>
          </w:p>
        </w:tc>
        <w:tc>
          <w:tcPr>
            <w:tcW w:w="1418" w:type="dxa"/>
            <w:tcBorders>
              <w:top w:val="nil"/>
              <w:left w:val="nil"/>
              <w:bottom w:val="nil"/>
              <w:right w:val="nil"/>
            </w:tcBorders>
            <w:shd w:val="clear" w:color="auto" w:fill="auto"/>
            <w:noWrap/>
            <w:vAlign w:val="center"/>
            <w:hideMark/>
          </w:tcPr>
          <w:p w14:paraId="6F410F82" w14:textId="77777777" w:rsidR="004133F5" w:rsidRDefault="004133F5" w:rsidP="001B1772">
            <w:pPr>
              <w:jc w:val="right"/>
              <w:rPr>
                <w:rFonts w:ascii="Calibri" w:hAnsi="Calibri" w:cs="Calibri"/>
                <w:color w:val="000000"/>
                <w:sz w:val="16"/>
                <w:szCs w:val="16"/>
              </w:rPr>
            </w:pPr>
            <w:r>
              <w:rPr>
                <w:rFonts w:ascii="Calibri" w:hAnsi="Calibri" w:cs="Calibri"/>
                <w:color w:val="000000"/>
                <w:sz w:val="16"/>
                <w:szCs w:val="16"/>
              </w:rPr>
              <w:t xml:space="preserve">           131.581.038 </w:t>
            </w:r>
          </w:p>
        </w:tc>
        <w:tc>
          <w:tcPr>
            <w:tcW w:w="1237" w:type="dxa"/>
            <w:tcBorders>
              <w:top w:val="nil"/>
              <w:left w:val="nil"/>
              <w:bottom w:val="nil"/>
              <w:right w:val="nil"/>
            </w:tcBorders>
            <w:shd w:val="clear" w:color="auto" w:fill="auto"/>
            <w:noWrap/>
            <w:vAlign w:val="center"/>
            <w:hideMark/>
          </w:tcPr>
          <w:p w14:paraId="2DFCF04E" w14:textId="510DE410" w:rsidR="004133F5" w:rsidRDefault="004133F5" w:rsidP="001B1772">
            <w:pPr>
              <w:jc w:val="right"/>
              <w:rPr>
                <w:rFonts w:ascii="Calibri" w:hAnsi="Calibri" w:cs="Calibri"/>
                <w:color w:val="000000"/>
                <w:sz w:val="16"/>
                <w:szCs w:val="16"/>
              </w:rPr>
            </w:pPr>
            <w:r>
              <w:rPr>
                <w:rFonts w:ascii="Calibri" w:hAnsi="Calibri" w:cs="Calibri"/>
                <w:color w:val="000000"/>
                <w:sz w:val="16"/>
                <w:szCs w:val="16"/>
              </w:rPr>
              <w:t xml:space="preserve">               207.891 </w:t>
            </w:r>
          </w:p>
        </w:tc>
        <w:tc>
          <w:tcPr>
            <w:tcW w:w="1128" w:type="dxa"/>
            <w:tcBorders>
              <w:top w:val="nil"/>
              <w:left w:val="nil"/>
              <w:bottom w:val="nil"/>
              <w:right w:val="nil"/>
            </w:tcBorders>
            <w:shd w:val="clear" w:color="auto" w:fill="auto"/>
            <w:noWrap/>
            <w:vAlign w:val="center"/>
            <w:hideMark/>
          </w:tcPr>
          <w:p w14:paraId="5B9BABF0" w14:textId="63D2C5BB" w:rsidR="004133F5" w:rsidRDefault="004133F5" w:rsidP="00C02D63">
            <w:pPr>
              <w:jc w:val="right"/>
              <w:rPr>
                <w:rFonts w:ascii="Calibri" w:hAnsi="Calibri" w:cs="Calibri"/>
                <w:color w:val="000000"/>
                <w:sz w:val="16"/>
                <w:szCs w:val="16"/>
              </w:rPr>
            </w:pPr>
            <w:r>
              <w:rPr>
                <w:rFonts w:ascii="Calibri" w:hAnsi="Calibri" w:cs="Calibri"/>
                <w:color w:val="000000"/>
                <w:sz w:val="16"/>
                <w:szCs w:val="16"/>
              </w:rPr>
              <w:t xml:space="preserve">                         -   </w:t>
            </w:r>
          </w:p>
        </w:tc>
        <w:tc>
          <w:tcPr>
            <w:tcW w:w="1359" w:type="dxa"/>
            <w:tcBorders>
              <w:top w:val="nil"/>
              <w:left w:val="nil"/>
              <w:bottom w:val="nil"/>
              <w:right w:val="nil"/>
            </w:tcBorders>
            <w:shd w:val="clear" w:color="auto" w:fill="auto"/>
            <w:noWrap/>
            <w:vAlign w:val="center"/>
            <w:hideMark/>
          </w:tcPr>
          <w:p w14:paraId="7E1FFA97" w14:textId="3BD31435" w:rsidR="004133F5" w:rsidRDefault="004133F5" w:rsidP="001B1772">
            <w:pPr>
              <w:jc w:val="right"/>
              <w:rPr>
                <w:rFonts w:ascii="Calibri" w:hAnsi="Calibri" w:cs="Calibri"/>
                <w:color w:val="000000"/>
                <w:sz w:val="16"/>
                <w:szCs w:val="16"/>
              </w:rPr>
            </w:pPr>
            <w:r>
              <w:rPr>
                <w:rFonts w:ascii="Calibri" w:hAnsi="Calibri" w:cs="Calibri"/>
                <w:color w:val="000000"/>
                <w:sz w:val="16"/>
                <w:szCs w:val="16"/>
              </w:rPr>
              <w:t xml:space="preserve">                                -   </w:t>
            </w:r>
          </w:p>
        </w:tc>
        <w:tc>
          <w:tcPr>
            <w:tcW w:w="1490" w:type="dxa"/>
            <w:tcBorders>
              <w:top w:val="nil"/>
              <w:left w:val="nil"/>
              <w:bottom w:val="nil"/>
              <w:right w:val="nil"/>
            </w:tcBorders>
            <w:shd w:val="clear" w:color="auto" w:fill="auto"/>
            <w:noWrap/>
            <w:vAlign w:val="center"/>
            <w:hideMark/>
          </w:tcPr>
          <w:p w14:paraId="2BDD5BFB" w14:textId="77777777" w:rsidR="004133F5" w:rsidRDefault="004133F5" w:rsidP="001B1772">
            <w:pPr>
              <w:jc w:val="right"/>
              <w:rPr>
                <w:rFonts w:ascii="Calibri" w:hAnsi="Calibri" w:cs="Calibri"/>
                <w:color w:val="000000"/>
                <w:sz w:val="16"/>
                <w:szCs w:val="16"/>
              </w:rPr>
            </w:pPr>
            <w:r>
              <w:rPr>
                <w:rFonts w:ascii="Calibri" w:hAnsi="Calibri" w:cs="Calibri"/>
                <w:color w:val="000000"/>
                <w:sz w:val="16"/>
                <w:szCs w:val="16"/>
              </w:rPr>
              <w:t xml:space="preserve">            131.788.929 </w:t>
            </w:r>
          </w:p>
        </w:tc>
        <w:tc>
          <w:tcPr>
            <w:tcW w:w="743" w:type="dxa"/>
            <w:tcBorders>
              <w:top w:val="nil"/>
              <w:left w:val="nil"/>
              <w:bottom w:val="nil"/>
              <w:right w:val="nil"/>
            </w:tcBorders>
            <w:shd w:val="clear" w:color="auto" w:fill="auto"/>
            <w:noWrap/>
            <w:vAlign w:val="bottom"/>
            <w:hideMark/>
          </w:tcPr>
          <w:p w14:paraId="661E8007" w14:textId="77777777" w:rsidR="004133F5" w:rsidRDefault="004133F5">
            <w:pPr>
              <w:jc w:val="right"/>
              <w:rPr>
                <w:rFonts w:ascii="Calibri" w:hAnsi="Calibri" w:cs="Calibri"/>
                <w:color w:val="000000"/>
                <w:sz w:val="16"/>
                <w:szCs w:val="16"/>
              </w:rPr>
            </w:pPr>
          </w:p>
        </w:tc>
      </w:tr>
      <w:tr w:rsidR="004133F5" w14:paraId="12AB6F93" w14:textId="77777777" w:rsidTr="004133F5">
        <w:trPr>
          <w:trHeight w:val="300"/>
        </w:trPr>
        <w:tc>
          <w:tcPr>
            <w:tcW w:w="3145" w:type="dxa"/>
            <w:tcBorders>
              <w:top w:val="nil"/>
              <w:left w:val="nil"/>
              <w:bottom w:val="nil"/>
              <w:right w:val="nil"/>
            </w:tcBorders>
            <w:shd w:val="clear" w:color="auto" w:fill="auto"/>
            <w:noWrap/>
            <w:vAlign w:val="center"/>
            <w:hideMark/>
          </w:tcPr>
          <w:p w14:paraId="33371E55" w14:textId="77777777" w:rsidR="004133F5" w:rsidRDefault="004133F5">
            <w:pPr>
              <w:rPr>
                <w:rFonts w:ascii="Calibri" w:hAnsi="Calibri" w:cs="Calibri"/>
                <w:color w:val="000000"/>
                <w:sz w:val="16"/>
                <w:szCs w:val="16"/>
              </w:rPr>
            </w:pPr>
            <w:r>
              <w:rPr>
                <w:rFonts w:ascii="Calibri" w:hAnsi="Calibri" w:cs="Calibri"/>
                <w:color w:val="000000"/>
                <w:sz w:val="16"/>
                <w:szCs w:val="16"/>
              </w:rPr>
              <w:t xml:space="preserve">      Outros Empreendimentos</w:t>
            </w:r>
          </w:p>
        </w:tc>
        <w:tc>
          <w:tcPr>
            <w:tcW w:w="1418" w:type="dxa"/>
            <w:tcBorders>
              <w:top w:val="nil"/>
              <w:left w:val="nil"/>
              <w:bottom w:val="nil"/>
              <w:right w:val="nil"/>
            </w:tcBorders>
            <w:shd w:val="clear" w:color="auto" w:fill="auto"/>
            <w:noWrap/>
            <w:vAlign w:val="center"/>
            <w:hideMark/>
          </w:tcPr>
          <w:p w14:paraId="6493797E" w14:textId="77777777" w:rsidR="004133F5" w:rsidRDefault="004133F5" w:rsidP="001B1772">
            <w:pPr>
              <w:jc w:val="right"/>
              <w:rPr>
                <w:rFonts w:ascii="Calibri" w:hAnsi="Calibri" w:cs="Calibri"/>
                <w:color w:val="000000"/>
                <w:sz w:val="16"/>
                <w:szCs w:val="16"/>
              </w:rPr>
            </w:pPr>
            <w:r>
              <w:rPr>
                <w:rFonts w:ascii="Calibri" w:hAnsi="Calibri" w:cs="Calibri"/>
                <w:color w:val="000000"/>
                <w:sz w:val="16"/>
                <w:szCs w:val="16"/>
              </w:rPr>
              <w:t xml:space="preserve">              25.525.087 </w:t>
            </w:r>
          </w:p>
        </w:tc>
        <w:tc>
          <w:tcPr>
            <w:tcW w:w="1237" w:type="dxa"/>
            <w:tcBorders>
              <w:top w:val="nil"/>
              <w:left w:val="nil"/>
              <w:bottom w:val="nil"/>
              <w:right w:val="nil"/>
            </w:tcBorders>
            <w:shd w:val="clear" w:color="auto" w:fill="auto"/>
            <w:noWrap/>
            <w:vAlign w:val="center"/>
            <w:hideMark/>
          </w:tcPr>
          <w:p w14:paraId="08A8D615" w14:textId="40546444" w:rsidR="004133F5" w:rsidRDefault="004133F5" w:rsidP="00C02D63">
            <w:pPr>
              <w:rPr>
                <w:rFonts w:ascii="Calibri" w:hAnsi="Calibri" w:cs="Calibri"/>
                <w:color w:val="000000"/>
                <w:sz w:val="16"/>
                <w:szCs w:val="16"/>
              </w:rPr>
            </w:pPr>
            <w:r>
              <w:rPr>
                <w:rFonts w:ascii="Calibri" w:hAnsi="Calibri" w:cs="Calibri"/>
                <w:color w:val="000000"/>
                <w:sz w:val="16"/>
                <w:szCs w:val="16"/>
              </w:rPr>
              <w:t xml:space="preserve">                            -   </w:t>
            </w:r>
          </w:p>
        </w:tc>
        <w:tc>
          <w:tcPr>
            <w:tcW w:w="1128" w:type="dxa"/>
            <w:tcBorders>
              <w:top w:val="nil"/>
              <w:left w:val="nil"/>
              <w:bottom w:val="nil"/>
              <w:right w:val="nil"/>
            </w:tcBorders>
            <w:shd w:val="clear" w:color="auto" w:fill="auto"/>
            <w:noWrap/>
            <w:vAlign w:val="center"/>
            <w:hideMark/>
          </w:tcPr>
          <w:p w14:paraId="5029880B" w14:textId="46C222C4" w:rsidR="004133F5" w:rsidRDefault="004133F5" w:rsidP="001B1772">
            <w:pPr>
              <w:jc w:val="right"/>
              <w:rPr>
                <w:rFonts w:ascii="Calibri" w:hAnsi="Calibri" w:cs="Calibri"/>
                <w:color w:val="000000"/>
                <w:sz w:val="16"/>
                <w:szCs w:val="16"/>
              </w:rPr>
            </w:pPr>
            <w:r>
              <w:rPr>
                <w:rFonts w:ascii="Calibri" w:hAnsi="Calibri" w:cs="Calibri"/>
                <w:color w:val="000000"/>
                <w:sz w:val="16"/>
                <w:szCs w:val="16"/>
              </w:rPr>
              <w:t xml:space="preserve">                         -   </w:t>
            </w:r>
          </w:p>
        </w:tc>
        <w:tc>
          <w:tcPr>
            <w:tcW w:w="1359" w:type="dxa"/>
            <w:tcBorders>
              <w:top w:val="nil"/>
              <w:left w:val="nil"/>
              <w:bottom w:val="nil"/>
              <w:right w:val="nil"/>
            </w:tcBorders>
            <w:shd w:val="clear" w:color="auto" w:fill="auto"/>
            <w:noWrap/>
            <w:vAlign w:val="center"/>
            <w:hideMark/>
          </w:tcPr>
          <w:p w14:paraId="6454F279" w14:textId="7F6E4396" w:rsidR="004133F5" w:rsidRDefault="004133F5" w:rsidP="001B1772">
            <w:pPr>
              <w:jc w:val="right"/>
              <w:rPr>
                <w:rFonts w:ascii="Calibri" w:hAnsi="Calibri" w:cs="Calibri"/>
                <w:color w:val="000000"/>
                <w:sz w:val="16"/>
                <w:szCs w:val="16"/>
              </w:rPr>
            </w:pPr>
            <w:r>
              <w:rPr>
                <w:rFonts w:ascii="Calibri" w:hAnsi="Calibri" w:cs="Calibri"/>
                <w:color w:val="000000"/>
                <w:sz w:val="16"/>
                <w:szCs w:val="16"/>
              </w:rPr>
              <w:t xml:space="preserve">                                -   </w:t>
            </w:r>
          </w:p>
        </w:tc>
        <w:tc>
          <w:tcPr>
            <w:tcW w:w="1490" w:type="dxa"/>
            <w:tcBorders>
              <w:top w:val="nil"/>
              <w:left w:val="nil"/>
              <w:bottom w:val="nil"/>
              <w:right w:val="nil"/>
            </w:tcBorders>
            <w:shd w:val="clear" w:color="auto" w:fill="auto"/>
            <w:noWrap/>
            <w:vAlign w:val="center"/>
            <w:hideMark/>
          </w:tcPr>
          <w:p w14:paraId="29E6FC0D" w14:textId="77777777" w:rsidR="004133F5" w:rsidRDefault="004133F5" w:rsidP="001B1772">
            <w:pPr>
              <w:jc w:val="right"/>
              <w:rPr>
                <w:rFonts w:ascii="Calibri" w:hAnsi="Calibri" w:cs="Calibri"/>
                <w:color w:val="000000"/>
                <w:sz w:val="16"/>
                <w:szCs w:val="16"/>
              </w:rPr>
            </w:pPr>
            <w:r>
              <w:rPr>
                <w:rFonts w:ascii="Calibri" w:hAnsi="Calibri" w:cs="Calibri"/>
                <w:color w:val="000000"/>
                <w:sz w:val="16"/>
                <w:szCs w:val="16"/>
              </w:rPr>
              <w:t xml:space="preserve">               25.525.087 </w:t>
            </w:r>
          </w:p>
        </w:tc>
        <w:tc>
          <w:tcPr>
            <w:tcW w:w="743" w:type="dxa"/>
            <w:tcBorders>
              <w:top w:val="nil"/>
              <w:left w:val="nil"/>
              <w:bottom w:val="nil"/>
              <w:right w:val="nil"/>
            </w:tcBorders>
            <w:shd w:val="clear" w:color="auto" w:fill="auto"/>
            <w:noWrap/>
            <w:vAlign w:val="bottom"/>
            <w:hideMark/>
          </w:tcPr>
          <w:p w14:paraId="1D604E60" w14:textId="77777777" w:rsidR="004133F5" w:rsidRDefault="004133F5">
            <w:pPr>
              <w:jc w:val="right"/>
              <w:rPr>
                <w:rFonts w:ascii="Calibri" w:hAnsi="Calibri" w:cs="Calibri"/>
                <w:color w:val="000000"/>
                <w:sz w:val="16"/>
                <w:szCs w:val="16"/>
              </w:rPr>
            </w:pPr>
          </w:p>
        </w:tc>
      </w:tr>
      <w:tr w:rsidR="004133F5" w14:paraId="782A7268" w14:textId="77777777" w:rsidTr="004133F5">
        <w:trPr>
          <w:trHeight w:val="300"/>
        </w:trPr>
        <w:tc>
          <w:tcPr>
            <w:tcW w:w="3145" w:type="dxa"/>
            <w:tcBorders>
              <w:top w:val="nil"/>
              <w:left w:val="nil"/>
              <w:bottom w:val="nil"/>
              <w:right w:val="nil"/>
            </w:tcBorders>
            <w:shd w:val="clear" w:color="auto" w:fill="auto"/>
            <w:noWrap/>
            <w:vAlign w:val="center"/>
            <w:hideMark/>
          </w:tcPr>
          <w:p w14:paraId="55E424CE" w14:textId="77777777" w:rsidR="004133F5" w:rsidRDefault="004133F5">
            <w:pPr>
              <w:rPr>
                <w:rFonts w:ascii="Calibri" w:hAnsi="Calibri" w:cs="Calibri"/>
                <w:color w:val="000000"/>
                <w:sz w:val="16"/>
                <w:szCs w:val="16"/>
              </w:rPr>
            </w:pPr>
            <w:r>
              <w:rPr>
                <w:rFonts w:ascii="Calibri" w:hAnsi="Calibri" w:cs="Calibri"/>
                <w:color w:val="000000"/>
                <w:sz w:val="16"/>
                <w:szCs w:val="16"/>
              </w:rPr>
              <w:t>Implantação - Ferrovias</w:t>
            </w:r>
          </w:p>
        </w:tc>
        <w:tc>
          <w:tcPr>
            <w:tcW w:w="1418" w:type="dxa"/>
            <w:tcBorders>
              <w:top w:val="nil"/>
              <w:left w:val="nil"/>
              <w:bottom w:val="nil"/>
              <w:right w:val="nil"/>
            </w:tcBorders>
            <w:shd w:val="clear" w:color="auto" w:fill="auto"/>
            <w:noWrap/>
            <w:vAlign w:val="center"/>
            <w:hideMark/>
          </w:tcPr>
          <w:p w14:paraId="2C64DAD7" w14:textId="77777777" w:rsidR="004133F5" w:rsidRDefault="004133F5" w:rsidP="001B1772">
            <w:pPr>
              <w:jc w:val="right"/>
              <w:rPr>
                <w:rFonts w:ascii="Calibri" w:hAnsi="Calibri" w:cs="Calibri"/>
                <w:color w:val="000000"/>
                <w:sz w:val="16"/>
                <w:szCs w:val="16"/>
              </w:rPr>
            </w:pPr>
            <w:r>
              <w:rPr>
                <w:rFonts w:ascii="Calibri" w:hAnsi="Calibri" w:cs="Calibri"/>
                <w:color w:val="000000"/>
                <w:sz w:val="16"/>
                <w:szCs w:val="16"/>
              </w:rPr>
              <w:t xml:space="preserve">      2.398.838.107 </w:t>
            </w:r>
          </w:p>
        </w:tc>
        <w:tc>
          <w:tcPr>
            <w:tcW w:w="1237" w:type="dxa"/>
            <w:tcBorders>
              <w:top w:val="nil"/>
              <w:left w:val="nil"/>
              <w:bottom w:val="nil"/>
              <w:right w:val="nil"/>
            </w:tcBorders>
            <w:shd w:val="clear" w:color="auto" w:fill="auto"/>
            <w:noWrap/>
            <w:vAlign w:val="center"/>
            <w:hideMark/>
          </w:tcPr>
          <w:p w14:paraId="342C2214" w14:textId="1CB4426D" w:rsidR="004133F5" w:rsidRDefault="004133F5" w:rsidP="001B1772">
            <w:pPr>
              <w:jc w:val="right"/>
              <w:rPr>
                <w:rFonts w:ascii="Calibri" w:hAnsi="Calibri" w:cs="Calibri"/>
                <w:color w:val="000000"/>
                <w:sz w:val="16"/>
                <w:szCs w:val="16"/>
              </w:rPr>
            </w:pPr>
            <w:r>
              <w:rPr>
                <w:rFonts w:ascii="Calibri" w:hAnsi="Calibri" w:cs="Calibri"/>
                <w:color w:val="000000"/>
                <w:sz w:val="16"/>
                <w:szCs w:val="16"/>
              </w:rPr>
              <w:t xml:space="preserve">     </w:t>
            </w:r>
            <w:r w:rsidR="005A6DDC">
              <w:rPr>
                <w:rFonts w:ascii="Calibri" w:hAnsi="Calibri" w:cs="Calibri"/>
                <w:color w:val="000000"/>
                <w:sz w:val="16"/>
                <w:szCs w:val="16"/>
              </w:rPr>
              <w:t>304.900.869</w:t>
            </w:r>
            <w:r>
              <w:rPr>
                <w:rFonts w:ascii="Calibri" w:hAnsi="Calibri" w:cs="Calibri"/>
                <w:color w:val="000000"/>
                <w:sz w:val="16"/>
                <w:szCs w:val="16"/>
              </w:rPr>
              <w:t xml:space="preserve"> </w:t>
            </w:r>
          </w:p>
        </w:tc>
        <w:tc>
          <w:tcPr>
            <w:tcW w:w="1128" w:type="dxa"/>
            <w:tcBorders>
              <w:top w:val="nil"/>
              <w:left w:val="nil"/>
              <w:bottom w:val="nil"/>
              <w:right w:val="nil"/>
            </w:tcBorders>
            <w:shd w:val="clear" w:color="auto" w:fill="auto"/>
            <w:noWrap/>
            <w:vAlign w:val="center"/>
            <w:hideMark/>
          </w:tcPr>
          <w:p w14:paraId="1C24270B" w14:textId="10C21BAF" w:rsidR="004133F5" w:rsidRDefault="004133F5" w:rsidP="001B1772">
            <w:pPr>
              <w:jc w:val="right"/>
              <w:rPr>
                <w:rFonts w:ascii="Calibri" w:hAnsi="Calibri" w:cs="Calibri"/>
                <w:color w:val="000000"/>
                <w:sz w:val="16"/>
                <w:szCs w:val="16"/>
              </w:rPr>
            </w:pPr>
            <w:r>
              <w:rPr>
                <w:rFonts w:ascii="Calibri" w:hAnsi="Calibri" w:cs="Calibri"/>
                <w:color w:val="000000"/>
                <w:sz w:val="16"/>
                <w:szCs w:val="16"/>
              </w:rPr>
              <w:t xml:space="preserve">                         -   </w:t>
            </w:r>
          </w:p>
        </w:tc>
        <w:tc>
          <w:tcPr>
            <w:tcW w:w="1359" w:type="dxa"/>
            <w:tcBorders>
              <w:top w:val="nil"/>
              <w:left w:val="nil"/>
              <w:bottom w:val="nil"/>
              <w:right w:val="nil"/>
            </w:tcBorders>
            <w:shd w:val="clear" w:color="auto" w:fill="auto"/>
            <w:noWrap/>
            <w:vAlign w:val="center"/>
            <w:hideMark/>
          </w:tcPr>
          <w:p w14:paraId="31FA994E" w14:textId="01ACCBB7" w:rsidR="004133F5" w:rsidRDefault="004133F5" w:rsidP="001B1772">
            <w:pPr>
              <w:jc w:val="right"/>
              <w:rPr>
                <w:rFonts w:ascii="Calibri" w:hAnsi="Calibri" w:cs="Calibri"/>
                <w:color w:val="000000"/>
                <w:sz w:val="16"/>
                <w:szCs w:val="16"/>
              </w:rPr>
            </w:pPr>
            <w:r>
              <w:rPr>
                <w:rFonts w:ascii="Calibri" w:hAnsi="Calibri" w:cs="Calibri"/>
                <w:color w:val="000000"/>
                <w:sz w:val="16"/>
                <w:szCs w:val="16"/>
              </w:rPr>
              <w:t xml:space="preserve">                (484.735)</w:t>
            </w:r>
          </w:p>
        </w:tc>
        <w:tc>
          <w:tcPr>
            <w:tcW w:w="1490" w:type="dxa"/>
            <w:tcBorders>
              <w:top w:val="nil"/>
              <w:left w:val="nil"/>
              <w:bottom w:val="nil"/>
              <w:right w:val="nil"/>
            </w:tcBorders>
            <w:shd w:val="clear" w:color="auto" w:fill="auto"/>
            <w:noWrap/>
            <w:vAlign w:val="center"/>
            <w:hideMark/>
          </w:tcPr>
          <w:p w14:paraId="75D803AC" w14:textId="14090E8D" w:rsidR="004133F5" w:rsidRDefault="004133F5" w:rsidP="001B1772">
            <w:pPr>
              <w:jc w:val="right"/>
              <w:rPr>
                <w:rFonts w:ascii="Calibri" w:hAnsi="Calibri" w:cs="Calibri"/>
                <w:color w:val="000000"/>
                <w:sz w:val="16"/>
                <w:szCs w:val="16"/>
              </w:rPr>
            </w:pPr>
            <w:r>
              <w:rPr>
                <w:rFonts w:ascii="Calibri" w:hAnsi="Calibri" w:cs="Calibri"/>
                <w:color w:val="000000"/>
                <w:sz w:val="16"/>
                <w:szCs w:val="16"/>
              </w:rPr>
              <w:t xml:space="preserve">        </w:t>
            </w:r>
            <w:r w:rsidR="005A6DDC">
              <w:rPr>
                <w:rFonts w:ascii="Calibri" w:hAnsi="Calibri" w:cs="Calibri"/>
                <w:color w:val="000000"/>
                <w:sz w:val="16"/>
                <w:szCs w:val="16"/>
              </w:rPr>
              <w:t>2.703.254.241</w:t>
            </w:r>
            <w:r>
              <w:rPr>
                <w:rFonts w:ascii="Calibri" w:hAnsi="Calibri" w:cs="Calibri"/>
                <w:color w:val="000000"/>
                <w:sz w:val="16"/>
                <w:szCs w:val="16"/>
              </w:rPr>
              <w:t xml:space="preserve"> </w:t>
            </w:r>
          </w:p>
        </w:tc>
        <w:tc>
          <w:tcPr>
            <w:tcW w:w="743" w:type="dxa"/>
            <w:tcBorders>
              <w:top w:val="nil"/>
              <w:left w:val="nil"/>
              <w:bottom w:val="nil"/>
              <w:right w:val="nil"/>
            </w:tcBorders>
            <w:shd w:val="clear" w:color="auto" w:fill="auto"/>
            <w:noWrap/>
            <w:vAlign w:val="bottom"/>
            <w:hideMark/>
          </w:tcPr>
          <w:p w14:paraId="7B11E27B" w14:textId="77777777" w:rsidR="004133F5" w:rsidRDefault="004133F5">
            <w:pPr>
              <w:jc w:val="right"/>
              <w:rPr>
                <w:rFonts w:ascii="Calibri" w:hAnsi="Calibri" w:cs="Calibri"/>
                <w:color w:val="000000"/>
                <w:sz w:val="16"/>
                <w:szCs w:val="16"/>
              </w:rPr>
            </w:pPr>
          </w:p>
        </w:tc>
      </w:tr>
      <w:tr w:rsidR="004133F5" w14:paraId="420A83DB" w14:textId="77777777" w:rsidTr="004133F5">
        <w:trPr>
          <w:trHeight w:val="300"/>
        </w:trPr>
        <w:tc>
          <w:tcPr>
            <w:tcW w:w="3145" w:type="dxa"/>
            <w:tcBorders>
              <w:top w:val="nil"/>
              <w:left w:val="nil"/>
              <w:bottom w:val="nil"/>
              <w:right w:val="nil"/>
            </w:tcBorders>
            <w:shd w:val="clear" w:color="auto" w:fill="auto"/>
            <w:noWrap/>
            <w:vAlign w:val="center"/>
            <w:hideMark/>
          </w:tcPr>
          <w:p w14:paraId="0F73E503" w14:textId="77777777" w:rsidR="004133F5" w:rsidRDefault="004133F5">
            <w:pPr>
              <w:rPr>
                <w:rFonts w:ascii="Calibri" w:hAnsi="Calibri" w:cs="Calibri"/>
                <w:color w:val="000000"/>
                <w:sz w:val="16"/>
                <w:szCs w:val="16"/>
              </w:rPr>
            </w:pPr>
            <w:r>
              <w:rPr>
                <w:rFonts w:ascii="Calibri" w:hAnsi="Calibri" w:cs="Calibri"/>
                <w:color w:val="000000"/>
                <w:sz w:val="16"/>
                <w:szCs w:val="16"/>
              </w:rPr>
              <w:t xml:space="preserve">     FNS - Porto Nacional/TO - Anápolis/GO</w:t>
            </w:r>
          </w:p>
        </w:tc>
        <w:tc>
          <w:tcPr>
            <w:tcW w:w="1418" w:type="dxa"/>
            <w:tcBorders>
              <w:top w:val="nil"/>
              <w:left w:val="nil"/>
              <w:bottom w:val="nil"/>
              <w:right w:val="nil"/>
            </w:tcBorders>
            <w:shd w:val="clear" w:color="auto" w:fill="auto"/>
            <w:noWrap/>
            <w:vAlign w:val="center"/>
            <w:hideMark/>
          </w:tcPr>
          <w:p w14:paraId="6C2566D9" w14:textId="2AE55CBB" w:rsidR="004133F5" w:rsidRDefault="004133F5" w:rsidP="001B1772">
            <w:pPr>
              <w:jc w:val="right"/>
              <w:rPr>
                <w:rFonts w:ascii="Calibri" w:hAnsi="Calibri" w:cs="Calibri"/>
                <w:color w:val="000000"/>
                <w:sz w:val="16"/>
                <w:szCs w:val="16"/>
              </w:rPr>
            </w:pPr>
            <w:r>
              <w:rPr>
                <w:rFonts w:ascii="Calibri" w:hAnsi="Calibri" w:cs="Calibri"/>
                <w:color w:val="000000"/>
                <w:sz w:val="16"/>
                <w:szCs w:val="16"/>
              </w:rPr>
              <w:t xml:space="preserve">                                 -   </w:t>
            </w:r>
          </w:p>
        </w:tc>
        <w:tc>
          <w:tcPr>
            <w:tcW w:w="1237" w:type="dxa"/>
            <w:tcBorders>
              <w:top w:val="nil"/>
              <w:left w:val="nil"/>
              <w:bottom w:val="nil"/>
              <w:right w:val="nil"/>
            </w:tcBorders>
            <w:shd w:val="clear" w:color="auto" w:fill="auto"/>
            <w:noWrap/>
            <w:vAlign w:val="center"/>
            <w:hideMark/>
          </w:tcPr>
          <w:p w14:paraId="71E78CF6" w14:textId="72C13DCD" w:rsidR="004133F5" w:rsidRDefault="004133F5" w:rsidP="001B1772">
            <w:pPr>
              <w:jc w:val="right"/>
              <w:rPr>
                <w:rFonts w:ascii="Calibri" w:hAnsi="Calibri" w:cs="Calibri"/>
                <w:color w:val="000000"/>
                <w:sz w:val="16"/>
                <w:szCs w:val="16"/>
              </w:rPr>
            </w:pPr>
            <w:r>
              <w:rPr>
                <w:rFonts w:ascii="Calibri" w:hAnsi="Calibri" w:cs="Calibri"/>
                <w:color w:val="000000"/>
                <w:sz w:val="16"/>
                <w:szCs w:val="16"/>
              </w:rPr>
              <w:t xml:space="preserve">                           -   </w:t>
            </w:r>
          </w:p>
        </w:tc>
        <w:tc>
          <w:tcPr>
            <w:tcW w:w="1128" w:type="dxa"/>
            <w:tcBorders>
              <w:top w:val="nil"/>
              <w:left w:val="nil"/>
              <w:bottom w:val="nil"/>
              <w:right w:val="nil"/>
            </w:tcBorders>
            <w:shd w:val="clear" w:color="auto" w:fill="auto"/>
            <w:noWrap/>
            <w:vAlign w:val="center"/>
            <w:hideMark/>
          </w:tcPr>
          <w:p w14:paraId="5B17BC91" w14:textId="419DFD5F" w:rsidR="004133F5" w:rsidRDefault="004133F5" w:rsidP="001B1772">
            <w:pPr>
              <w:jc w:val="right"/>
              <w:rPr>
                <w:rFonts w:ascii="Calibri" w:hAnsi="Calibri" w:cs="Calibri"/>
                <w:color w:val="000000"/>
                <w:sz w:val="16"/>
                <w:szCs w:val="16"/>
              </w:rPr>
            </w:pPr>
            <w:r>
              <w:rPr>
                <w:rFonts w:ascii="Calibri" w:hAnsi="Calibri" w:cs="Calibri"/>
                <w:color w:val="000000"/>
                <w:sz w:val="16"/>
                <w:szCs w:val="16"/>
              </w:rPr>
              <w:t xml:space="preserve">                         -   </w:t>
            </w:r>
          </w:p>
        </w:tc>
        <w:tc>
          <w:tcPr>
            <w:tcW w:w="1359" w:type="dxa"/>
            <w:tcBorders>
              <w:top w:val="nil"/>
              <w:left w:val="nil"/>
              <w:bottom w:val="nil"/>
              <w:right w:val="nil"/>
            </w:tcBorders>
            <w:shd w:val="clear" w:color="auto" w:fill="auto"/>
            <w:noWrap/>
            <w:vAlign w:val="center"/>
            <w:hideMark/>
          </w:tcPr>
          <w:p w14:paraId="38A9E29D" w14:textId="5931117A" w:rsidR="004133F5" w:rsidRDefault="004133F5" w:rsidP="001B1772">
            <w:pPr>
              <w:jc w:val="right"/>
              <w:rPr>
                <w:rFonts w:ascii="Calibri" w:hAnsi="Calibri" w:cs="Calibri"/>
                <w:color w:val="000000"/>
                <w:sz w:val="16"/>
                <w:szCs w:val="16"/>
              </w:rPr>
            </w:pPr>
            <w:r>
              <w:rPr>
                <w:rFonts w:ascii="Calibri" w:hAnsi="Calibri" w:cs="Calibri"/>
                <w:color w:val="000000"/>
                <w:sz w:val="16"/>
                <w:szCs w:val="16"/>
              </w:rPr>
              <w:t xml:space="preserve">                                -   </w:t>
            </w:r>
          </w:p>
        </w:tc>
        <w:tc>
          <w:tcPr>
            <w:tcW w:w="1490" w:type="dxa"/>
            <w:tcBorders>
              <w:top w:val="nil"/>
              <w:left w:val="nil"/>
              <w:bottom w:val="nil"/>
              <w:right w:val="nil"/>
            </w:tcBorders>
            <w:shd w:val="clear" w:color="auto" w:fill="auto"/>
            <w:noWrap/>
            <w:vAlign w:val="center"/>
            <w:hideMark/>
          </w:tcPr>
          <w:p w14:paraId="68677600" w14:textId="41B11C5C" w:rsidR="004133F5" w:rsidRDefault="004133F5" w:rsidP="001B1772">
            <w:pPr>
              <w:jc w:val="right"/>
              <w:rPr>
                <w:rFonts w:ascii="Calibri" w:hAnsi="Calibri" w:cs="Calibri"/>
                <w:color w:val="000000"/>
                <w:sz w:val="16"/>
                <w:szCs w:val="16"/>
              </w:rPr>
            </w:pPr>
            <w:r>
              <w:rPr>
                <w:rFonts w:ascii="Calibri" w:hAnsi="Calibri" w:cs="Calibri"/>
                <w:color w:val="000000"/>
                <w:sz w:val="16"/>
                <w:szCs w:val="16"/>
              </w:rPr>
              <w:t xml:space="preserve">                                   -   </w:t>
            </w:r>
          </w:p>
        </w:tc>
        <w:tc>
          <w:tcPr>
            <w:tcW w:w="743" w:type="dxa"/>
            <w:tcBorders>
              <w:top w:val="nil"/>
              <w:left w:val="nil"/>
              <w:bottom w:val="nil"/>
              <w:right w:val="nil"/>
            </w:tcBorders>
            <w:shd w:val="clear" w:color="auto" w:fill="auto"/>
            <w:noWrap/>
            <w:vAlign w:val="bottom"/>
            <w:hideMark/>
          </w:tcPr>
          <w:p w14:paraId="6426DD73" w14:textId="77777777" w:rsidR="004133F5" w:rsidRDefault="004133F5">
            <w:pPr>
              <w:jc w:val="right"/>
              <w:rPr>
                <w:rFonts w:ascii="Calibri" w:hAnsi="Calibri" w:cs="Calibri"/>
                <w:color w:val="000000"/>
                <w:sz w:val="16"/>
                <w:szCs w:val="16"/>
              </w:rPr>
            </w:pPr>
          </w:p>
        </w:tc>
      </w:tr>
      <w:tr w:rsidR="004133F5" w14:paraId="09ADB751" w14:textId="77777777" w:rsidTr="004133F5">
        <w:trPr>
          <w:trHeight w:val="300"/>
        </w:trPr>
        <w:tc>
          <w:tcPr>
            <w:tcW w:w="3145" w:type="dxa"/>
            <w:tcBorders>
              <w:top w:val="nil"/>
              <w:left w:val="nil"/>
              <w:bottom w:val="nil"/>
              <w:right w:val="nil"/>
            </w:tcBorders>
            <w:shd w:val="clear" w:color="auto" w:fill="auto"/>
            <w:noWrap/>
            <w:vAlign w:val="center"/>
            <w:hideMark/>
          </w:tcPr>
          <w:p w14:paraId="287144CC" w14:textId="77777777" w:rsidR="004133F5" w:rsidRDefault="004133F5">
            <w:pPr>
              <w:rPr>
                <w:rFonts w:ascii="Calibri" w:hAnsi="Calibri" w:cs="Calibri"/>
                <w:color w:val="000000"/>
                <w:sz w:val="16"/>
                <w:szCs w:val="16"/>
              </w:rPr>
            </w:pPr>
            <w:r>
              <w:rPr>
                <w:rFonts w:ascii="Calibri" w:hAnsi="Calibri" w:cs="Calibri"/>
                <w:color w:val="000000"/>
                <w:sz w:val="16"/>
                <w:szCs w:val="16"/>
              </w:rPr>
              <w:t xml:space="preserve">     FNS - Ouro Verde/GO - Estrela D'Oeste/SP</w:t>
            </w:r>
          </w:p>
        </w:tc>
        <w:tc>
          <w:tcPr>
            <w:tcW w:w="1418" w:type="dxa"/>
            <w:tcBorders>
              <w:top w:val="nil"/>
              <w:left w:val="nil"/>
              <w:bottom w:val="nil"/>
              <w:right w:val="nil"/>
            </w:tcBorders>
            <w:shd w:val="clear" w:color="auto" w:fill="auto"/>
            <w:noWrap/>
            <w:vAlign w:val="center"/>
            <w:hideMark/>
          </w:tcPr>
          <w:p w14:paraId="1C691097" w14:textId="3CC2228D" w:rsidR="004133F5" w:rsidRDefault="004133F5" w:rsidP="001B1772">
            <w:pPr>
              <w:jc w:val="right"/>
              <w:rPr>
                <w:rFonts w:ascii="Calibri" w:hAnsi="Calibri" w:cs="Calibri"/>
                <w:color w:val="000000"/>
                <w:sz w:val="16"/>
                <w:szCs w:val="16"/>
              </w:rPr>
            </w:pPr>
            <w:r>
              <w:rPr>
                <w:rFonts w:ascii="Calibri" w:hAnsi="Calibri" w:cs="Calibri"/>
                <w:color w:val="000000"/>
                <w:sz w:val="16"/>
                <w:szCs w:val="16"/>
              </w:rPr>
              <w:t xml:space="preserve">                                 -   </w:t>
            </w:r>
          </w:p>
        </w:tc>
        <w:tc>
          <w:tcPr>
            <w:tcW w:w="1237" w:type="dxa"/>
            <w:tcBorders>
              <w:top w:val="nil"/>
              <w:left w:val="nil"/>
              <w:bottom w:val="nil"/>
              <w:right w:val="nil"/>
            </w:tcBorders>
            <w:shd w:val="clear" w:color="auto" w:fill="auto"/>
            <w:noWrap/>
            <w:vAlign w:val="center"/>
            <w:hideMark/>
          </w:tcPr>
          <w:p w14:paraId="05AE3977" w14:textId="7952D39E" w:rsidR="004133F5" w:rsidRDefault="004133F5" w:rsidP="001B1772">
            <w:pPr>
              <w:jc w:val="right"/>
              <w:rPr>
                <w:rFonts w:ascii="Calibri" w:hAnsi="Calibri" w:cs="Calibri"/>
                <w:color w:val="000000"/>
                <w:sz w:val="16"/>
                <w:szCs w:val="16"/>
              </w:rPr>
            </w:pPr>
            <w:r>
              <w:rPr>
                <w:rFonts w:ascii="Calibri" w:hAnsi="Calibri" w:cs="Calibri"/>
                <w:color w:val="000000"/>
                <w:sz w:val="16"/>
                <w:szCs w:val="16"/>
              </w:rPr>
              <w:t xml:space="preserve">                            -   </w:t>
            </w:r>
          </w:p>
        </w:tc>
        <w:tc>
          <w:tcPr>
            <w:tcW w:w="1128" w:type="dxa"/>
            <w:tcBorders>
              <w:top w:val="nil"/>
              <w:left w:val="nil"/>
              <w:bottom w:val="nil"/>
              <w:right w:val="nil"/>
            </w:tcBorders>
            <w:shd w:val="clear" w:color="auto" w:fill="auto"/>
            <w:noWrap/>
            <w:vAlign w:val="center"/>
            <w:hideMark/>
          </w:tcPr>
          <w:p w14:paraId="07DF3E16" w14:textId="5AEC29C0" w:rsidR="004133F5" w:rsidRDefault="004133F5" w:rsidP="001B1772">
            <w:pPr>
              <w:jc w:val="right"/>
              <w:rPr>
                <w:rFonts w:ascii="Calibri" w:hAnsi="Calibri" w:cs="Calibri"/>
                <w:color w:val="000000"/>
                <w:sz w:val="16"/>
                <w:szCs w:val="16"/>
              </w:rPr>
            </w:pPr>
            <w:r>
              <w:rPr>
                <w:rFonts w:ascii="Calibri" w:hAnsi="Calibri" w:cs="Calibri"/>
                <w:color w:val="000000"/>
                <w:sz w:val="16"/>
                <w:szCs w:val="16"/>
              </w:rPr>
              <w:t xml:space="preserve">                         -   </w:t>
            </w:r>
          </w:p>
        </w:tc>
        <w:tc>
          <w:tcPr>
            <w:tcW w:w="1359" w:type="dxa"/>
            <w:tcBorders>
              <w:top w:val="nil"/>
              <w:left w:val="nil"/>
              <w:bottom w:val="nil"/>
              <w:right w:val="nil"/>
            </w:tcBorders>
            <w:shd w:val="clear" w:color="auto" w:fill="auto"/>
            <w:noWrap/>
            <w:vAlign w:val="center"/>
            <w:hideMark/>
          </w:tcPr>
          <w:p w14:paraId="1A5D79C8" w14:textId="04293C1A" w:rsidR="004133F5" w:rsidRDefault="004133F5" w:rsidP="001B1772">
            <w:pPr>
              <w:jc w:val="right"/>
              <w:rPr>
                <w:rFonts w:ascii="Calibri" w:hAnsi="Calibri" w:cs="Calibri"/>
                <w:color w:val="000000"/>
                <w:sz w:val="16"/>
                <w:szCs w:val="16"/>
              </w:rPr>
            </w:pPr>
            <w:r>
              <w:rPr>
                <w:rFonts w:ascii="Calibri" w:hAnsi="Calibri" w:cs="Calibri"/>
                <w:color w:val="000000"/>
                <w:sz w:val="16"/>
                <w:szCs w:val="16"/>
              </w:rPr>
              <w:t xml:space="preserve">                               -   </w:t>
            </w:r>
          </w:p>
        </w:tc>
        <w:tc>
          <w:tcPr>
            <w:tcW w:w="1490" w:type="dxa"/>
            <w:tcBorders>
              <w:top w:val="nil"/>
              <w:left w:val="nil"/>
              <w:bottom w:val="nil"/>
              <w:right w:val="nil"/>
            </w:tcBorders>
            <w:shd w:val="clear" w:color="auto" w:fill="auto"/>
            <w:noWrap/>
            <w:vAlign w:val="center"/>
            <w:hideMark/>
          </w:tcPr>
          <w:p w14:paraId="0F15B272" w14:textId="2AC94F66" w:rsidR="004133F5" w:rsidRDefault="004133F5" w:rsidP="001B1772">
            <w:pPr>
              <w:jc w:val="right"/>
              <w:rPr>
                <w:rFonts w:ascii="Calibri" w:hAnsi="Calibri" w:cs="Calibri"/>
                <w:color w:val="000000"/>
                <w:sz w:val="16"/>
                <w:szCs w:val="16"/>
              </w:rPr>
            </w:pPr>
            <w:r>
              <w:rPr>
                <w:rFonts w:ascii="Calibri" w:hAnsi="Calibri" w:cs="Calibri"/>
                <w:color w:val="000000"/>
                <w:sz w:val="16"/>
                <w:szCs w:val="16"/>
              </w:rPr>
              <w:t xml:space="preserve">                                   -   </w:t>
            </w:r>
          </w:p>
        </w:tc>
        <w:tc>
          <w:tcPr>
            <w:tcW w:w="743" w:type="dxa"/>
            <w:tcBorders>
              <w:top w:val="nil"/>
              <w:left w:val="nil"/>
              <w:bottom w:val="nil"/>
              <w:right w:val="nil"/>
            </w:tcBorders>
            <w:shd w:val="clear" w:color="auto" w:fill="auto"/>
            <w:noWrap/>
            <w:vAlign w:val="bottom"/>
            <w:hideMark/>
          </w:tcPr>
          <w:p w14:paraId="4E6B6926" w14:textId="77777777" w:rsidR="004133F5" w:rsidRDefault="004133F5">
            <w:pPr>
              <w:jc w:val="right"/>
              <w:rPr>
                <w:rFonts w:ascii="Calibri" w:hAnsi="Calibri" w:cs="Calibri"/>
                <w:color w:val="000000"/>
                <w:sz w:val="16"/>
                <w:szCs w:val="16"/>
              </w:rPr>
            </w:pPr>
          </w:p>
        </w:tc>
      </w:tr>
      <w:tr w:rsidR="004133F5" w14:paraId="6DFB03AA" w14:textId="77777777" w:rsidTr="004133F5">
        <w:trPr>
          <w:trHeight w:val="300"/>
        </w:trPr>
        <w:tc>
          <w:tcPr>
            <w:tcW w:w="3145" w:type="dxa"/>
            <w:tcBorders>
              <w:top w:val="nil"/>
              <w:left w:val="nil"/>
              <w:bottom w:val="nil"/>
              <w:right w:val="nil"/>
            </w:tcBorders>
            <w:shd w:val="clear" w:color="auto" w:fill="auto"/>
            <w:noWrap/>
            <w:vAlign w:val="center"/>
            <w:hideMark/>
          </w:tcPr>
          <w:p w14:paraId="685E501A" w14:textId="77777777" w:rsidR="004133F5" w:rsidRDefault="004133F5">
            <w:pPr>
              <w:rPr>
                <w:rFonts w:ascii="Calibri" w:hAnsi="Calibri" w:cs="Calibri"/>
                <w:color w:val="000000"/>
                <w:sz w:val="16"/>
                <w:szCs w:val="16"/>
              </w:rPr>
            </w:pPr>
            <w:r>
              <w:rPr>
                <w:rFonts w:ascii="Calibri" w:hAnsi="Calibri" w:cs="Calibri"/>
                <w:color w:val="000000"/>
                <w:sz w:val="16"/>
                <w:szCs w:val="16"/>
              </w:rPr>
              <w:t xml:space="preserve">     FIOL - Ferrovia de Integração Oeste-Leste </w:t>
            </w:r>
          </w:p>
        </w:tc>
        <w:tc>
          <w:tcPr>
            <w:tcW w:w="1418" w:type="dxa"/>
            <w:tcBorders>
              <w:top w:val="nil"/>
              <w:left w:val="nil"/>
              <w:bottom w:val="nil"/>
              <w:right w:val="nil"/>
            </w:tcBorders>
            <w:shd w:val="clear" w:color="auto" w:fill="auto"/>
            <w:noWrap/>
            <w:vAlign w:val="center"/>
            <w:hideMark/>
          </w:tcPr>
          <w:p w14:paraId="0533DFB3" w14:textId="77777777" w:rsidR="004133F5" w:rsidRDefault="004133F5" w:rsidP="001B1772">
            <w:pPr>
              <w:jc w:val="right"/>
              <w:rPr>
                <w:rFonts w:ascii="Calibri" w:hAnsi="Calibri" w:cs="Calibri"/>
                <w:color w:val="000000"/>
                <w:sz w:val="16"/>
                <w:szCs w:val="16"/>
              </w:rPr>
            </w:pPr>
            <w:r>
              <w:rPr>
                <w:rFonts w:ascii="Calibri" w:hAnsi="Calibri" w:cs="Calibri"/>
                <w:color w:val="000000"/>
                <w:sz w:val="16"/>
                <w:szCs w:val="16"/>
              </w:rPr>
              <w:t xml:space="preserve">      2.134.403.276 </w:t>
            </w:r>
          </w:p>
        </w:tc>
        <w:tc>
          <w:tcPr>
            <w:tcW w:w="1237" w:type="dxa"/>
            <w:tcBorders>
              <w:top w:val="nil"/>
              <w:left w:val="nil"/>
              <w:bottom w:val="nil"/>
              <w:right w:val="nil"/>
            </w:tcBorders>
            <w:shd w:val="clear" w:color="auto" w:fill="auto"/>
            <w:noWrap/>
            <w:vAlign w:val="center"/>
            <w:hideMark/>
          </w:tcPr>
          <w:p w14:paraId="321978DF" w14:textId="77777777" w:rsidR="004133F5" w:rsidRDefault="004133F5" w:rsidP="001B1772">
            <w:pPr>
              <w:jc w:val="right"/>
              <w:rPr>
                <w:rFonts w:ascii="Calibri" w:hAnsi="Calibri" w:cs="Calibri"/>
                <w:color w:val="000000"/>
                <w:sz w:val="16"/>
                <w:szCs w:val="16"/>
              </w:rPr>
            </w:pPr>
            <w:r>
              <w:rPr>
                <w:rFonts w:ascii="Calibri" w:hAnsi="Calibri" w:cs="Calibri"/>
                <w:color w:val="000000"/>
                <w:sz w:val="16"/>
                <w:szCs w:val="16"/>
              </w:rPr>
              <w:t xml:space="preserve">     111.616.327 </w:t>
            </w:r>
          </w:p>
        </w:tc>
        <w:tc>
          <w:tcPr>
            <w:tcW w:w="1128" w:type="dxa"/>
            <w:tcBorders>
              <w:top w:val="nil"/>
              <w:left w:val="nil"/>
              <w:bottom w:val="nil"/>
              <w:right w:val="nil"/>
            </w:tcBorders>
            <w:shd w:val="clear" w:color="auto" w:fill="auto"/>
            <w:noWrap/>
            <w:vAlign w:val="center"/>
            <w:hideMark/>
          </w:tcPr>
          <w:p w14:paraId="163EC840" w14:textId="2C172963" w:rsidR="004133F5" w:rsidRDefault="004133F5" w:rsidP="001B1772">
            <w:pPr>
              <w:jc w:val="right"/>
              <w:rPr>
                <w:rFonts w:ascii="Calibri" w:hAnsi="Calibri" w:cs="Calibri"/>
                <w:color w:val="000000"/>
                <w:sz w:val="16"/>
                <w:szCs w:val="16"/>
              </w:rPr>
            </w:pPr>
            <w:r>
              <w:rPr>
                <w:rFonts w:ascii="Calibri" w:hAnsi="Calibri" w:cs="Calibri"/>
                <w:color w:val="000000"/>
                <w:sz w:val="16"/>
                <w:szCs w:val="16"/>
              </w:rPr>
              <w:t xml:space="preserve">                         -   </w:t>
            </w:r>
          </w:p>
        </w:tc>
        <w:tc>
          <w:tcPr>
            <w:tcW w:w="1359" w:type="dxa"/>
            <w:tcBorders>
              <w:top w:val="nil"/>
              <w:left w:val="nil"/>
              <w:bottom w:val="nil"/>
              <w:right w:val="nil"/>
            </w:tcBorders>
            <w:shd w:val="clear" w:color="auto" w:fill="auto"/>
            <w:noWrap/>
            <w:vAlign w:val="center"/>
            <w:hideMark/>
          </w:tcPr>
          <w:p w14:paraId="0194EC70" w14:textId="0F9B8FC9" w:rsidR="004133F5" w:rsidRDefault="004133F5" w:rsidP="001B1772">
            <w:pPr>
              <w:jc w:val="right"/>
              <w:rPr>
                <w:rFonts w:ascii="Calibri" w:hAnsi="Calibri" w:cs="Calibri"/>
                <w:color w:val="000000"/>
                <w:sz w:val="16"/>
                <w:szCs w:val="16"/>
              </w:rPr>
            </w:pPr>
            <w:r>
              <w:rPr>
                <w:rFonts w:ascii="Calibri" w:hAnsi="Calibri" w:cs="Calibri"/>
                <w:color w:val="000000"/>
                <w:sz w:val="16"/>
                <w:szCs w:val="16"/>
              </w:rPr>
              <w:t xml:space="preserve">                (484.735)</w:t>
            </w:r>
          </w:p>
        </w:tc>
        <w:tc>
          <w:tcPr>
            <w:tcW w:w="1490" w:type="dxa"/>
            <w:tcBorders>
              <w:top w:val="nil"/>
              <w:left w:val="nil"/>
              <w:bottom w:val="nil"/>
              <w:right w:val="nil"/>
            </w:tcBorders>
            <w:shd w:val="clear" w:color="auto" w:fill="auto"/>
            <w:noWrap/>
            <w:vAlign w:val="center"/>
            <w:hideMark/>
          </w:tcPr>
          <w:p w14:paraId="493F261B" w14:textId="77777777" w:rsidR="004133F5" w:rsidRDefault="004133F5" w:rsidP="001B1772">
            <w:pPr>
              <w:jc w:val="right"/>
              <w:rPr>
                <w:rFonts w:ascii="Calibri" w:hAnsi="Calibri" w:cs="Calibri"/>
                <w:color w:val="000000"/>
                <w:sz w:val="16"/>
                <w:szCs w:val="16"/>
              </w:rPr>
            </w:pPr>
            <w:r>
              <w:rPr>
                <w:rFonts w:ascii="Calibri" w:hAnsi="Calibri" w:cs="Calibri"/>
                <w:color w:val="000000"/>
                <w:sz w:val="16"/>
                <w:szCs w:val="16"/>
              </w:rPr>
              <w:t xml:space="preserve">        2.245.534.867 </w:t>
            </w:r>
          </w:p>
        </w:tc>
        <w:tc>
          <w:tcPr>
            <w:tcW w:w="743" w:type="dxa"/>
            <w:tcBorders>
              <w:top w:val="nil"/>
              <w:left w:val="nil"/>
              <w:bottom w:val="nil"/>
              <w:right w:val="nil"/>
            </w:tcBorders>
            <w:shd w:val="clear" w:color="auto" w:fill="auto"/>
            <w:noWrap/>
            <w:vAlign w:val="bottom"/>
            <w:hideMark/>
          </w:tcPr>
          <w:p w14:paraId="16A5B41A" w14:textId="77777777" w:rsidR="004133F5" w:rsidRDefault="004133F5">
            <w:pPr>
              <w:jc w:val="right"/>
              <w:rPr>
                <w:rFonts w:ascii="Calibri" w:hAnsi="Calibri" w:cs="Calibri"/>
                <w:color w:val="000000"/>
                <w:sz w:val="16"/>
                <w:szCs w:val="16"/>
              </w:rPr>
            </w:pPr>
          </w:p>
        </w:tc>
      </w:tr>
      <w:tr w:rsidR="004133F5" w14:paraId="70FFBEA6" w14:textId="77777777" w:rsidTr="004133F5">
        <w:trPr>
          <w:trHeight w:val="300"/>
        </w:trPr>
        <w:tc>
          <w:tcPr>
            <w:tcW w:w="3145" w:type="dxa"/>
            <w:tcBorders>
              <w:top w:val="nil"/>
              <w:left w:val="nil"/>
              <w:bottom w:val="nil"/>
              <w:right w:val="nil"/>
            </w:tcBorders>
            <w:shd w:val="clear" w:color="auto" w:fill="auto"/>
            <w:noWrap/>
            <w:vAlign w:val="center"/>
            <w:hideMark/>
          </w:tcPr>
          <w:p w14:paraId="51C86FC4" w14:textId="77777777" w:rsidR="004133F5" w:rsidRDefault="004133F5">
            <w:pPr>
              <w:rPr>
                <w:rFonts w:ascii="Calibri" w:hAnsi="Calibri" w:cs="Calibri"/>
                <w:color w:val="000000"/>
                <w:sz w:val="16"/>
                <w:szCs w:val="16"/>
              </w:rPr>
            </w:pPr>
            <w:r>
              <w:rPr>
                <w:rFonts w:ascii="Calibri" w:hAnsi="Calibri" w:cs="Calibri"/>
                <w:color w:val="000000"/>
                <w:sz w:val="16"/>
                <w:szCs w:val="16"/>
              </w:rPr>
              <w:t xml:space="preserve">     FICO - Ferrovia Transcontinental</w:t>
            </w:r>
          </w:p>
        </w:tc>
        <w:tc>
          <w:tcPr>
            <w:tcW w:w="1418" w:type="dxa"/>
            <w:tcBorders>
              <w:top w:val="nil"/>
              <w:left w:val="nil"/>
              <w:bottom w:val="nil"/>
              <w:right w:val="nil"/>
            </w:tcBorders>
            <w:shd w:val="clear" w:color="auto" w:fill="auto"/>
            <w:noWrap/>
            <w:vAlign w:val="center"/>
            <w:hideMark/>
          </w:tcPr>
          <w:p w14:paraId="11749855" w14:textId="77777777" w:rsidR="004133F5" w:rsidRDefault="004133F5" w:rsidP="001B1772">
            <w:pPr>
              <w:jc w:val="right"/>
              <w:rPr>
                <w:rFonts w:ascii="Calibri" w:hAnsi="Calibri" w:cs="Calibri"/>
                <w:color w:val="000000"/>
                <w:sz w:val="16"/>
                <w:szCs w:val="16"/>
              </w:rPr>
            </w:pPr>
            <w:r>
              <w:rPr>
                <w:rFonts w:ascii="Calibri" w:hAnsi="Calibri" w:cs="Calibri"/>
                <w:color w:val="000000"/>
                <w:sz w:val="16"/>
                <w:szCs w:val="16"/>
              </w:rPr>
              <w:t xml:space="preserve">                     504.022 </w:t>
            </w:r>
          </w:p>
        </w:tc>
        <w:tc>
          <w:tcPr>
            <w:tcW w:w="1237" w:type="dxa"/>
            <w:tcBorders>
              <w:top w:val="nil"/>
              <w:left w:val="nil"/>
              <w:bottom w:val="nil"/>
              <w:right w:val="nil"/>
            </w:tcBorders>
            <w:shd w:val="clear" w:color="auto" w:fill="auto"/>
            <w:noWrap/>
            <w:vAlign w:val="center"/>
            <w:hideMark/>
          </w:tcPr>
          <w:p w14:paraId="4104BE75" w14:textId="77777777" w:rsidR="004133F5" w:rsidRDefault="004133F5" w:rsidP="001B1772">
            <w:pPr>
              <w:jc w:val="right"/>
              <w:rPr>
                <w:rFonts w:ascii="Calibri" w:hAnsi="Calibri" w:cs="Calibri"/>
                <w:color w:val="000000"/>
                <w:sz w:val="16"/>
                <w:szCs w:val="16"/>
              </w:rPr>
            </w:pPr>
            <w:r>
              <w:rPr>
                <w:rFonts w:ascii="Calibri" w:hAnsi="Calibri" w:cs="Calibri"/>
                <w:color w:val="000000"/>
                <w:sz w:val="16"/>
                <w:szCs w:val="16"/>
              </w:rPr>
              <w:t xml:space="preserve">           1.602.172 </w:t>
            </w:r>
          </w:p>
        </w:tc>
        <w:tc>
          <w:tcPr>
            <w:tcW w:w="1128" w:type="dxa"/>
            <w:tcBorders>
              <w:top w:val="nil"/>
              <w:left w:val="nil"/>
              <w:bottom w:val="nil"/>
              <w:right w:val="nil"/>
            </w:tcBorders>
            <w:shd w:val="clear" w:color="auto" w:fill="auto"/>
            <w:noWrap/>
            <w:vAlign w:val="center"/>
            <w:hideMark/>
          </w:tcPr>
          <w:p w14:paraId="6E0B7694" w14:textId="0BDF4F29" w:rsidR="004133F5" w:rsidRDefault="004133F5" w:rsidP="001B1772">
            <w:pPr>
              <w:jc w:val="right"/>
              <w:rPr>
                <w:rFonts w:ascii="Calibri" w:hAnsi="Calibri" w:cs="Calibri"/>
                <w:color w:val="000000"/>
                <w:sz w:val="16"/>
                <w:szCs w:val="16"/>
              </w:rPr>
            </w:pPr>
            <w:r>
              <w:rPr>
                <w:rFonts w:ascii="Calibri" w:hAnsi="Calibri" w:cs="Calibri"/>
                <w:color w:val="000000"/>
                <w:sz w:val="16"/>
                <w:szCs w:val="16"/>
              </w:rPr>
              <w:t xml:space="preserve">                         -   </w:t>
            </w:r>
          </w:p>
        </w:tc>
        <w:tc>
          <w:tcPr>
            <w:tcW w:w="1359" w:type="dxa"/>
            <w:tcBorders>
              <w:top w:val="nil"/>
              <w:left w:val="nil"/>
              <w:bottom w:val="nil"/>
              <w:right w:val="nil"/>
            </w:tcBorders>
            <w:shd w:val="clear" w:color="auto" w:fill="auto"/>
            <w:noWrap/>
            <w:vAlign w:val="center"/>
            <w:hideMark/>
          </w:tcPr>
          <w:p w14:paraId="48D0F112" w14:textId="6484B274" w:rsidR="004133F5" w:rsidRDefault="004133F5" w:rsidP="001B1772">
            <w:pPr>
              <w:jc w:val="right"/>
              <w:rPr>
                <w:rFonts w:ascii="Calibri" w:hAnsi="Calibri" w:cs="Calibri"/>
                <w:color w:val="000000"/>
                <w:sz w:val="16"/>
                <w:szCs w:val="16"/>
              </w:rPr>
            </w:pPr>
            <w:r>
              <w:rPr>
                <w:rFonts w:ascii="Calibri" w:hAnsi="Calibri" w:cs="Calibri"/>
                <w:color w:val="000000"/>
                <w:sz w:val="16"/>
                <w:szCs w:val="16"/>
              </w:rPr>
              <w:t xml:space="preserve">                                -   </w:t>
            </w:r>
          </w:p>
        </w:tc>
        <w:tc>
          <w:tcPr>
            <w:tcW w:w="1490" w:type="dxa"/>
            <w:tcBorders>
              <w:top w:val="nil"/>
              <w:left w:val="nil"/>
              <w:bottom w:val="nil"/>
              <w:right w:val="nil"/>
            </w:tcBorders>
            <w:shd w:val="clear" w:color="auto" w:fill="auto"/>
            <w:noWrap/>
            <w:vAlign w:val="center"/>
            <w:hideMark/>
          </w:tcPr>
          <w:p w14:paraId="12BD0932" w14:textId="77777777" w:rsidR="004133F5" w:rsidRDefault="004133F5" w:rsidP="001B1772">
            <w:pPr>
              <w:jc w:val="right"/>
              <w:rPr>
                <w:rFonts w:ascii="Calibri" w:hAnsi="Calibri" w:cs="Calibri"/>
                <w:color w:val="000000"/>
                <w:sz w:val="16"/>
                <w:szCs w:val="16"/>
              </w:rPr>
            </w:pPr>
            <w:r>
              <w:rPr>
                <w:rFonts w:ascii="Calibri" w:hAnsi="Calibri" w:cs="Calibri"/>
                <w:color w:val="000000"/>
                <w:sz w:val="16"/>
                <w:szCs w:val="16"/>
              </w:rPr>
              <w:t xml:space="preserve">                  2.106.194 </w:t>
            </w:r>
          </w:p>
        </w:tc>
        <w:tc>
          <w:tcPr>
            <w:tcW w:w="743" w:type="dxa"/>
            <w:tcBorders>
              <w:top w:val="nil"/>
              <w:left w:val="nil"/>
              <w:bottom w:val="nil"/>
              <w:right w:val="nil"/>
            </w:tcBorders>
            <w:shd w:val="clear" w:color="auto" w:fill="auto"/>
            <w:noWrap/>
            <w:vAlign w:val="bottom"/>
            <w:hideMark/>
          </w:tcPr>
          <w:p w14:paraId="79168BD7" w14:textId="77777777" w:rsidR="004133F5" w:rsidRDefault="004133F5">
            <w:pPr>
              <w:jc w:val="right"/>
              <w:rPr>
                <w:rFonts w:ascii="Calibri" w:hAnsi="Calibri" w:cs="Calibri"/>
                <w:color w:val="000000"/>
                <w:sz w:val="16"/>
                <w:szCs w:val="16"/>
              </w:rPr>
            </w:pPr>
          </w:p>
        </w:tc>
      </w:tr>
      <w:tr w:rsidR="004133F5" w14:paraId="26B31A60" w14:textId="77777777" w:rsidTr="004133F5">
        <w:trPr>
          <w:trHeight w:val="300"/>
        </w:trPr>
        <w:tc>
          <w:tcPr>
            <w:tcW w:w="3145" w:type="dxa"/>
            <w:tcBorders>
              <w:top w:val="nil"/>
              <w:left w:val="nil"/>
              <w:bottom w:val="nil"/>
              <w:right w:val="nil"/>
            </w:tcBorders>
            <w:shd w:val="clear" w:color="auto" w:fill="auto"/>
            <w:noWrap/>
            <w:vAlign w:val="center"/>
            <w:hideMark/>
          </w:tcPr>
          <w:p w14:paraId="1E41D6C6" w14:textId="77777777" w:rsidR="004133F5" w:rsidRDefault="004133F5">
            <w:pPr>
              <w:rPr>
                <w:rFonts w:ascii="Calibri" w:hAnsi="Calibri" w:cs="Calibri"/>
                <w:color w:val="000000"/>
                <w:sz w:val="16"/>
                <w:szCs w:val="16"/>
              </w:rPr>
            </w:pPr>
            <w:r>
              <w:rPr>
                <w:rFonts w:ascii="Calibri" w:hAnsi="Calibri" w:cs="Calibri"/>
                <w:color w:val="000000"/>
                <w:sz w:val="16"/>
                <w:szCs w:val="16"/>
              </w:rPr>
              <w:lastRenderedPageBreak/>
              <w:t xml:space="preserve">     FICO - INVESTIMENTO CRUZADO</w:t>
            </w:r>
          </w:p>
        </w:tc>
        <w:tc>
          <w:tcPr>
            <w:tcW w:w="1418" w:type="dxa"/>
            <w:tcBorders>
              <w:top w:val="nil"/>
              <w:left w:val="nil"/>
              <w:bottom w:val="nil"/>
              <w:right w:val="nil"/>
            </w:tcBorders>
            <w:shd w:val="clear" w:color="auto" w:fill="auto"/>
            <w:noWrap/>
            <w:vAlign w:val="center"/>
            <w:hideMark/>
          </w:tcPr>
          <w:p w14:paraId="5ED93621" w14:textId="77777777" w:rsidR="004133F5" w:rsidRDefault="004133F5" w:rsidP="001B1772">
            <w:pPr>
              <w:jc w:val="right"/>
              <w:rPr>
                <w:rFonts w:ascii="Calibri" w:hAnsi="Calibri" w:cs="Calibri"/>
                <w:color w:val="000000"/>
                <w:sz w:val="16"/>
                <w:szCs w:val="16"/>
              </w:rPr>
            </w:pPr>
            <w:r>
              <w:rPr>
                <w:rFonts w:ascii="Calibri" w:hAnsi="Calibri" w:cs="Calibri"/>
                <w:color w:val="000000"/>
                <w:sz w:val="16"/>
                <w:szCs w:val="16"/>
              </w:rPr>
              <w:t xml:space="preserve">                 5.398.692 </w:t>
            </w:r>
          </w:p>
        </w:tc>
        <w:tc>
          <w:tcPr>
            <w:tcW w:w="1237" w:type="dxa"/>
            <w:tcBorders>
              <w:top w:val="nil"/>
              <w:left w:val="nil"/>
              <w:bottom w:val="nil"/>
              <w:right w:val="nil"/>
            </w:tcBorders>
            <w:shd w:val="clear" w:color="auto" w:fill="auto"/>
            <w:noWrap/>
            <w:vAlign w:val="center"/>
            <w:hideMark/>
          </w:tcPr>
          <w:p w14:paraId="4DFE85C6" w14:textId="6A1A88FC" w:rsidR="004133F5" w:rsidRDefault="004133F5" w:rsidP="001B1772">
            <w:pPr>
              <w:jc w:val="right"/>
              <w:rPr>
                <w:rFonts w:ascii="Calibri" w:hAnsi="Calibri" w:cs="Calibri"/>
                <w:color w:val="000000"/>
                <w:sz w:val="16"/>
                <w:szCs w:val="16"/>
              </w:rPr>
            </w:pPr>
            <w:r>
              <w:rPr>
                <w:rFonts w:ascii="Calibri" w:hAnsi="Calibri" w:cs="Calibri"/>
                <w:color w:val="000000"/>
                <w:sz w:val="16"/>
                <w:szCs w:val="16"/>
              </w:rPr>
              <w:t xml:space="preserve">        37.</w:t>
            </w:r>
            <w:r w:rsidR="005A6DDC">
              <w:rPr>
                <w:rFonts w:ascii="Calibri" w:hAnsi="Calibri" w:cs="Calibri"/>
                <w:color w:val="000000"/>
                <w:sz w:val="16"/>
                <w:szCs w:val="16"/>
              </w:rPr>
              <w:t>506.502</w:t>
            </w:r>
          </w:p>
        </w:tc>
        <w:tc>
          <w:tcPr>
            <w:tcW w:w="1128" w:type="dxa"/>
            <w:tcBorders>
              <w:top w:val="nil"/>
              <w:left w:val="nil"/>
              <w:bottom w:val="nil"/>
              <w:right w:val="nil"/>
            </w:tcBorders>
            <w:shd w:val="clear" w:color="auto" w:fill="auto"/>
            <w:noWrap/>
            <w:vAlign w:val="center"/>
            <w:hideMark/>
          </w:tcPr>
          <w:p w14:paraId="385EEB73" w14:textId="57C139FC" w:rsidR="004133F5" w:rsidRDefault="004133F5" w:rsidP="001B1772">
            <w:pPr>
              <w:jc w:val="right"/>
              <w:rPr>
                <w:rFonts w:ascii="Calibri" w:hAnsi="Calibri" w:cs="Calibri"/>
                <w:color w:val="000000"/>
                <w:sz w:val="16"/>
                <w:szCs w:val="16"/>
              </w:rPr>
            </w:pPr>
            <w:r>
              <w:rPr>
                <w:rFonts w:ascii="Calibri" w:hAnsi="Calibri" w:cs="Calibri"/>
                <w:color w:val="000000"/>
                <w:sz w:val="16"/>
                <w:szCs w:val="16"/>
              </w:rPr>
              <w:t xml:space="preserve">                       -   </w:t>
            </w:r>
          </w:p>
        </w:tc>
        <w:tc>
          <w:tcPr>
            <w:tcW w:w="1359" w:type="dxa"/>
            <w:tcBorders>
              <w:top w:val="nil"/>
              <w:left w:val="nil"/>
              <w:bottom w:val="nil"/>
              <w:right w:val="nil"/>
            </w:tcBorders>
            <w:shd w:val="clear" w:color="auto" w:fill="auto"/>
            <w:noWrap/>
            <w:vAlign w:val="center"/>
            <w:hideMark/>
          </w:tcPr>
          <w:p w14:paraId="2C7B718C" w14:textId="532E182A" w:rsidR="004133F5" w:rsidRDefault="004133F5" w:rsidP="001B1772">
            <w:pPr>
              <w:jc w:val="right"/>
              <w:rPr>
                <w:rFonts w:ascii="Calibri" w:hAnsi="Calibri" w:cs="Calibri"/>
                <w:color w:val="000000"/>
                <w:sz w:val="16"/>
                <w:szCs w:val="16"/>
              </w:rPr>
            </w:pPr>
            <w:r>
              <w:rPr>
                <w:rFonts w:ascii="Calibri" w:hAnsi="Calibri" w:cs="Calibri"/>
                <w:color w:val="000000"/>
                <w:sz w:val="16"/>
                <w:szCs w:val="16"/>
              </w:rPr>
              <w:t xml:space="preserve">                                -   </w:t>
            </w:r>
          </w:p>
        </w:tc>
        <w:tc>
          <w:tcPr>
            <w:tcW w:w="1490" w:type="dxa"/>
            <w:tcBorders>
              <w:top w:val="nil"/>
              <w:left w:val="nil"/>
              <w:bottom w:val="nil"/>
              <w:right w:val="nil"/>
            </w:tcBorders>
            <w:shd w:val="clear" w:color="auto" w:fill="auto"/>
            <w:noWrap/>
            <w:vAlign w:val="center"/>
            <w:hideMark/>
          </w:tcPr>
          <w:p w14:paraId="16BFC860" w14:textId="0959B9D1" w:rsidR="004133F5" w:rsidRDefault="004133F5" w:rsidP="001B1772">
            <w:pPr>
              <w:jc w:val="right"/>
              <w:rPr>
                <w:rFonts w:ascii="Calibri" w:hAnsi="Calibri" w:cs="Calibri"/>
                <w:color w:val="000000"/>
                <w:sz w:val="16"/>
                <w:szCs w:val="16"/>
              </w:rPr>
            </w:pPr>
            <w:r>
              <w:rPr>
                <w:rFonts w:ascii="Calibri" w:hAnsi="Calibri" w:cs="Calibri"/>
                <w:color w:val="000000"/>
                <w:sz w:val="16"/>
                <w:szCs w:val="16"/>
              </w:rPr>
              <w:t xml:space="preserve">               42.</w:t>
            </w:r>
            <w:r w:rsidR="005A6DDC">
              <w:rPr>
                <w:rFonts w:ascii="Calibri" w:hAnsi="Calibri" w:cs="Calibri"/>
                <w:color w:val="000000"/>
                <w:sz w:val="16"/>
                <w:szCs w:val="16"/>
              </w:rPr>
              <w:t>905</w:t>
            </w:r>
            <w:r>
              <w:rPr>
                <w:rFonts w:ascii="Calibri" w:hAnsi="Calibri" w:cs="Calibri"/>
                <w:color w:val="000000"/>
                <w:sz w:val="16"/>
                <w:szCs w:val="16"/>
              </w:rPr>
              <w:t>.1</w:t>
            </w:r>
            <w:r w:rsidR="005A6DDC">
              <w:rPr>
                <w:rFonts w:ascii="Calibri" w:hAnsi="Calibri" w:cs="Calibri"/>
                <w:color w:val="000000"/>
                <w:sz w:val="16"/>
                <w:szCs w:val="16"/>
              </w:rPr>
              <w:t>94</w:t>
            </w:r>
            <w:r>
              <w:rPr>
                <w:rFonts w:ascii="Calibri" w:hAnsi="Calibri" w:cs="Calibri"/>
                <w:color w:val="000000"/>
                <w:sz w:val="16"/>
                <w:szCs w:val="16"/>
              </w:rPr>
              <w:t xml:space="preserve"> </w:t>
            </w:r>
          </w:p>
        </w:tc>
        <w:tc>
          <w:tcPr>
            <w:tcW w:w="743" w:type="dxa"/>
            <w:tcBorders>
              <w:top w:val="nil"/>
              <w:left w:val="nil"/>
              <w:bottom w:val="nil"/>
              <w:right w:val="nil"/>
            </w:tcBorders>
            <w:shd w:val="clear" w:color="auto" w:fill="auto"/>
            <w:noWrap/>
            <w:vAlign w:val="bottom"/>
            <w:hideMark/>
          </w:tcPr>
          <w:p w14:paraId="5676CD69" w14:textId="77777777" w:rsidR="004133F5" w:rsidRDefault="004133F5">
            <w:pPr>
              <w:jc w:val="right"/>
              <w:rPr>
                <w:rFonts w:ascii="Calibri" w:hAnsi="Calibri" w:cs="Calibri"/>
                <w:color w:val="000000"/>
                <w:sz w:val="16"/>
                <w:szCs w:val="16"/>
              </w:rPr>
            </w:pPr>
          </w:p>
        </w:tc>
      </w:tr>
      <w:tr w:rsidR="004133F5" w14:paraId="0A10422F" w14:textId="77777777" w:rsidTr="004133F5">
        <w:trPr>
          <w:trHeight w:val="300"/>
        </w:trPr>
        <w:tc>
          <w:tcPr>
            <w:tcW w:w="3145" w:type="dxa"/>
            <w:tcBorders>
              <w:top w:val="nil"/>
              <w:left w:val="nil"/>
              <w:bottom w:val="nil"/>
              <w:right w:val="nil"/>
            </w:tcBorders>
            <w:shd w:val="clear" w:color="auto" w:fill="auto"/>
            <w:noWrap/>
            <w:vAlign w:val="center"/>
            <w:hideMark/>
          </w:tcPr>
          <w:p w14:paraId="40079790" w14:textId="77777777" w:rsidR="004133F5" w:rsidRDefault="004133F5">
            <w:pPr>
              <w:rPr>
                <w:rFonts w:ascii="Calibri" w:hAnsi="Calibri" w:cs="Calibri"/>
                <w:color w:val="000000"/>
                <w:sz w:val="16"/>
                <w:szCs w:val="16"/>
              </w:rPr>
            </w:pPr>
            <w:r>
              <w:rPr>
                <w:rFonts w:ascii="Calibri" w:hAnsi="Calibri" w:cs="Calibri"/>
                <w:color w:val="000000"/>
                <w:sz w:val="16"/>
                <w:szCs w:val="16"/>
              </w:rPr>
              <w:t xml:space="preserve">     FIOL - INVESTIMENTO CRUZADO</w:t>
            </w:r>
          </w:p>
        </w:tc>
        <w:tc>
          <w:tcPr>
            <w:tcW w:w="1418" w:type="dxa"/>
            <w:tcBorders>
              <w:top w:val="nil"/>
              <w:left w:val="nil"/>
              <w:bottom w:val="nil"/>
              <w:right w:val="nil"/>
            </w:tcBorders>
            <w:shd w:val="clear" w:color="auto" w:fill="auto"/>
            <w:noWrap/>
            <w:vAlign w:val="center"/>
            <w:hideMark/>
          </w:tcPr>
          <w:p w14:paraId="7E4E3C1C" w14:textId="77777777" w:rsidR="004133F5" w:rsidRDefault="004133F5" w:rsidP="001B1772">
            <w:pPr>
              <w:jc w:val="right"/>
              <w:rPr>
                <w:rFonts w:ascii="Calibri" w:hAnsi="Calibri" w:cs="Calibri"/>
                <w:color w:val="000000"/>
                <w:sz w:val="16"/>
                <w:szCs w:val="16"/>
              </w:rPr>
            </w:pPr>
            <w:r>
              <w:rPr>
                <w:rFonts w:ascii="Calibri" w:hAnsi="Calibri" w:cs="Calibri"/>
                <w:color w:val="000000"/>
                <w:sz w:val="16"/>
                <w:szCs w:val="16"/>
              </w:rPr>
              <w:t xml:space="preserve">           258.532.118 </w:t>
            </w:r>
          </w:p>
        </w:tc>
        <w:tc>
          <w:tcPr>
            <w:tcW w:w="1237" w:type="dxa"/>
            <w:tcBorders>
              <w:top w:val="nil"/>
              <w:left w:val="nil"/>
              <w:bottom w:val="nil"/>
              <w:right w:val="nil"/>
            </w:tcBorders>
            <w:shd w:val="clear" w:color="auto" w:fill="auto"/>
            <w:noWrap/>
            <w:vAlign w:val="center"/>
            <w:hideMark/>
          </w:tcPr>
          <w:p w14:paraId="1A650558" w14:textId="65DABEEE" w:rsidR="004133F5" w:rsidRDefault="004133F5" w:rsidP="001B1772">
            <w:pPr>
              <w:jc w:val="right"/>
              <w:rPr>
                <w:rFonts w:ascii="Calibri" w:hAnsi="Calibri" w:cs="Calibri"/>
                <w:color w:val="000000"/>
                <w:sz w:val="16"/>
                <w:szCs w:val="16"/>
              </w:rPr>
            </w:pPr>
            <w:r>
              <w:rPr>
                <w:rFonts w:ascii="Calibri" w:hAnsi="Calibri" w:cs="Calibri"/>
                <w:color w:val="000000"/>
                <w:sz w:val="16"/>
                <w:szCs w:val="16"/>
              </w:rPr>
              <w:t xml:space="preserve">     1</w:t>
            </w:r>
            <w:r w:rsidR="005A6DDC">
              <w:rPr>
                <w:rFonts w:ascii="Calibri" w:hAnsi="Calibri" w:cs="Calibri"/>
                <w:color w:val="000000"/>
                <w:sz w:val="16"/>
                <w:szCs w:val="16"/>
              </w:rPr>
              <w:t>54</w:t>
            </w:r>
            <w:r>
              <w:rPr>
                <w:rFonts w:ascii="Calibri" w:hAnsi="Calibri" w:cs="Calibri"/>
                <w:color w:val="000000"/>
                <w:sz w:val="16"/>
                <w:szCs w:val="16"/>
              </w:rPr>
              <w:t>.</w:t>
            </w:r>
            <w:r w:rsidR="005A6DDC">
              <w:rPr>
                <w:rFonts w:ascii="Calibri" w:hAnsi="Calibri" w:cs="Calibri"/>
                <w:color w:val="000000"/>
                <w:sz w:val="16"/>
                <w:szCs w:val="16"/>
              </w:rPr>
              <w:t>1</w:t>
            </w:r>
            <w:r>
              <w:rPr>
                <w:rFonts w:ascii="Calibri" w:hAnsi="Calibri" w:cs="Calibri"/>
                <w:color w:val="000000"/>
                <w:sz w:val="16"/>
                <w:szCs w:val="16"/>
              </w:rPr>
              <w:t>7</w:t>
            </w:r>
            <w:r w:rsidR="005A6DDC">
              <w:rPr>
                <w:rFonts w:ascii="Calibri" w:hAnsi="Calibri" w:cs="Calibri"/>
                <w:color w:val="000000"/>
                <w:sz w:val="16"/>
                <w:szCs w:val="16"/>
              </w:rPr>
              <w:t>5</w:t>
            </w:r>
            <w:r>
              <w:rPr>
                <w:rFonts w:ascii="Calibri" w:hAnsi="Calibri" w:cs="Calibri"/>
                <w:color w:val="000000"/>
                <w:sz w:val="16"/>
                <w:szCs w:val="16"/>
              </w:rPr>
              <w:t>.</w:t>
            </w:r>
            <w:r w:rsidR="005A6DDC">
              <w:rPr>
                <w:rFonts w:ascii="Calibri" w:hAnsi="Calibri" w:cs="Calibri"/>
                <w:color w:val="000000"/>
                <w:sz w:val="16"/>
                <w:szCs w:val="16"/>
              </w:rPr>
              <w:t>868</w:t>
            </w:r>
            <w:r>
              <w:rPr>
                <w:rFonts w:ascii="Calibri" w:hAnsi="Calibri" w:cs="Calibri"/>
                <w:color w:val="000000"/>
                <w:sz w:val="16"/>
                <w:szCs w:val="16"/>
              </w:rPr>
              <w:t xml:space="preserve"> </w:t>
            </w:r>
          </w:p>
        </w:tc>
        <w:tc>
          <w:tcPr>
            <w:tcW w:w="1128" w:type="dxa"/>
            <w:tcBorders>
              <w:top w:val="nil"/>
              <w:left w:val="nil"/>
              <w:bottom w:val="nil"/>
              <w:right w:val="nil"/>
            </w:tcBorders>
            <w:shd w:val="clear" w:color="auto" w:fill="auto"/>
            <w:noWrap/>
            <w:vAlign w:val="center"/>
            <w:hideMark/>
          </w:tcPr>
          <w:p w14:paraId="308ACE85" w14:textId="273CFE74" w:rsidR="004133F5" w:rsidRDefault="004133F5" w:rsidP="001B1772">
            <w:pPr>
              <w:jc w:val="right"/>
              <w:rPr>
                <w:rFonts w:ascii="Calibri" w:hAnsi="Calibri" w:cs="Calibri"/>
                <w:color w:val="000000"/>
                <w:sz w:val="16"/>
                <w:szCs w:val="16"/>
              </w:rPr>
            </w:pPr>
            <w:r>
              <w:rPr>
                <w:rFonts w:ascii="Calibri" w:hAnsi="Calibri" w:cs="Calibri"/>
                <w:color w:val="000000"/>
                <w:sz w:val="16"/>
                <w:szCs w:val="16"/>
              </w:rPr>
              <w:t xml:space="preserve">                         -   </w:t>
            </w:r>
          </w:p>
        </w:tc>
        <w:tc>
          <w:tcPr>
            <w:tcW w:w="1359" w:type="dxa"/>
            <w:tcBorders>
              <w:top w:val="nil"/>
              <w:left w:val="nil"/>
              <w:bottom w:val="nil"/>
              <w:right w:val="nil"/>
            </w:tcBorders>
            <w:shd w:val="clear" w:color="auto" w:fill="auto"/>
            <w:noWrap/>
            <w:vAlign w:val="center"/>
            <w:hideMark/>
          </w:tcPr>
          <w:p w14:paraId="58219E14" w14:textId="318C0F33" w:rsidR="004133F5" w:rsidRDefault="004133F5" w:rsidP="001B1772">
            <w:pPr>
              <w:jc w:val="right"/>
              <w:rPr>
                <w:rFonts w:ascii="Calibri" w:hAnsi="Calibri" w:cs="Calibri"/>
                <w:color w:val="000000"/>
                <w:sz w:val="16"/>
                <w:szCs w:val="16"/>
              </w:rPr>
            </w:pPr>
            <w:r>
              <w:rPr>
                <w:rFonts w:ascii="Calibri" w:hAnsi="Calibri" w:cs="Calibri"/>
                <w:color w:val="000000"/>
                <w:sz w:val="16"/>
                <w:szCs w:val="16"/>
              </w:rPr>
              <w:t xml:space="preserve">                                -   </w:t>
            </w:r>
          </w:p>
        </w:tc>
        <w:tc>
          <w:tcPr>
            <w:tcW w:w="1490" w:type="dxa"/>
            <w:tcBorders>
              <w:top w:val="nil"/>
              <w:left w:val="nil"/>
              <w:bottom w:val="nil"/>
              <w:right w:val="nil"/>
            </w:tcBorders>
            <w:shd w:val="clear" w:color="auto" w:fill="auto"/>
            <w:noWrap/>
            <w:vAlign w:val="center"/>
            <w:hideMark/>
          </w:tcPr>
          <w:p w14:paraId="1CBA5656" w14:textId="29E2C85D" w:rsidR="004133F5" w:rsidRDefault="004133F5" w:rsidP="001B1772">
            <w:pPr>
              <w:jc w:val="right"/>
              <w:rPr>
                <w:rFonts w:ascii="Calibri" w:hAnsi="Calibri" w:cs="Calibri"/>
                <w:color w:val="000000"/>
                <w:sz w:val="16"/>
                <w:szCs w:val="16"/>
              </w:rPr>
            </w:pPr>
            <w:r>
              <w:rPr>
                <w:rFonts w:ascii="Calibri" w:hAnsi="Calibri" w:cs="Calibri"/>
                <w:color w:val="000000"/>
                <w:sz w:val="16"/>
                <w:szCs w:val="16"/>
              </w:rPr>
              <w:t xml:space="preserve">            </w:t>
            </w:r>
            <w:r w:rsidR="005A6DDC">
              <w:rPr>
                <w:rFonts w:ascii="Calibri" w:hAnsi="Calibri" w:cs="Calibri"/>
                <w:color w:val="000000"/>
                <w:sz w:val="16"/>
                <w:szCs w:val="16"/>
              </w:rPr>
              <w:t>412</w:t>
            </w:r>
            <w:r>
              <w:rPr>
                <w:rFonts w:ascii="Calibri" w:hAnsi="Calibri" w:cs="Calibri"/>
                <w:color w:val="000000"/>
                <w:sz w:val="16"/>
                <w:szCs w:val="16"/>
              </w:rPr>
              <w:t>.7</w:t>
            </w:r>
            <w:r w:rsidR="005A6DDC">
              <w:rPr>
                <w:rFonts w:ascii="Calibri" w:hAnsi="Calibri" w:cs="Calibri"/>
                <w:color w:val="000000"/>
                <w:sz w:val="16"/>
                <w:szCs w:val="16"/>
              </w:rPr>
              <w:t>07</w:t>
            </w:r>
            <w:r>
              <w:rPr>
                <w:rFonts w:ascii="Calibri" w:hAnsi="Calibri" w:cs="Calibri"/>
                <w:color w:val="000000"/>
                <w:sz w:val="16"/>
                <w:szCs w:val="16"/>
              </w:rPr>
              <w:t>.</w:t>
            </w:r>
            <w:r w:rsidR="005A6DDC">
              <w:rPr>
                <w:rFonts w:ascii="Calibri" w:hAnsi="Calibri" w:cs="Calibri"/>
                <w:color w:val="000000"/>
                <w:sz w:val="16"/>
                <w:szCs w:val="16"/>
              </w:rPr>
              <w:t>985</w:t>
            </w:r>
            <w:r>
              <w:rPr>
                <w:rFonts w:ascii="Calibri" w:hAnsi="Calibri" w:cs="Calibri"/>
                <w:color w:val="000000"/>
                <w:sz w:val="16"/>
                <w:szCs w:val="16"/>
              </w:rPr>
              <w:t xml:space="preserve"> </w:t>
            </w:r>
          </w:p>
        </w:tc>
        <w:tc>
          <w:tcPr>
            <w:tcW w:w="743" w:type="dxa"/>
            <w:tcBorders>
              <w:top w:val="nil"/>
              <w:left w:val="nil"/>
              <w:bottom w:val="nil"/>
              <w:right w:val="nil"/>
            </w:tcBorders>
            <w:shd w:val="clear" w:color="auto" w:fill="auto"/>
            <w:noWrap/>
            <w:vAlign w:val="bottom"/>
            <w:hideMark/>
          </w:tcPr>
          <w:p w14:paraId="338ED864" w14:textId="77777777" w:rsidR="004133F5" w:rsidRDefault="004133F5">
            <w:pPr>
              <w:jc w:val="right"/>
              <w:rPr>
                <w:rFonts w:ascii="Calibri" w:hAnsi="Calibri" w:cs="Calibri"/>
                <w:color w:val="000000"/>
                <w:sz w:val="16"/>
                <w:szCs w:val="16"/>
              </w:rPr>
            </w:pPr>
          </w:p>
        </w:tc>
      </w:tr>
      <w:tr w:rsidR="004133F5" w14:paraId="2C2675B0" w14:textId="77777777" w:rsidTr="004133F5">
        <w:trPr>
          <w:trHeight w:val="300"/>
        </w:trPr>
        <w:tc>
          <w:tcPr>
            <w:tcW w:w="3145" w:type="dxa"/>
            <w:tcBorders>
              <w:top w:val="nil"/>
              <w:left w:val="nil"/>
              <w:bottom w:val="nil"/>
              <w:right w:val="nil"/>
            </w:tcBorders>
            <w:shd w:val="clear" w:color="auto" w:fill="auto"/>
            <w:noWrap/>
            <w:vAlign w:val="center"/>
            <w:hideMark/>
          </w:tcPr>
          <w:p w14:paraId="2CC7ADFD" w14:textId="77777777" w:rsidR="004133F5" w:rsidRDefault="004133F5">
            <w:pPr>
              <w:rPr>
                <w:rFonts w:ascii="Calibri" w:hAnsi="Calibri" w:cs="Calibri"/>
                <w:color w:val="000000"/>
                <w:sz w:val="16"/>
                <w:szCs w:val="16"/>
              </w:rPr>
            </w:pPr>
            <w:r>
              <w:rPr>
                <w:rFonts w:ascii="Calibri" w:hAnsi="Calibri" w:cs="Calibri"/>
                <w:color w:val="000000"/>
                <w:sz w:val="16"/>
                <w:szCs w:val="16"/>
              </w:rPr>
              <w:t>Ativos de Concessão</w:t>
            </w:r>
          </w:p>
        </w:tc>
        <w:tc>
          <w:tcPr>
            <w:tcW w:w="1418" w:type="dxa"/>
            <w:tcBorders>
              <w:top w:val="nil"/>
              <w:left w:val="nil"/>
              <w:bottom w:val="nil"/>
              <w:right w:val="nil"/>
            </w:tcBorders>
            <w:shd w:val="clear" w:color="auto" w:fill="auto"/>
            <w:noWrap/>
            <w:vAlign w:val="center"/>
            <w:hideMark/>
          </w:tcPr>
          <w:p w14:paraId="036A7D22" w14:textId="77777777" w:rsidR="004133F5" w:rsidRDefault="004133F5" w:rsidP="001B1772">
            <w:pPr>
              <w:jc w:val="right"/>
              <w:rPr>
                <w:rFonts w:ascii="Calibri" w:hAnsi="Calibri" w:cs="Calibri"/>
                <w:color w:val="000000"/>
                <w:sz w:val="16"/>
                <w:szCs w:val="16"/>
              </w:rPr>
            </w:pPr>
            <w:r>
              <w:rPr>
                <w:rFonts w:ascii="Calibri" w:hAnsi="Calibri" w:cs="Calibri"/>
                <w:color w:val="000000"/>
                <w:sz w:val="16"/>
                <w:szCs w:val="16"/>
              </w:rPr>
              <w:t xml:space="preserve">   15.789.220.082 </w:t>
            </w:r>
          </w:p>
        </w:tc>
        <w:tc>
          <w:tcPr>
            <w:tcW w:w="1237" w:type="dxa"/>
            <w:tcBorders>
              <w:top w:val="nil"/>
              <w:left w:val="nil"/>
              <w:bottom w:val="nil"/>
              <w:right w:val="nil"/>
            </w:tcBorders>
            <w:shd w:val="clear" w:color="auto" w:fill="auto"/>
            <w:noWrap/>
            <w:vAlign w:val="center"/>
            <w:hideMark/>
          </w:tcPr>
          <w:p w14:paraId="274F3A00" w14:textId="0668A27F" w:rsidR="004133F5" w:rsidRDefault="004133F5" w:rsidP="001B1772">
            <w:pPr>
              <w:jc w:val="right"/>
              <w:rPr>
                <w:rFonts w:ascii="Calibri" w:hAnsi="Calibri" w:cs="Calibri"/>
                <w:color w:val="000000"/>
                <w:sz w:val="16"/>
                <w:szCs w:val="16"/>
              </w:rPr>
            </w:pPr>
            <w:r>
              <w:rPr>
                <w:rFonts w:ascii="Calibri" w:hAnsi="Calibri" w:cs="Calibri"/>
                <w:color w:val="000000"/>
                <w:sz w:val="16"/>
                <w:szCs w:val="16"/>
              </w:rPr>
              <w:t xml:space="preserve">                            -   </w:t>
            </w:r>
          </w:p>
        </w:tc>
        <w:tc>
          <w:tcPr>
            <w:tcW w:w="1128" w:type="dxa"/>
            <w:tcBorders>
              <w:top w:val="nil"/>
              <w:left w:val="nil"/>
              <w:bottom w:val="nil"/>
              <w:right w:val="nil"/>
            </w:tcBorders>
            <w:shd w:val="clear" w:color="auto" w:fill="auto"/>
            <w:noWrap/>
            <w:vAlign w:val="center"/>
            <w:hideMark/>
          </w:tcPr>
          <w:p w14:paraId="2570D1C4" w14:textId="6EBEEA2C" w:rsidR="004133F5" w:rsidRDefault="004133F5" w:rsidP="001B1772">
            <w:pPr>
              <w:jc w:val="right"/>
              <w:rPr>
                <w:rFonts w:ascii="Calibri" w:hAnsi="Calibri" w:cs="Calibri"/>
                <w:color w:val="000000"/>
                <w:sz w:val="16"/>
                <w:szCs w:val="16"/>
              </w:rPr>
            </w:pPr>
            <w:r>
              <w:rPr>
                <w:rFonts w:ascii="Calibri" w:hAnsi="Calibri" w:cs="Calibri"/>
                <w:color w:val="000000"/>
                <w:sz w:val="16"/>
                <w:szCs w:val="16"/>
              </w:rPr>
              <w:t xml:space="preserve">                         -   </w:t>
            </w:r>
          </w:p>
        </w:tc>
        <w:tc>
          <w:tcPr>
            <w:tcW w:w="1359" w:type="dxa"/>
            <w:tcBorders>
              <w:top w:val="nil"/>
              <w:left w:val="nil"/>
              <w:bottom w:val="nil"/>
              <w:right w:val="nil"/>
            </w:tcBorders>
            <w:shd w:val="clear" w:color="auto" w:fill="auto"/>
            <w:noWrap/>
            <w:vAlign w:val="center"/>
            <w:hideMark/>
          </w:tcPr>
          <w:p w14:paraId="742C15C8" w14:textId="0377D794" w:rsidR="004133F5" w:rsidRDefault="004133F5" w:rsidP="001B1772">
            <w:pPr>
              <w:jc w:val="right"/>
              <w:rPr>
                <w:rFonts w:ascii="Calibri" w:hAnsi="Calibri" w:cs="Calibri"/>
                <w:color w:val="000000"/>
                <w:sz w:val="16"/>
                <w:szCs w:val="16"/>
              </w:rPr>
            </w:pPr>
            <w:r>
              <w:rPr>
                <w:rFonts w:ascii="Calibri" w:hAnsi="Calibri" w:cs="Calibri"/>
                <w:color w:val="000000"/>
                <w:sz w:val="16"/>
                <w:szCs w:val="16"/>
              </w:rPr>
              <w:t xml:space="preserve">                                -   </w:t>
            </w:r>
          </w:p>
        </w:tc>
        <w:tc>
          <w:tcPr>
            <w:tcW w:w="1490" w:type="dxa"/>
            <w:tcBorders>
              <w:top w:val="nil"/>
              <w:left w:val="nil"/>
              <w:bottom w:val="nil"/>
              <w:right w:val="nil"/>
            </w:tcBorders>
            <w:shd w:val="clear" w:color="auto" w:fill="auto"/>
            <w:noWrap/>
            <w:vAlign w:val="center"/>
            <w:hideMark/>
          </w:tcPr>
          <w:p w14:paraId="5A4C81BB" w14:textId="77777777" w:rsidR="004133F5" w:rsidRDefault="004133F5" w:rsidP="001B1772">
            <w:pPr>
              <w:jc w:val="right"/>
              <w:rPr>
                <w:rFonts w:ascii="Calibri" w:hAnsi="Calibri" w:cs="Calibri"/>
                <w:color w:val="000000"/>
                <w:sz w:val="16"/>
                <w:szCs w:val="16"/>
              </w:rPr>
            </w:pPr>
            <w:r>
              <w:rPr>
                <w:rFonts w:ascii="Calibri" w:hAnsi="Calibri" w:cs="Calibri"/>
                <w:color w:val="000000"/>
                <w:sz w:val="16"/>
                <w:szCs w:val="16"/>
              </w:rPr>
              <w:t xml:space="preserve">     15.789.220.082 </w:t>
            </w:r>
          </w:p>
        </w:tc>
        <w:tc>
          <w:tcPr>
            <w:tcW w:w="743" w:type="dxa"/>
            <w:tcBorders>
              <w:top w:val="nil"/>
              <w:left w:val="nil"/>
              <w:bottom w:val="nil"/>
              <w:right w:val="nil"/>
            </w:tcBorders>
            <w:shd w:val="clear" w:color="auto" w:fill="auto"/>
            <w:noWrap/>
            <w:vAlign w:val="bottom"/>
            <w:hideMark/>
          </w:tcPr>
          <w:p w14:paraId="4419C850" w14:textId="77777777" w:rsidR="004133F5" w:rsidRDefault="004133F5">
            <w:pPr>
              <w:jc w:val="right"/>
              <w:rPr>
                <w:rFonts w:ascii="Calibri" w:hAnsi="Calibri" w:cs="Calibri"/>
                <w:color w:val="000000"/>
                <w:sz w:val="16"/>
                <w:szCs w:val="16"/>
              </w:rPr>
            </w:pPr>
          </w:p>
        </w:tc>
      </w:tr>
      <w:tr w:rsidR="004133F5" w14:paraId="7E467C75" w14:textId="77777777" w:rsidTr="004133F5">
        <w:trPr>
          <w:trHeight w:val="300"/>
        </w:trPr>
        <w:tc>
          <w:tcPr>
            <w:tcW w:w="3145" w:type="dxa"/>
            <w:tcBorders>
              <w:top w:val="nil"/>
              <w:left w:val="nil"/>
              <w:bottom w:val="nil"/>
              <w:right w:val="nil"/>
            </w:tcBorders>
            <w:shd w:val="clear" w:color="auto" w:fill="auto"/>
            <w:noWrap/>
            <w:vAlign w:val="center"/>
            <w:hideMark/>
          </w:tcPr>
          <w:p w14:paraId="5A7DA57F" w14:textId="77777777" w:rsidR="004133F5" w:rsidRDefault="004133F5">
            <w:pPr>
              <w:rPr>
                <w:rFonts w:ascii="Calibri" w:hAnsi="Calibri" w:cs="Calibri"/>
                <w:color w:val="000000"/>
                <w:sz w:val="16"/>
                <w:szCs w:val="16"/>
              </w:rPr>
            </w:pPr>
            <w:r>
              <w:rPr>
                <w:rFonts w:ascii="Calibri" w:hAnsi="Calibri" w:cs="Calibri"/>
                <w:color w:val="000000"/>
                <w:sz w:val="16"/>
                <w:szCs w:val="16"/>
              </w:rPr>
              <w:t xml:space="preserve">    FNS - Açailândia/MA - Palmas/TO</w:t>
            </w:r>
          </w:p>
        </w:tc>
        <w:tc>
          <w:tcPr>
            <w:tcW w:w="1418" w:type="dxa"/>
            <w:tcBorders>
              <w:top w:val="nil"/>
              <w:left w:val="nil"/>
              <w:bottom w:val="nil"/>
              <w:right w:val="nil"/>
            </w:tcBorders>
            <w:shd w:val="clear" w:color="auto" w:fill="auto"/>
            <w:noWrap/>
            <w:vAlign w:val="center"/>
            <w:hideMark/>
          </w:tcPr>
          <w:p w14:paraId="2142DAB2" w14:textId="77777777" w:rsidR="004133F5" w:rsidRDefault="004133F5" w:rsidP="001B1772">
            <w:pPr>
              <w:jc w:val="right"/>
              <w:rPr>
                <w:rFonts w:ascii="Calibri" w:hAnsi="Calibri" w:cs="Calibri"/>
                <w:color w:val="000000"/>
                <w:sz w:val="16"/>
                <w:szCs w:val="16"/>
              </w:rPr>
            </w:pPr>
            <w:r>
              <w:rPr>
                <w:rFonts w:ascii="Calibri" w:hAnsi="Calibri" w:cs="Calibri"/>
                <w:color w:val="000000"/>
                <w:sz w:val="16"/>
                <w:szCs w:val="16"/>
              </w:rPr>
              <w:t xml:space="preserve">      2.607.268.664 </w:t>
            </w:r>
          </w:p>
        </w:tc>
        <w:tc>
          <w:tcPr>
            <w:tcW w:w="1237" w:type="dxa"/>
            <w:tcBorders>
              <w:top w:val="nil"/>
              <w:left w:val="nil"/>
              <w:bottom w:val="nil"/>
              <w:right w:val="nil"/>
            </w:tcBorders>
            <w:shd w:val="clear" w:color="auto" w:fill="auto"/>
            <w:noWrap/>
            <w:vAlign w:val="center"/>
            <w:hideMark/>
          </w:tcPr>
          <w:p w14:paraId="1CCCA52D" w14:textId="3694A28B" w:rsidR="004133F5" w:rsidRDefault="004133F5" w:rsidP="001B1772">
            <w:pPr>
              <w:jc w:val="right"/>
              <w:rPr>
                <w:rFonts w:ascii="Calibri" w:hAnsi="Calibri" w:cs="Calibri"/>
                <w:color w:val="000000"/>
                <w:sz w:val="16"/>
                <w:szCs w:val="16"/>
              </w:rPr>
            </w:pPr>
            <w:r>
              <w:rPr>
                <w:rFonts w:ascii="Calibri" w:hAnsi="Calibri" w:cs="Calibri"/>
                <w:color w:val="000000"/>
                <w:sz w:val="16"/>
                <w:szCs w:val="16"/>
              </w:rPr>
              <w:t xml:space="preserve">                            -   </w:t>
            </w:r>
          </w:p>
        </w:tc>
        <w:tc>
          <w:tcPr>
            <w:tcW w:w="1128" w:type="dxa"/>
            <w:tcBorders>
              <w:top w:val="nil"/>
              <w:left w:val="nil"/>
              <w:bottom w:val="nil"/>
              <w:right w:val="nil"/>
            </w:tcBorders>
            <w:shd w:val="clear" w:color="auto" w:fill="auto"/>
            <w:noWrap/>
            <w:vAlign w:val="center"/>
            <w:hideMark/>
          </w:tcPr>
          <w:p w14:paraId="71E95FE6" w14:textId="020B2C9F" w:rsidR="004133F5" w:rsidRDefault="004133F5" w:rsidP="001B1772">
            <w:pPr>
              <w:jc w:val="right"/>
              <w:rPr>
                <w:rFonts w:ascii="Calibri" w:hAnsi="Calibri" w:cs="Calibri"/>
                <w:color w:val="000000"/>
                <w:sz w:val="16"/>
                <w:szCs w:val="16"/>
              </w:rPr>
            </w:pPr>
            <w:r>
              <w:rPr>
                <w:rFonts w:ascii="Calibri" w:hAnsi="Calibri" w:cs="Calibri"/>
                <w:color w:val="000000"/>
                <w:sz w:val="16"/>
                <w:szCs w:val="16"/>
              </w:rPr>
              <w:t xml:space="preserve">                         -   </w:t>
            </w:r>
          </w:p>
        </w:tc>
        <w:tc>
          <w:tcPr>
            <w:tcW w:w="1359" w:type="dxa"/>
            <w:tcBorders>
              <w:top w:val="nil"/>
              <w:left w:val="nil"/>
              <w:bottom w:val="nil"/>
              <w:right w:val="nil"/>
            </w:tcBorders>
            <w:shd w:val="clear" w:color="auto" w:fill="auto"/>
            <w:noWrap/>
            <w:vAlign w:val="center"/>
            <w:hideMark/>
          </w:tcPr>
          <w:p w14:paraId="2110EF5F" w14:textId="66DBCA64" w:rsidR="004133F5" w:rsidRDefault="004133F5" w:rsidP="001B1772">
            <w:pPr>
              <w:jc w:val="right"/>
              <w:rPr>
                <w:rFonts w:ascii="Calibri" w:hAnsi="Calibri" w:cs="Calibri"/>
                <w:color w:val="000000"/>
                <w:sz w:val="16"/>
                <w:szCs w:val="16"/>
              </w:rPr>
            </w:pPr>
            <w:r>
              <w:rPr>
                <w:rFonts w:ascii="Calibri" w:hAnsi="Calibri" w:cs="Calibri"/>
                <w:color w:val="000000"/>
                <w:sz w:val="16"/>
                <w:szCs w:val="16"/>
              </w:rPr>
              <w:t xml:space="preserve">                                -   </w:t>
            </w:r>
          </w:p>
        </w:tc>
        <w:tc>
          <w:tcPr>
            <w:tcW w:w="1490" w:type="dxa"/>
            <w:tcBorders>
              <w:top w:val="nil"/>
              <w:left w:val="nil"/>
              <w:bottom w:val="nil"/>
              <w:right w:val="nil"/>
            </w:tcBorders>
            <w:shd w:val="clear" w:color="auto" w:fill="auto"/>
            <w:noWrap/>
            <w:vAlign w:val="center"/>
            <w:hideMark/>
          </w:tcPr>
          <w:p w14:paraId="21BBC9E2" w14:textId="77777777" w:rsidR="004133F5" w:rsidRDefault="004133F5" w:rsidP="001B1772">
            <w:pPr>
              <w:jc w:val="right"/>
              <w:rPr>
                <w:rFonts w:ascii="Calibri" w:hAnsi="Calibri" w:cs="Calibri"/>
                <w:color w:val="000000"/>
                <w:sz w:val="16"/>
                <w:szCs w:val="16"/>
              </w:rPr>
            </w:pPr>
            <w:r>
              <w:rPr>
                <w:rFonts w:ascii="Calibri" w:hAnsi="Calibri" w:cs="Calibri"/>
                <w:color w:val="000000"/>
                <w:sz w:val="16"/>
                <w:szCs w:val="16"/>
              </w:rPr>
              <w:t xml:space="preserve">        2.607.268.664 </w:t>
            </w:r>
          </w:p>
        </w:tc>
        <w:tc>
          <w:tcPr>
            <w:tcW w:w="743" w:type="dxa"/>
            <w:tcBorders>
              <w:top w:val="nil"/>
              <w:left w:val="nil"/>
              <w:bottom w:val="nil"/>
              <w:right w:val="nil"/>
            </w:tcBorders>
            <w:shd w:val="clear" w:color="auto" w:fill="auto"/>
            <w:noWrap/>
            <w:vAlign w:val="center"/>
            <w:hideMark/>
          </w:tcPr>
          <w:p w14:paraId="3C3CA9AF" w14:textId="77777777" w:rsidR="004133F5" w:rsidRDefault="004133F5">
            <w:pPr>
              <w:jc w:val="right"/>
              <w:rPr>
                <w:rFonts w:ascii="Calibri" w:hAnsi="Calibri" w:cs="Calibri"/>
                <w:color w:val="000000"/>
                <w:sz w:val="16"/>
                <w:szCs w:val="16"/>
              </w:rPr>
            </w:pPr>
            <w:r>
              <w:rPr>
                <w:rFonts w:ascii="Calibri" w:hAnsi="Calibri" w:cs="Calibri"/>
                <w:color w:val="000000"/>
                <w:sz w:val="16"/>
                <w:szCs w:val="16"/>
              </w:rPr>
              <w:t>4 e 2,86</w:t>
            </w:r>
          </w:p>
        </w:tc>
      </w:tr>
      <w:tr w:rsidR="004133F5" w14:paraId="6CCEAB13" w14:textId="77777777" w:rsidTr="004133F5">
        <w:trPr>
          <w:trHeight w:val="300"/>
        </w:trPr>
        <w:tc>
          <w:tcPr>
            <w:tcW w:w="3145" w:type="dxa"/>
            <w:tcBorders>
              <w:top w:val="nil"/>
              <w:left w:val="nil"/>
              <w:bottom w:val="nil"/>
              <w:right w:val="nil"/>
            </w:tcBorders>
            <w:shd w:val="clear" w:color="auto" w:fill="auto"/>
            <w:noWrap/>
            <w:vAlign w:val="center"/>
            <w:hideMark/>
          </w:tcPr>
          <w:p w14:paraId="71218532" w14:textId="77777777" w:rsidR="004133F5" w:rsidRDefault="004133F5">
            <w:pPr>
              <w:rPr>
                <w:rFonts w:ascii="Calibri" w:hAnsi="Calibri" w:cs="Calibri"/>
                <w:color w:val="000000"/>
                <w:sz w:val="16"/>
                <w:szCs w:val="16"/>
              </w:rPr>
            </w:pPr>
            <w:r>
              <w:rPr>
                <w:rFonts w:ascii="Calibri" w:hAnsi="Calibri" w:cs="Calibri"/>
                <w:color w:val="000000"/>
                <w:sz w:val="16"/>
                <w:szCs w:val="16"/>
              </w:rPr>
              <w:t xml:space="preserve">    FNS - Porto Nacional/TO - Anápolis/GO</w:t>
            </w:r>
          </w:p>
        </w:tc>
        <w:tc>
          <w:tcPr>
            <w:tcW w:w="1418" w:type="dxa"/>
            <w:tcBorders>
              <w:top w:val="nil"/>
              <w:left w:val="nil"/>
              <w:bottom w:val="nil"/>
              <w:right w:val="nil"/>
            </w:tcBorders>
            <w:shd w:val="clear" w:color="auto" w:fill="auto"/>
            <w:noWrap/>
            <w:vAlign w:val="center"/>
            <w:hideMark/>
          </w:tcPr>
          <w:p w14:paraId="2DFFB033" w14:textId="26CC47E3" w:rsidR="004133F5" w:rsidRDefault="004133F5" w:rsidP="001B1772">
            <w:pPr>
              <w:jc w:val="right"/>
              <w:rPr>
                <w:rFonts w:ascii="Calibri" w:hAnsi="Calibri" w:cs="Calibri"/>
                <w:color w:val="000000"/>
                <w:sz w:val="16"/>
                <w:szCs w:val="16"/>
              </w:rPr>
            </w:pPr>
            <w:r>
              <w:rPr>
                <w:rFonts w:ascii="Calibri" w:hAnsi="Calibri" w:cs="Calibri"/>
                <w:color w:val="000000"/>
                <w:sz w:val="16"/>
                <w:szCs w:val="16"/>
              </w:rPr>
              <w:t xml:space="preserve">      4.92</w:t>
            </w:r>
            <w:r w:rsidR="004A1A0B">
              <w:rPr>
                <w:rFonts w:ascii="Calibri" w:hAnsi="Calibri" w:cs="Calibri"/>
                <w:color w:val="000000"/>
                <w:sz w:val="16"/>
                <w:szCs w:val="16"/>
              </w:rPr>
              <w:t>7</w:t>
            </w:r>
            <w:r>
              <w:rPr>
                <w:rFonts w:ascii="Calibri" w:hAnsi="Calibri" w:cs="Calibri"/>
                <w:color w:val="000000"/>
                <w:sz w:val="16"/>
                <w:szCs w:val="16"/>
              </w:rPr>
              <w:t>.7</w:t>
            </w:r>
            <w:r w:rsidR="004A1A0B">
              <w:rPr>
                <w:rFonts w:ascii="Calibri" w:hAnsi="Calibri" w:cs="Calibri"/>
                <w:color w:val="000000"/>
                <w:sz w:val="16"/>
                <w:szCs w:val="16"/>
              </w:rPr>
              <w:t>04</w:t>
            </w:r>
            <w:r>
              <w:rPr>
                <w:rFonts w:ascii="Calibri" w:hAnsi="Calibri" w:cs="Calibri"/>
                <w:color w:val="000000"/>
                <w:sz w:val="16"/>
                <w:szCs w:val="16"/>
              </w:rPr>
              <w:t>.9</w:t>
            </w:r>
            <w:r w:rsidR="004A1A0B">
              <w:rPr>
                <w:rFonts w:ascii="Calibri" w:hAnsi="Calibri" w:cs="Calibri"/>
                <w:color w:val="000000"/>
                <w:sz w:val="16"/>
                <w:szCs w:val="16"/>
              </w:rPr>
              <w:t>8</w:t>
            </w:r>
            <w:r>
              <w:rPr>
                <w:rFonts w:ascii="Calibri" w:hAnsi="Calibri" w:cs="Calibri"/>
                <w:color w:val="000000"/>
                <w:sz w:val="16"/>
                <w:szCs w:val="16"/>
              </w:rPr>
              <w:t xml:space="preserve">8 </w:t>
            </w:r>
          </w:p>
        </w:tc>
        <w:tc>
          <w:tcPr>
            <w:tcW w:w="1237" w:type="dxa"/>
            <w:tcBorders>
              <w:top w:val="nil"/>
              <w:left w:val="nil"/>
              <w:bottom w:val="nil"/>
              <w:right w:val="nil"/>
            </w:tcBorders>
            <w:shd w:val="clear" w:color="auto" w:fill="auto"/>
            <w:noWrap/>
            <w:vAlign w:val="center"/>
            <w:hideMark/>
          </w:tcPr>
          <w:p w14:paraId="451750B2" w14:textId="019EC8DC" w:rsidR="004133F5" w:rsidRDefault="004133F5" w:rsidP="001B1772">
            <w:pPr>
              <w:jc w:val="right"/>
              <w:rPr>
                <w:rFonts w:ascii="Calibri" w:hAnsi="Calibri" w:cs="Calibri"/>
                <w:color w:val="000000"/>
                <w:sz w:val="16"/>
                <w:szCs w:val="16"/>
              </w:rPr>
            </w:pPr>
            <w:r>
              <w:rPr>
                <w:rFonts w:ascii="Calibri" w:hAnsi="Calibri" w:cs="Calibri"/>
                <w:color w:val="000000"/>
                <w:sz w:val="16"/>
                <w:szCs w:val="16"/>
              </w:rPr>
              <w:t xml:space="preserve">                            -   </w:t>
            </w:r>
          </w:p>
        </w:tc>
        <w:tc>
          <w:tcPr>
            <w:tcW w:w="1128" w:type="dxa"/>
            <w:tcBorders>
              <w:top w:val="nil"/>
              <w:left w:val="nil"/>
              <w:bottom w:val="nil"/>
              <w:right w:val="nil"/>
            </w:tcBorders>
            <w:shd w:val="clear" w:color="auto" w:fill="auto"/>
            <w:noWrap/>
            <w:vAlign w:val="center"/>
            <w:hideMark/>
          </w:tcPr>
          <w:p w14:paraId="2A7F9109" w14:textId="700C0A56" w:rsidR="004133F5" w:rsidRDefault="004133F5" w:rsidP="001B1772">
            <w:pPr>
              <w:jc w:val="right"/>
              <w:rPr>
                <w:rFonts w:ascii="Calibri" w:hAnsi="Calibri" w:cs="Calibri"/>
                <w:color w:val="000000"/>
                <w:sz w:val="16"/>
                <w:szCs w:val="16"/>
              </w:rPr>
            </w:pPr>
            <w:r>
              <w:rPr>
                <w:rFonts w:ascii="Calibri" w:hAnsi="Calibri" w:cs="Calibri"/>
                <w:color w:val="000000"/>
                <w:sz w:val="16"/>
                <w:szCs w:val="16"/>
              </w:rPr>
              <w:t xml:space="preserve">                         -   </w:t>
            </w:r>
          </w:p>
        </w:tc>
        <w:tc>
          <w:tcPr>
            <w:tcW w:w="1359" w:type="dxa"/>
            <w:tcBorders>
              <w:top w:val="nil"/>
              <w:left w:val="nil"/>
              <w:bottom w:val="nil"/>
              <w:right w:val="nil"/>
            </w:tcBorders>
            <w:shd w:val="clear" w:color="auto" w:fill="auto"/>
            <w:noWrap/>
            <w:vAlign w:val="center"/>
            <w:hideMark/>
          </w:tcPr>
          <w:p w14:paraId="7AEBCDF9" w14:textId="321AAE18" w:rsidR="004133F5" w:rsidRDefault="004133F5" w:rsidP="001B1772">
            <w:pPr>
              <w:jc w:val="right"/>
              <w:rPr>
                <w:rFonts w:ascii="Calibri" w:hAnsi="Calibri" w:cs="Calibri"/>
                <w:color w:val="000000"/>
                <w:sz w:val="16"/>
                <w:szCs w:val="16"/>
              </w:rPr>
            </w:pPr>
            <w:r>
              <w:rPr>
                <w:rFonts w:ascii="Calibri" w:hAnsi="Calibri" w:cs="Calibri"/>
                <w:color w:val="000000"/>
                <w:sz w:val="16"/>
                <w:szCs w:val="16"/>
              </w:rPr>
              <w:t xml:space="preserve">                                -   </w:t>
            </w:r>
          </w:p>
        </w:tc>
        <w:tc>
          <w:tcPr>
            <w:tcW w:w="1490" w:type="dxa"/>
            <w:tcBorders>
              <w:top w:val="nil"/>
              <w:left w:val="nil"/>
              <w:bottom w:val="nil"/>
              <w:right w:val="nil"/>
            </w:tcBorders>
            <w:shd w:val="clear" w:color="auto" w:fill="auto"/>
            <w:noWrap/>
            <w:vAlign w:val="center"/>
            <w:hideMark/>
          </w:tcPr>
          <w:p w14:paraId="4349C324" w14:textId="4C47054F" w:rsidR="004133F5" w:rsidRDefault="004133F5" w:rsidP="001B1772">
            <w:pPr>
              <w:jc w:val="right"/>
              <w:rPr>
                <w:rFonts w:ascii="Calibri" w:hAnsi="Calibri" w:cs="Calibri"/>
                <w:color w:val="000000"/>
                <w:sz w:val="16"/>
                <w:szCs w:val="16"/>
              </w:rPr>
            </w:pPr>
            <w:r>
              <w:rPr>
                <w:rFonts w:ascii="Calibri" w:hAnsi="Calibri" w:cs="Calibri"/>
                <w:color w:val="000000"/>
                <w:sz w:val="16"/>
                <w:szCs w:val="16"/>
              </w:rPr>
              <w:t xml:space="preserve">        4.92</w:t>
            </w:r>
            <w:r w:rsidR="004A1A0B">
              <w:rPr>
                <w:rFonts w:ascii="Calibri" w:hAnsi="Calibri" w:cs="Calibri"/>
                <w:color w:val="000000"/>
                <w:sz w:val="16"/>
                <w:szCs w:val="16"/>
              </w:rPr>
              <w:t>7</w:t>
            </w:r>
            <w:r>
              <w:rPr>
                <w:rFonts w:ascii="Calibri" w:hAnsi="Calibri" w:cs="Calibri"/>
                <w:color w:val="000000"/>
                <w:sz w:val="16"/>
                <w:szCs w:val="16"/>
              </w:rPr>
              <w:t>.</w:t>
            </w:r>
            <w:r w:rsidR="004A1A0B">
              <w:rPr>
                <w:rFonts w:ascii="Calibri" w:hAnsi="Calibri" w:cs="Calibri"/>
                <w:color w:val="000000"/>
                <w:sz w:val="16"/>
                <w:szCs w:val="16"/>
              </w:rPr>
              <w:t>704</w:t>
            </w:r>
            <w:r>
              <w:rPr>
                <w:rFonts w:ascii="Calibri" w:hAnsi="Calibri" w:cs="Calibri"/>
                <w:color w:val="000000"/>
                <w:sz w:val="16"/>
                <w:szCs w:val="16"/>
              </w:rPr>
              <w:t>.9</w:t>
            </w:r>
            <w:r w:rsidR="004A1A0B">
              <w:rPr>
                <w:rFonts w:ascii="Calibri" w:hAnsi="Calibri" w:cs="Calibri"/>
                <w:color w:val="000000"/>
                <w:sz w:val="16"/>
                <w:szCs w:val="16"/>
              </w:rPr>
              <w:t>8</w:t>
            </w:r>
            <w:r>
              <w:rPr>
                <w:rFonts w:ascii="Calibri" w:hAnsi="Calibri" w:cs="Calibri"/>
                <w:color w:val="000000"/>
                <w:sz w:val="16"/>
                <w:szCs w:val="16"/>
              </w:rPr>
              <w:t xml:space="preserve">8 </w:t>
            </w:r>
          </w:p>
        </w:tc>
        <w:tc>
          <w:tcPr>
            <w:tcW w:w="743" w:type="dxa"/>
            <w:tcBorders>
              <w:top w:val="nil"/>
              <w:left w:val="nil"/>
              <w:bottom w:val="nil"/>
              <w:right w:val="nil"/>
            </w:tcBorders>
            <w:shd w:val="clear" w:color="auto" w:fill="auto"/>
            <w:noWrap/>
            <w:vAlign w:val="center"/>
            <w:hideMark/>
          </w:tcPr>
          <w:p w14:paraId="7FD01550" w14:textId="77777777" w:rsidR="004133F5" w:rsidRDefault="004133F5">
            <w:pPr>
              <w:jc w:val="right"/>
              <w:rPr>
                <w:rFonts w:ascii="Calibri" w:hAnsi="Calibri" w:cs="Calibri"/>
                <w:color w:val="000000"/>
                <w:sz w:val="16"/>
                <w:szCs w:val="16"/>
              </w:rPr>
            </w:pPr>
            <w:r>
              <w:rPr>
                <w:rFonts w:ascii="Calibri" w:hAnsi="Calibri" w:cs="Calibri"/>
                <w:color w:val="000000"/>
                <w:sz w:val="16"/>
                <w:szCs w:val="16"/>
              </w:rPr>
              <w:t>4 e 2,86</w:t>
            </w:r>
          </w:p>
        </w:tc>
      </w:tr>
      <w:tr w:rsidR="004133F5" w14:paraId="4A6B469E" w14:textId="77777777" w:rsidTr="004133F5">
        <w:trPr>
          <w:trHeight w:val="300"/>
        </w:trPr>
        <w:tc>
          <w:tcPr>
            <w:tcW w:w="3145" w:type="dxa"/>
            <w:tcBorders>
              <w:top w:val="nil"/>
              <w:left w:val="nil"/>
              <w:bottom w:val="nil"/>
              <w:right w:val="nil"/>
            </w:tcBorders>
            <w:shd w:val="clear" w:color="auto" w:fill="auto"/>
            <w:noWrap/>
            <w:vAlign w:val="center"/>
            <w:hideMark/>
          </w:tcPr>
          <w:p w14:paraId="4F85F269" w14:textId="77777777" w:rsidR="004133F5" w:rsidRDefault="004133F5">
            <w:pPr>
              <w:rPr>
                <w:rFonts w:ascii="Calibri" w:hAnsi="Calibri" w:cs="Calibri"/>
                <w:color w:val="000000"/>
                <w:sz w:val="16"/>
                <w:szCs w:val="16"/>
              </w:rPr>
            </w:pPr>
            <w:r>
              <w:rPr>
                <w:rFonts w:ascii="Calibri" w:hAnsi="Calibri" w:cs="Calibri"/>
                <w:color w:val="000000"/>
                <w:sz w:val="16"/>
                <w:szCs w:val="16"/>
              </w:rPr>
              <w:t xml:space="preserve">    FNS - Ouro Verde/GO - Estrela D'Oeste/SP</w:t>
            </w:r>
          </w:p>
        </w:tc>
        <w:tc>
          <w:tcPr>
            <w:tcW w:w="1418" w:type="dxa"/>
            <w:tcBorders>
              <w:top w:val="nil"/>
              <w:left w:val="nil"/>
              <w:bottom w:val="nil"/>
              <w:right w:val="nil"/>
            </w:tcBorders>
            <w:shd w:val="clear" w:color="auto" w:fill="auto"/>
            <w:noWrap/>
            <w:vAlign w:val="center"/>
            <w:hideMark/>
          </w:tcPr>
          <w:p w14:paraId="60B17F62" w14:textId="3384E9B5" w:rsidR="004133F5" w:rsidRDefault="004133F5" w:rsidP="001B1772">
            <w:pPr>
              <w:jc w:val="right"/>
              <w:rPr>
                <w:rFonts w:ascii="Calibri" w:hAnsi="Calibri" w:cs="Calibri"/>
                <w:color w:val="000000"/>
                <w:sz w:val="16"/>
                <w:szCs w:val="16"/>
              </w:rPr>
            </w:pPr>
            <w:r>
              <w:rPr>
                <w:rFonts w:ascii="Calibri" w:hAnsi="Calibri" w:cs="Calibri"/>
                <w:color w:val="000000"/>
                <w:sz w:val="16"/>
                <w:szCs w:val="16"/>
              </w:rPr>
              <w:t xml:space="preserve">      4.74</w:t>
            </w:r>
            <w:r w:rsidR="004A1A0B">
              <w:rPr>
                <w:rFonts w:ascii="Calibri" w:hAnsi="Calibri" w:cs="Calibri"/>
                <w:color w:val="000000"/>
                <w:sz w:val="16"/>
                <w:szCs w:val="16"/>
              </w:rPr>
              <w:t>6</w:t>
            </w:r>
            <w:r>
              <w:rPr>
                <w:rFonts w:ascii="Calibri" w:hAnsi="Calibri" w:cs="Calibri"/>
                <w:color w:val="000000"/>
                <w:sz w:val="16"/>
                <w:szCs w:val="16"/>
              </w:rPr>
              <w:t>.</w:t>
            </w:r>
            <w:r w:rsidR="004A1A0B">
              <w:rPr>
                <w:rFonts w:ascii="Calibri" w:hAnsi="Calibri" w:cs="Calibri"/>
                <w:color w:val="000000"/>
                <w:sz w:val="16"/>
                <w:szCs w:val="16"/>
              </w:rPr>
              <w:t>343</w:t>
            </w:r>
            <w:r>
              <w:rPr>
                <w:rFonts w:ascii="Calibri" w:hAnsi="Calibri" w:cs="Calibri"/>
                <w:color w:val="000000"/>
                <w:sz w:val="16"/>
                <w:szCs w:val="16"/>
              </w:rPr>
              <w:t>.</w:t>
            </w:r>
            <w:r w:rsidR="004A1A0B">
              <w:rPr>
                <w:rFonts w:ascii="Calibri" w:hAnsi="Calibri" w:cs="Calibri"/>
                <w:color w:val="000000"/>
                <w:sz w:val="16"/>
                <w:szCs w:val="16"/>
              </w:rPr>
              <w:t>53</w:t>
            </w:r>
            <w:r>
              <w:rPr>
                <w:rFonts w:ascii="Calibri" w:hAnsi="Calibri" w:cs="Calibri"/>
                <w:color w:val="000000"/>
                <w:sz w:val="16"/>
                <w:szCs w:val="16"/>
              </w:rPr>
              <w:t xml:space="preserve">5 </w:t>
            </w:r>
          </w:p>
        </w:tc>
        <w:tc>
          <w:tcPr>
            <w:tcW w:w="1237" w:type="dxa"/>
            <w:tcBorders>
              <w:top w:val="nil"/>
              <w:left w:val="nil"/>
              <w:bottom w:val="nil"/>
              <w:right w:val="nil"/>
            </w:tcBorders>
            <w:shd w:val="clear" w:color="auto" w:fill="auto"/>
            <w:noWrap/>
            <w:vAlign w:val="center"/>
            <w:hideMark/>
          </w:tcPr>
          <w:p w14:paraId="1470B942" w14:textId="6265397D" w:rsidR="004133F5" w:rsidRDefault="004133F5" w:rsidP="001B1772">
            <w:pPr>
              <w:jc w:val="right"/>
              <w:rPr>
                <w:rFonts w:ascii="Calibri" w:hAnsi="Calibri" w:cs="Calibri"/>
                <w:color w:val="000000"/>
                <w:sz w:val="16"/>
                <w:szCs w:val="16"/>
              </w:rPr>
            </w:pPr>
            <w:r>
              <w:rPr>
                <w:rFonts w:ascii="Calibri" w:hAnsi="Calibri" w:cs="Calibri"/>
                <w:color w:val="000000"/>
                <w:sz w:val="16"/>
                <w:szCs w:val="16"/>
              </w:rPr>
              <w:t xml:space="preserve">                            -   </w:t>
            </w:r>
          </w:p>
        </w:tc>
        <w:tc>
          <w:tcPr>
            <w:tcW w:w="1128" w:type="dxa"/>
            <w:tcBorders>
              <w:top w:val="nil"/>
              <w:left w:val="nil"/>
              <w:bottom w:val="nil"/>
              <w:right w:val="nil"/>
            </w:tcBorders>
            <w:shd w:val="clear" w:color="auto" w:fill="auto"/>
            <w:noWrap/>
            <w:vAlign w:val="center"/>
            <w:hideMark/>
          </w:tcPr>
          <w:p w14:paraId="437FC69C" w14:textId="6F0E0F4D" w:rsidR="004133F5" w:rsidRDefault="004133F5" w:rsidP="001B1772">
            <w:pPr>
              <w:jc w:val="right"/>
              <w:rPr>
                <w:rFonts w:ascii="Calibri" w:hAnsi="Calibri" w:cs="Calibri"/>
                <w:color w:val="000000"/>
                <w:sz w:val="16"/>
                <w:szCs w:val="16"/>
              </w:rPr>
            </w:pPr>
            <w:r>
              <w:rPr>
                <w:rFonts w:ascii="Calibri" w:hAnsi="Calibri" w:cs="Calibri"/>
                <w:color w:val="000000"/>
                <w:sz w:val="16"/>
                <w:szCs w:val="16"/>
              </w:rPr>
              <w:t xml:space="preserve">                        -   </w:t>
            </w:r>
          </w:p>
        </w:tc>
        <w:tc>
          <w:tcPr>
            <w:tcW w:w="1359" w:type="dxa"/>
            <w:tcBorders>
              <w:top w:val="nil"/>
              <w:left w:val="nil"/>
              <w:bottom w:val="nil"/>
              <w:right w:val="nil"/>
            </w:tcBorders>
            <w:shd w:val="clear" w:color="auto" w:fill="auto"/>
            <w:noWrap/>
            <w:vAlign w:val="center"/>
            <w:hideMark/>
          </w:tcPr>
          <w:p w14:paraId="17F319E7" w14:textId="374EF1AA" w:rsidR="004133F5" w:rsidRDefault="004133F5" w:rsidP="001B1772">
            <w:pPr>
              <w:jc w:val="right"/>
              <w:rPr>
                <w:rFonts w:ascii="Calibri" w:hAnsi="Calibri" w:cs="Calibri"/>
                <w:color w:val="000000"/>
                <w:sz w:val="16"/>
                <w:szCs w:val="16"/>
              </w:rPr>
            </w:pPr>
            <w:r>
              <w:rPr>
                <w:rFonts w:ascii="Calibri" w:hAnsi="Calibri" w:cs="Calibri"/>
                <w:color w:val="000000"/>
                <w:sz w:val="16"/>
                <w:szCs w:val="16"/>
              </w:rPr>
              <w:t xml:space="preserve">                                -   </w:t>
            </w:r>
          </w:p>
        </w:tc>
        <w:tc>
          <w:tcPr>
            <w:tcW w:w="1490" w:type="dxa"/>
            <w:tcBorders>
              <w:top w:val="nil"/>
              <w:left w:val="nil"/>
              <w:bottom w:val="nil"/>
              <w:right w:val="nil"/>
            </w:tcBorders>
            <w:shd w:val="clear" w:color="auto" w:fill="auto"/>
            <w:noWrap/>
            <w:vAlign w:val="center"/>
            <w:hideMark/>
          </w:tcPr>
          <w:p w14:paraId="6435747A" w14:textId="5F62FD6F" w:rsidR="004133F5" w:rsidRDefault="004133F5" w:rsidP="001B1772">
            <w:pPr>
              <w:jc w:val="right"/>
              <w:rPr>
                <w:rFonts w:ascii="Calibri" w:hAnsi="Calibri" w:cs="Calibri"/>
                <w:color w:val="000000"/>
                <w:sz w:val="16"/>
                <w:szCs w:val="16"/>
              </w:rPr>
            </w:pPr>
            <w:r>
              <w:rPr>
                <w:rFonts w:ascii="Calibri" w:hAnsi="Calibri" w:cs="Calibri"/>
                <w:color w:val="000000"/>
                <w:sz w:val="16"/>
                <w:szCs w:val="16"/>
              </w:rPr>
              <w:t xml:space="preserve">        4.74</w:t>
            </w:r>
            <w:r w:rsidR="004A1A0B">
              <w:rPr>
                <w:rFonts w:ascii="Calibri" w:hAnsi="Calibri" w:cs="Calibri"/>
                <w:color w:val="000000"/>
                <w:sz w:val="16"/>
                <w:szCs w:val="16"/>
              </w:rPr>
              <w:t>6</w:t>
            </w:r>
            <w:r>
              <w:rPr>
                <w:rFonts w:ascii="Calibri" w:hAnsi="Calibri" w:cs="Calibri"/>
                <w:color w:val="000000"/>
                <w:sz w:val="16"/>
                <w:szCs w:val="16"/>
              </w:rPr>
              <w:t>.</w:t>
            </w:r>
            <w:r w:rsidR="004A1A0B">
              <w:rPr>
                <w:rFonts w:ascii="Calibri" w:hAnsi="Calibri" w:cs="Calibri"/>
                <w:color w:val="000000"/>
                <w:sz w:val="16"/>
                <w:szCs w:val="16"/>
              </w:rPr>
              <w:t>343</w:t>
            </w:r>
            <w:r>
              <w:rPr>
                <w:rFonts w:ascii="Calibri" w:hAnsi="Calibri" w:cs="Calibri"/>
                <w:color w:val="000000"/>
                <w:sz w:val="16"/>
                <w:szCs w:val="16"/>
              </w:rPr>
              <w:t>.5</w:t>
            </w:r>
            <w:r w:rsidR="004A1A0B">
              <w:rPr>
                <w:rFonts w:ascii="Calibri" w:hAnsi="Calibri" w:cs="Calibri"/>
                <w:color w:val="000000"/>
                <w:sz w:val="16"/>
                <w:szCs w:val="16"/>
              </w:rPr>
              <w:t>35</w:t>
            </w:r>
            <w:r>
              <w:rPr>
                <w:rFonts w:ascii="Calibri" w:hAnsi="Calibri" w:cs="Calibri"/>
                <w:color w:val="000000"/>
                <w:sz w:val="16"/>
                <w:szCs w:val="16"/>
              </w:rPr>
              <w:t xml:space="preserve"> </w:t>
            </w:r>
          </w:p>
        </w:tc>
        <w:tc>
          <w:tcPr>
            <w:tcW w:w="743" w:type="dxa"/>
            <w:tcBorders>
              <w:top w:val="nil"/>
              <w:left w:val="nil"/>
              <w:bottom w:val="nil"/>
              <w:right w:val="nil"/>
            </w:tcBorders>
            <w:shd w:val="clear" w:color="auto" w:fill="auto"/>
            <w:noWrap/>
            <w:vAlign w:val="bottom"/>
            <w:hideMark/>
          </w:tcPr>
          <w:p w14:paraId="71C26A0C" w14:textId="77777777" w:rsidR="004133F5" w:rsidRDefault="004133F5">
            <w:pPr>
              <w:jc w:val="right"/>
              <w:rPr>
                <w:rFonts w:ascii="Calibri" w:hAnsi="Calibri" w:cs="Calibri"/>
                <w:color w:val="000000"/>
                <w:sz w:val="16"/>
                <w:szCs w:val="16"/>
              </w:rPr>
            </w:pPr>
          </w:p>
        </w:tc>
      </w:tr>
      <w:tr w:rsidR="004133F5" w14:paraId="28BF9D3C" w14:textId="77777777" w:rsidTr="004133F5">
        <w:trPr>
          <w:trHeight w:val="300"/>
        </w:trPr>
        <w:tc>
          <w:tcPr>
            <w:tcW w:w="3145" w:type="dxa"/>
            <w:tcBorders>
              <w:top w:val="nil"/>
              <w:left w:val="nil"/>
              <w:bottom w:val="nil"/>
              <w:right w:val="nil"/>
            </w:tcBorders>
            <w:shd w:val="clear" w:color="auto" w:fill="auto"/>
            <w:noWrap/>
            <w:vAlign w:val="center"/>
            <w:hideMark/>
          </w:tcPr>
          <w:p w14:paraId="108109C5" w14:textId="77777777" w:rsidR="004133F5" w:rsidRDefault="004133F5">
            <w:pPr>
              <w:rPr>
                <w:rFonts w:ascii="Calibri" w:hAnsi="Calibri" w:cs="Calibri"/>
                <w:color w:val="000000"/>
                <w:sz w:val="16"/>
                <w:szCs w:val="16"/>
              </w:rPr>
            </w:pPr>
            <w:r>
              <w:rPr>
                <w:rFonts w:ascii="Calibri" w:hAnsi="Calibri" w:cs="Calibri"/>
                <w:color w:val="000000"/>
                <w:sz w:val="16"/>
                <w:szCs w:val="16"/>
              </w:rPr>
              <w:t xml:space="preserve">    FIOL - Trecho I</w:t>
            </w:r>
          </w:p>
        </w:tc>
        <w:tc>
          <w:tcPr>
            <w:tcW w:w="1418" w:type="dxa"/>
            <w:tcBorders>
              <w:top w:val="nil"/>
              <w:left w:val="nil"/>
              <w:bottom w:val="nil"/>
              <w:right w:val="nil"/>
            </w:tcBorders>
            <w:shd w:val="clear" w:color="auto" w:fill="auto"/>
            <w:noWrap/>
            <w:vAlign w:val="center"/>
            <w:hideMark/>
          </w:tcPr>
          <w:p w14:paraId="41609366" w14:textId="7E8DD201" w:rsidR="004133F5" w:rsidRDefault="004133F5" w:rsidP="001B1772">
            <w:pPr>
              <w:jc w:val="right"/>
              <w:rPr>
                <w:rFonts w:ascii="Calibri" w:hAnsi="Calibri" w:cs="Calibri"/>
                <w:color w:val="000000"/>
                <w:sz w:val="16"/>
                <w:szCs w:val="16"/>
              </w:rPr>
            </w:pPr>
            <w:r>
              <w:rPr>
                <w:rFonts w:ascii="Calibri" w:hAnsi="Calibri" w:cs="Calibri"/>
                <w:color w:val="000000"/>
                <w:sz w:val="16"/>
                <w:szCs w:val="16"/>
              </w:rPr>
              <w:t xml:space="preserve">      3.</w:t>
            </w:r>
            <w:r w:rsidR="004A1A0B">
              <w:rPr>
                <w:rFonts w:ascii="Calibri" w:hAnsi="Calibri" w:cs="Calibri"/>
                <w:color w:val="000000"/>
                <w:sz w:val="16"/>
                <w:szCs w:val="16"/>
              </w:rPr>
              <w:t>498</w:t>
            </w:r>
            <w:r>
              <w:rPr>
                <w:rFonts w:ascii="Calibri" w:hAnsi="Calibri" w:cs="Calibri"/>
                <w:color w:val="000000"/>
                <w:sz w:val="16"/>
                <w:szCs w:val="16"/>
              </w:rPr>
              <w:t>.</w:t>
            </w:r>
            <w:r w:rsidR="004A1A0B">
              <w:rPr>
                <w:rFonts w:ascii="Calibri" w:hAnsi="Calibri" w:cs="Calibri"/>
                <w:color w:val="000000"/>
                <w:sz w:val="16"/>
                <w:szCs w:val="16"/>
              </w:rPr>
              <w:t>893</w:t>
            </w:r>
            <w:r>
              <w:rPr>
                <w:rFonts w:ascii="Calibri" w:hAnsi="Calibri" w:cs="Calibri"/>
                <w:color w:val="000000"/>
                <w:sz w:val="16"/>
                <w:szCs w:val="16"/>
              </w:rPr>
              <w:t>.4</w:t>
            </w:r>
            <w:r w:rsidR="004A1A0B">
              <w:rPr>
                <w:rFonts w:ascii="Calibri" w:hAnsi="Calibri" w:cs="Calibri"/>
                <w:color w:val="000000"/>
                <w:sz w:val="16"/>
                <w:szCs w:val="16"/>
              </w:rPr>
              <w:t>34</w:t>
            </w:r>
            <w:r>
              <w:rPr>
                <w:rFonts w:ascii="Calibri" w:hAnsi="Calibri" w:cs="Calibri"/>
                <w:color w:val="000000"/>
                <w:sz w:val="16"/>
                <w:szCs w:val="16"/>
              </w:rPr>
              <w:t xml:space="preserve"> </w:t>
            </w:r>
          </w:p>
        </w:tc>
        <w:tc>
          <w:tcPr>
            <w:tcW w:w="1237" w:type="dxa"/>
            <w:tcBorders>
              <w:top w:val="nil"/>
              <w:left w:val="nil"/>
              <w:bottom w:val="nil"/>
              <w:right w:val="nil"/>
            </w:tcBorders>
            <w:shd w:val="clear" w:color="auto" w:fill="auto"/>
            <w:noWrap/>
            <w:vAlign w:val="center"/>
            <w:hideMark/>
          </w:tcPr>
          <w:p w14:paraId="310378D0" w14:textId="511E3526" w:rsidR="004133F5" w:rsidRDefault="004133F5" w:rsidP="001B1772">
            <w:pPr>
              <w:jc w:val="right"/>
              <w:rPr>
                <w:rFonts w:ascii="Calibri" w:hAnsi="Calibri" w:cs="Calibri"/>
                <w:color w:val="000000"/>
                <w:sz w:val="16"/>
                <w:szCs w:val="16"/>
              </w:rPr>
            </w:pPr>
            <w:r>
              <w:rPr>
                <w:rFonts w:ascii="Calibri" w:hAnsi="Calibri" w:cs="Calibri"/>
                <w:color w:val="000000"/>
                <w:sz w:val="16"/>
                <w:szCs w:val="16"/>
              </w:rPr>
              <w:t xml:space="preserve">                            -   </w:t>
            </w:r>
          </w:p>
        </w:tc>
        <w:tc>
          <w:tcPr>
            <w:tcW w:w="1128" w:type="dxa"/>
            <w:tcBorders>
              <w:top w:val="nil"/>
              <w:left w:val="nil"/>
              <w:bottom w:val="nil"/>
              <w:right w:val="nil"/>
            </w:tcBorders>
            <w:shd w:val="clear" w:color="auto" w:fill="auto"/>
            <w:noWrap/>
            <w:vAlign w:val="center"/>
            <w:hideMark/>
          </w:tcPr>
          <w:p w14:paraId="6D3E8559" w14:textId="66170D9B" w:rsidR="004133F5" w:rsidRDefault="004133F5" w:rsidP="001B1772">
            <w:pPr>
              <w:jc w:val="right"/>
              <w:rPr>
                <w:rFonts w:ascii="Calibri" w:hAnsi="Calibri" w:cs="Calibri"/>
                <w:color w:val="000000"/>
                <w:sz w:val="16"/>
                <w:szCs w:val="16"/>
              </w:rPr>
            </w:pPr>
            <w:r>
              <w:rPr>
                <w:rFonts w:ascii="Calibri" w:hAnsi="Calibri" w:cs="Calibri"/>
                <w:color w:val="000000"/>
                <w:sz w:val="16"/>
                <w:szCs w:val="16"/>
              </w:rPr>
              <w:t xml:space="preserve">                        -   </w:t>
            </w:r>
          </w:p>
        </w:tc>
        <w:tc>
          <w:tcPr>
            <w:tcW w:w="1359" w:type="dxa"/>
            <w:tcBorders>
              <w:top w:val="nil"/>
              <w:left w:val="nil"/>
              <w:bottom w:val="nil"/>
              <w:right w:val="nil"/>
            </w:tcBorders>
            <w:shd w:val="clear" w:color="auto" w:fill="auto"/>
            <w:noWrap/>
            <w:vAlign w:val="center"/>
            <w:hideMark/>
          </w:tcPr>
          <w:p w14:paraId="128E939B" w14:textId="207DDB20" w:rsidR="004133F5" w:rsidRDefault="004133F5" w:rsidP="001B1772">
            <w:pPr>
              <w:jc w:val="right"/>
              <w:rPr>
                <w:rFonts w:ascii="Calibri" w:hAnsi="Calibri" w:cs="Calibri"/>
                <w:color w:val="000000"/>
                <w:sz w:val="16"/>
                <w:szCs w:val="16"/>
              </w:rPr>
            </w:pPr>
            <w:r>
              <w:rPr>
                <w:rFonts w:ascii="Calibri" w:hAnsi="Calibri" w:cs="Calibri"/>
                <w:color w:val="000000"/>
                <w:sz w:val="16"/>
                <w:szCs w:val="16"/>
              </w:rPr>
              <w:t xml:space="preserve">                                -   </w:t>
            </w:r>
          </w:p>
        </w:tc>
        <w:tc>
          <w:tcPr>
            <w:tcW w:w="1490" w:type="dxa"/>
            <w:tcBorders>
              <w:top w:val="nil"/>
              <w:left w:val="nil"/>
              <w:bottom w:val="nil"/>
              <w:right w:val="nil"/>
            </w:tcBorders>
            <w:shd w:val="clear" w:color="auto" w:fill="auto"/>
            <w:noWrap/>
            <w:vAlign w:val="center"/>
            <w:hideMark/>
          </w:tcPr>
          <w:p w14:paraId="02C166EC" w14:textId="49FA1208" w:rsidR="004133F5" w:rsidRDefault="004133F5" w:rsidP="001B1772">
            <w:pPr>
              <w:jc w:val="right"/>
              <w:rPr>
                <w:rFonts w:ascii="Calibri" w:hAnsi="Calibri" w:cs="Calibri"/>
                <w:color w:val="000000"/>
                <w:sz w:val="16"/>
                <w:szCs w:val="16"/>
              </w:rPr>
            </w:pPr>
            <w:r>
              <w:rPr>
                <w:rFonts w:ascii="Calibri" w:hAnsi="Calibri" w:cs="Calibri"/>
                <w:color w:val="000000"/>
                <w:sz w:val="16"/>
                <w:szCs w:val="16"/>
              </w:rPr>
              <w:t xml:space="preserve">        3.</w:t>
            </w:r>
            <w:r w:rsidR="004A1A0B">
              <w:rPr>
                <w:rFonts w:ascii="Calibri" w:hAnsi="Calibri" w:cs="Calibri"/>
                <w:color w:val="000000"/>
                <w:sz w:val="16"/>
                <w:szCs w:val="16"/>
              </w:rPr>
              <w:t>498</w:t>
            </w:r>
            <w:r>
              <w:rPr>
                <w:rFonts w:ascii="Calibri" w:hAnsi="Calibri" w:cs="Calibri"/>
                <w:color w:val="000000"/>
                <w:sz w:val="16"/>
                <w:szCs w:val="16"/>
              </w:rPr>
              <w:t>.</w:t>
            </w:r>
            <w:r w:rsidR="004A1A0B">
              <w:rPr>
                <w:rFonts w:ascii="Calibri" w:hAnsi="Calibri" w:cs="Calibri"/>
                <w:color w:val="000000"/>
                <w:sz w:val="16"/>
                <w:szCs w:val="16"/>
              </w:rPr>
              <w:t>893</w:t>
            </w:r>
            <w:r>
              <w:rPr>
                <w:rFonts w:ascii="Calibri" w:hAnsi="Calibri" w:cs="Calibri"/>
                <w:color w:val="000000"/>
                <w:sz w:val="16"/>
                <w:szCs w:val="16"/>
              </w:rPr>
              <w:t>.4</w:t>
            </w:r>
            <w:r w:rsidR="004A1A0B">
              <w:rPr>
                <w:rFonts w:ascii="Calibri" w:hAnsi="Calibri" w:cs="Calibri"/>
                <w:color w:val="000000"/>
                <w:sz w:val="16"/>
                <w:szCs w:val="16"/>
              </w:rPr>
              <w:t>34</w:t>
            </w:r>
            <w:r>
              <w:rPr>
                <w:rFonts w:ascii="Calibri" w:hAnsi="Calibri" w:cs="Calibri"/>
                <w:color w:val="000000"/>
                <w:sz w:val="16"/>
                <w:szCs w:val="16"/>
              </w:rPr>
              <w:t xml:space="preserve"> </w:t>
            </w:r>
          </w:p>
        </w:tc>
        <w:tc>
          <w:tcPr>
            <w:tcW w:w="743" w:type="dxa"/>
            <w:tcBorders>
              <w:top w:val="nil"/>
              <w:left w:val="nil"/>
              <w:bottom w:val="nil"/>
              <w:right w:val="nil"/>
            </w:tcBorders>
            <w:shd w:val="clear" w:color="auto" w:fill="auto"/>
            <w:noWrap/>
            <w:vAlign w:val="bottom"/>
            <w:hideMark/>
          </w:tcPr>
          <w:p w14:paraId="50961565" w14:textId="77777777" w:rsidR="004133F5" w:rsidRDefault="004133F5">
            <w:pPr>
              <w:jc w:val="right"/>
              <w:rPr>
                <w:rFonts w:ascii="Calibri" w:hAnsi="Calibri" w:cs="Calibri"/>
                <w:color w:val="000000"/>
                <w:sz w:val="16"/>
                <w:szCs w:val="16"/>
              </w:rPr>
            </w:pPr>
          </w:p>
        </w:tc>
      </w:tr>
      <w:tr w:rsidR="004133F5" w14:paraId="1A185F3C" w14:textId="77777777" w:rsidTr="004133F5">
        <w:trPr>
          <w:trHeight w:val="300"/>
        </w:trPr>
        <w:tc>
          <w:tcPr>
            <w:tcW w:w="3145" w:type="dxa"/>
            <w:tcBorders>
              <w:top w:val="nil"/>
              <w:left w:val="nil"/>
              <w:bottom w:val="nil"/>
              <w:right w:val="nil"/>
            </w:tcBorders>
            <w:shd w:val="clear" w:color="auto" w:fill="auto"/>
            <w:noWrap/>
            <w:vAlign w:val="center"/>
            <w:hideMark/>
          </w:tcPr>
          <w:p w14:paraId="59FFD399" w14:textId="77777777" w:rsidR="004133F5" w:rsidRDefault="004133F5">
            <w:pPr>
              <w:rPr>
                <w:rFonts w:ascii="Calibri" w:hAnsi="Calibri" w:cs="Calibri"/>
                <w:color w:val="000000"/>
                <w:sz w:val="16"/>
                <w:szCs w:val="16"/>
              </w:rPr>
            </w:pPr>
            <w:r>
              <w:rPr>
                <w:rFonts w:ascii="Calibri" w:hAnsi="Calibri" w:cs="Calibri"/>
                <w:color w:val="000000"/>
                <w:sz w:val="16"/>
                <w:szCs w:val="16"/>
              </w:rPr>
              <w:t xml:space="preserve">    Pátio Porto Franco</w:t>
            </w:r>
          </w:p>
        </w:tc>
        <w:tc>
          <w:tcPr>
            <w:tcW w:w="1418" w:type="dxa"/>
            <w:tcBorders>
              <w:top w:val="nil"/>
              <w:left w:val="nil"/>
              <w:bottom w:val="nil"/>
              <w:right w:val="nil"/>
            </w:tcBorders>
            <w:shd w:val="clear" w:color="auto" w:fill="auto"/>
            <w:noWrap/>
            <w:vAlign w:val="center"/>
            <w:hideMark/>
          </w:tcPr>
          <w:p w14:paraId="46657564" w14:textId="77777777" w:rsidR="004133F5" w:rsidRDefault="004133F5" w:rsidP="001B1772">
            <w:pPr>
              <w:jc w:val="right"/>
              <w:rPr>
                <w:rFonts w:ascii="Calibri" w:hAnsi="Calibri" w:cs="Calibri"/>
                <w:color w:val="000000"/>
                <w:sz w:val="16"/>
                <w:szCs w:val="16"/>
              </w:rPr>
            </w:pPr>
            <w:r>
              <w:rPr>
                <w:rFonts w:ascii="Calibri" w:hAnsi="Calibri" w:cs="Calibri"/>
                <w:color w:val="000000"/>
                <w:sz w:val="16"/>
                <w:szCs w:val="16"/>
              </w:rPr>
              <w:t xml:space="preserve">                 9.009.461 </w:t>
            </w:r>
          </w:p>
        </w:tc>
        <w:tc>
          <w:tcPr>
            <w:tcW w:w="1237" w:type="dxa"/>
            <w:tcBorders>
              <w:top w:val="nil"/>
              <w:left w:val="nil"/>
              <w:bottom w:val="nil"/>
              <w:right w:val="nil"/>
            </w:tcBorders>
            <w:shd w:val="clear" w:color="auto" w:fill="auto"/>
            <w:noWrap/>
            <w:vAlign w:val="center"/>
            <w:hideMark/>
          </w:tcPr>
          <w:p w14:paraId="3D554AE1" w14:textId="2B1AB992" w:rsidR="004133F5" w:rsidRDefault="004133F5" w:rsidP="001B1772">
            <w:pPr>
              <w:jc w:val="right"/>
              <w:rPr>
                <w:rFonts w:ascii="Calibri" w:hAnsi="Calibri" w:cs="Calibri"/>
                <w:color w:val="000000"/>
                <w:sz w:val="16"/>
                <w:szCs w:val="16"/>
              </w:rPr>
            </w:pPr>
            <w:r>
              <w:rPr>
                <w:rFonts w:ascii="Calibri" w:hAnsi="Calibri" w:cs="Calibri"/>
                <w:color w:val="000000"/>
                <w:sz w:val="16"/>
                <w:szCs w:val="16"/>
              </w:rPr>
              <w:t xml:space="preserve">                            -   </w:t>
            </w:r>
          </w:p>
        </w:tc>
        <w:tc>
          <w:tcPr>
            <w:tcW w:w="1128" w:type="dxa"/>
            <w:tcBorders>
              <w:top w:val="nil"/>
              <w:left w:val="nil"/>
              <w:bottom w:val="nil"/>
              <w:right w:val="nil"/>
            </w:tcBorders>
            <w:shd w:val="clear" w:color="auto" w:fill="auto"/>
            <w:noWrap/>
            <w:vAlign w:val="center"/>
            <w:hideMark/>
          </w:tcPr>
          <w:p w14:paraId="0C267382" w14:textId="345F74B3" w:rsidR="004133F5" w:rsidRDefault="004133F5" w:rsidP="001B1772">
            <w:pPr>
              <w:jc w:val="right"/>
              <w:rPr>
                <w:rFonts w:ascii="Calibri" w:hAnsi="Calibri" w:cs="Calibri"/>
                <w:color w:val="000000"/>
                <w:sz w:val="16"/>
                <w:szCs w:val="16"/>
              </w:rPr>
            </w:pPr>
            <w:r>
              <w:rPr>
                <w:rFonts w:ascii="Calibri" w:hAnsi="Calibri" w:cs="Calibri"/>
                <w:color w:val="000000"/>
                <w:sz w:val="16"/>
                <w:szCs w:val="16"/>
              </w:rPr>
              <w:t xml:space="preserve">                         -   </w:t>
            </w:r>
          </w:p>
        </w:tc>
        <w:tc>
          <w:tcPr>
            <w:tcW w:w="1359" w:type="dxa"/>
            <w:tcBorders>
              <w:top w:val="nil"/>
              <w:left w:val="nil"/>
              <w:bottom w:val="nil"/>
              <w:right w:val="nil"/>
            </w:tcBorders>
            <w:shd w:val="clear" w:color="auto" w:fill="auto"/>
            <w:noWrap/>
            <w:vAlign w:val="center"/>
            <w:hideMark/>
          </w:tcPr>
          <w:p w14:paraId="3A29E691" w14:textId="5D91F1CC" w:rsidR="004133F5" w:rsidRDefault="004133F5" w:rsidP="001B1772">
            <w:pPr>
              <w:jc w:val="right"/>
              <w:rPr>
                <w:rFonts w:ascii="Calibri" w:hAnsi="Calibri" w:cs="Calibri"/>
                <w:color w:val="000000"/>
                <w:sz w:val="16"/>
                <w:szCs w:val="16"/>
              </w:rPr>
            </w:pPr>
            <w:r>
              <w:rPr>
                <w:rFonts w:ascii="Calibri" w:hAnsi="Calibri" w:cs="Calibri"/>
                <w:color w:val="000000"/>
                <w:sz w:val="16"/>
                <w:szCs w:val="16"/>
              </w:rPr>
              <w:t xml:space="preserve">                                -   </w:t>
            </w:r>
          </w:p>
        </w:tc>
        <w:tc>
          <w:tcPr>
            <w:tcW w:w="1490" w:type="dxa"/>
            <w:tcBorders>
              <w:top w:val="nil"/>
              <w:left w:val="nil"/>
              <w:bottom w:val="nil"/>
              <w:right w:val="nil"/>
            </w:tcBorders>
            <w:shd w:val="clear" w:color="auto" w:fill="auto"/>
            <w:noWrap/>
            <w:vAlign w:val="center"/>
            <w:hideMark/>
          </w:tcPr>
          <w:p w14:paraId="747F262F" w14:textId="77777777" w:rsidR="004133F5" w:rsidRDefault="004133F5" w:rsidP="001B1772">
            <w:pPr>
              <w:jc w:val="right"/>
              <w:rPr>
                <w:rFonts w:ascii="Calibri" w:hAnsi="Calibri" w:cs="Calibri"/>
                <w:color w:val="000000"/>
                <w:sz w:val="16"/>
                <w:szCs w:val="16"/>
              </w:rPr>
            </w:pPr>
            <w:r>
              <w:rPr>
                <w:rFonts w:ascii="Calibri" w:hAnsi="Calibri" w:cs="Calibri"/>
                <w:color w:val="000000"/>
                <w:sz w:val="16"/>
                <w:szCs w:val="16"/>
              </w:rPr>
              <w:t xml:space="preserve">                  9.009.461 </w:t>
            </w:r>
          </w:p>
        </w:tc>
        <w:tc>
          <w:tcPr>
            <w:tcW w:w="743" w:type="dxa"/>
            <w:tcBorders>
              <w:top w:val="nil"/>
              <w:left w:val="nil"/>
              <w:bottom w:val="nil"/>
              <w:right w:val="nil"/>
            </w:tcBorders>
            <w:shd w:val="clear" w:color="auto" w:fill="auto"/>
            <w:noWrap/>
            <w:vAlign w:val="center"/>
            <w:hideMark/>
          </w:tcPr>
          <w:p w14:paraId="4CE8CD4A" w14:textId="77777777" w:rsidR="004133F5" w:rsidRDefault="004133F5">
            <w:pPr>
              <w:jc w:val="right"/>
              <w:rPr>
                <w:rFonts w:ascii="Calibri" w:hAnsi="Calibri" w:cs="Calibri"/>
                <w:color w:val="000000"/>
                <w:sz w:val="16"/>
                <w:szCs w:val="16"/>
              </w:rPr>
            </w:pPr>
            <w:r>
              <w:rPr>
                <w:rFonts w:ascii="Calibri" w:hAnsi="Calibri" w:cs="Calibri"/>
                <w:color w:val="000000"/>
                <w:sz w:val="16"/>
                <w:szCs w:val="16"/>
              </w:rPr>
              <w:t>5 a 30</w:t>
            </w:r>
          </w:p>
        </w:tc>
      </w:tr>
      <w:tr w:rsidR="004133F5" w14:paraId="4968FE47" w14:textId="77777777" w:rsidTr="004133F5">
        <w:trPr>
          <w:trHeight w:val="75"/>
        </w:trPr>
        <w:tc>
          <w:tcPr>
            <w:tcW w:w="3145" w:type="dxa"/>
            <w:tcBorders>
              <w:top w:val="nil"/>
              <w:left w:val="nil"/>
              <w:bottom w:val="nil"/>
              <w:right w:val="nil"/>
            </w:tcBorders>
            <w:shd w:val="clear" w:color="auto" w:fill="auto"/>
            <w:noWrap/>
            <w:vAlign w:val="bottom"/>
            <w:hideMark/>
          </w:tcPr>
          <w:p w14:paraId="340A41FC" w14:textId="77777777" w:rsidR="004133F5" w:rsidRDefault="004133F5">
            <w:pPr>
              <w:jc w:val="right"/>
              <w:rPr>
                <w:rFonts w:ascii="Calibri" w:hAnsi="Calibri" w:cs="Calibri"/>
                <w:color w:val="000000"/>
                <w:sz w:val="16"/>
                <w:szCs w:val="16"/>
              </w:rPr>
            </w:pPr>
          </w:p>
        </w:tc>
        <w:tc>
          <w:tcPr>
            <w:tcW w:w="1418" w:type="dxa"/>
            <w:tcBorders>
              <w:top w:val="nil"/>
              <w:left w:val="nil"/>
              <w:bottom w:val="nil"/>
              <w:right w:val="nil"/>
            </w:tcBorders>
            <w:shd w:val="clear" w:color="auto" w:fill="auto"/>
            <w:noWrap/>
            <w:vAlign w:val="bottom"/>
            <w:hideMark/>
          </w:tcPr>
          <w:p w14:paraId="08923B70" w14:textId="77777777" w:rsidR="004133F5" w:rsidRDefault="004133F5">
            <w:pPr>
              <w:rPr>
                <w:sz w:val="20"/>
                <w:szCs w:val="20"/>
              </w:rPr>
            </w:pPr>
          </w:p>
        </w:tc>
        <w:tc>
          <w:tcPr>
            <w:tcW w:w="1237" w:type="dxa"/>
            <w:tcBorders>
              <w:top w:val="nil"/>
              <w:left w:val="nil"/>
              <w:bottom w:val="nil"/>
              <w:right w:val="nil"/>
            </w:tcBorders>
            <w:shd w:val="clear" w:color="auto" w:fill="auto"/>
            <w:noWrap/>
            <w:vAlign w:val="bottom"/>
            <w:hideMark/>
          </w:tcPr>
          <w:p w14:paraId="6CFEF7D3" w14:textId="77777777" w:rsidR="004133F5" w:rsidRDefault="004133F5">
            <w:pPr>
              <w:rPr>
                <w:sz w:val="20"/>
                <w:szCs w:val="20"/>
              </w:rPr>
            </w:pPr>
          </w:p>
        </w:tc>
        <w:tc>
          <w:tcPr>
            <w:tcW w:w="1128" w:type="dxa"/>
            <w:tcBorders>
              <w:top w:val="nil"/>
              <w:left w:val="nil"/>
              <w:bottom w:val="nil"/>
              <w:right w:val="nil"/>
            </w:tcBorders>
            <w:shd w:val="clear" w:color="auto" w:fill="auto"/>
            <w:noWrap/>
            <w:vAlign w:val="bottom"/>
            <w:hideMark/>
          </w:tcPr>
          <w:p w14:paraId="0C764614" w14:textId="77777777" w:rsidR="004133F5" w:rsidRDefault="004133F5">
            <w:pPr>
              <w:rPr>
                <w:sz w:val="20"/>
                <w:szCs w:val="20"/>
              </w:rPr>
            </w:pPr>
          </w:p>
        </w:tc>
        <w:tc>
          <w:tcPr>
            <w:tcW w:w="1359" w:type="dxa"/>
            <w:tcBorders>
              <w:top w:val="nil"/>
              <w:left w:val="nil"/>
              <w:bottom w:val="nil"/>
              <w:right w:val="nil"/>
            </w:tcBorders>
            <w:shd w:val="clear" w:color="auto" w:fill="auto"/>
            <w:noWrap/>
            <w:vAlign w:val="bottom"/>
            <w:hideMark/>
          </w:tcPr>
          <w:p w14:paraId="306B1A73" w14:textId="77777777" w:rsidR="004133F5" w:rsidRDefault="004133F5">
            <w:pPr>
              <w:rPr>
                <w:sz w:val="20"/>
                <w:szCs w:val="20"/>
              </w:rPr>
            </w:pPr>
          </w:p>
        </w:tc>
        <w:tc>
          <w:tcPr>
            <w:tcW w:w="1490" w:type="dxa"/>
            <w:tcBorders>
              <w:top w:val="nil"/>
              <w:left w:val="nil"/>
              <w:bottom w:val="nil"/>
              <w:right w:val="nil"/>
            </w:tcBorders>
            <w:shd w:val="clear" w:color="auto" w:fill="auto"/>
            <w:noWrap/>
            <w:vAlign w:val="bottom"/>
            <w:hideMark/>
          </w:tcPr>
          <w:p w14:paraId="17E27590" w14:textId="77777777" w:rsidR="004133F5" w:rsidRDefault="004133F5">
            <w:pPr>
              <w:rPr>
                <w:sz w:val="20"/>
                <w:szCs w:val="20"/>
              </w:rPr>
            </w:pPr>
          </w:p>
        </w:tc>
        <w:tc>
          <w:tcPr>
            <w:tcW w:w="743" w:type="dxa"/>
            <w:tcBorders>
              <w:top w:val="nil"/>
              <w:left w:val="nil"/>
              <w:bottom w:val="nil"/>
              <w:right w:val="nil"/>
            </w:tcBorders>
            <w:shd w:val="clear" w:color="auto" w:fill="auto"/>
            <w:noWrap/>
            <w:vAlign w:val="bottom"/>
            <w:hideMark/>
          </w:tcPr>
          <w:p w14:paraId="65C4C93C" w14:textId="77777777" w:rsidR="004133F5" w:rsidRDefault="004133F5">
            <w:pPr>
              <w:rPr>
                <w:sz w:val="20"/>
                <w:szCs w:val="20"/>
              </w:rPr>
            </w:pPr>
          </w:p>
        </w:tc>
      </w:tr>
      <w:tr w:rsidR="004133F5" w14:paraId="3FC11A3D" w14:textId="77777777" w:rsidTr="004133F5">
        <w:trPr>
          <w:trHeight w:val="315"/>
        </w:trPr>
        <w:tc>
          <w:tcPr>
            <w:tcW w:w="3145" w:type="dxa"/>
            <w:tcBorders>
              <w:top w:val="single" w:sz="8" w:space="0" w:color="auto"/>
              <w:left w:val="nil"/>
              <w:bottom w:val="single" w:sz="8" w:space="0" w:color="auto"/>
              <w:right w:val="nil"/>
            </w:tcBorders>
            <w:shd w:val="clear" w:color="auto" w:fill="auto"/>
            <w:noWrap/>
            <w:vAlign w:val="center"/>
            <w:hideMark/>
          </w:tcPr>
          <w:p w14:paraId="5BEFD0D1" w14:textId="77777777" w:rsidR="004133F5" w:rsidRDefault="004133F5">
            <w:pPr>
              <w:rPr>
                <w:rFonts w:ascii="Calibri" w:hAnsi="Calibri" w:cs="Calibri"/>
                <w:b/>
                <w:bCs/>
                <w:color w:val="000000"/>
                <w:sz w:val="16"/>
                <w:szCs w:val="16"/>
              </w:rPr>
            </w:pPr>
            <w:r>
              <w:rPr>
                <w:rFonts w:ascii="Calibri" w:hAnsi="Calibri" w:cs="Calibri"/>
                <w:b/>
                <w:bCs/>
                <w:color w:val="000000"/>
                <w:sz w:val="16"/>
                <w:szCs w:val="16"/>
              </w:rPr>
              <w:t>Total Bens Imóveis (2)</w:t>
            </w:r>
          </w:p>
        </w:tc>
        <w:tc>
          <w:tcPr>
            <w:tcW w:w="1418" w:type="dxa"/>
            <w:tcBorders>
              <w:top w:val="single" w:sz="8" w:space="0" w:color="auto"/>
              <w:left w:val="nil"/>
              <w:bottom w:val="single" w:sz="8" w:space="0" w:color="auto"/>
              <w:right w:val="nil"/>
            </w:tcBorders>
            <w:shd w:val="clear" w:color="auto" w:fill="auto"/>
            <w:noWrap/>
            <w:vAlign w:val="center"/>
            <w:hideMark/>
          </w:tcPr>
          <w:p w14:paraId="1A2AD8C4" w14:textId="77777777" w:rsidR="004133F5" w:rsidRDefault="004133F5" w:rsidP="001B1772">
            <w:pPr>
              <w:jc w:val="right"/>
              <w:rPr>
                <w:rFonts w:ascii="Calibri" w:hAnsi="Calibri" w:cs="Calibri"/>
                <w:b/>
                <w:bCs/>
                <w:color w:val="000000"/>
                <w:sz w:val="16"/>
                <w:szCs w:val="16"/>
              </w:rPr>
            </w:pPr>
            <w:r>
              <w:rPr>
                <w:rFonts w:ascii="Calibri" w:hAnsi="Calibri" w:cs="Calibri"/>
                <w:b/>
                <w:bCs/>
                <w:color w:val="000000"/>
                <w:sz w:val="16"/>
                <w:szCs w:val="16"/>
              </w:rPr>
              <w:t xml:space="preserve">   18.756.132.691 </w:t>
            </w:r>
          </w:p>
        </w:tc>
        <w:tc>
          <w:tcPr>
            <w:tcW w:w="1237" w:type="dxa"/>
            <w:tcBorders>
              <w:top w:val="single" w:sz="8" w:space="0" w:color="auto"/>
              <w:left w:val="nil"/>
              <w:bottom w:val="single" w:sz="8" w:space="0" w:color="auto"/>
              <w:right w:val="nil"/>
            </w:tcBorders>
            <w:shd w:val="clear" w:color="auto" w:fill="auto"/>
            <w:noWrap/>
            <w:vAlign w:val="center"/>
            <w:hideMark/>
          </w:tcPr>
          <w:p w14:paraId="78CA8DD3" w14:textId="2A4E4C6D" w:rsidR="004133F5" w:rsidRDefault="004133F5" w:rsidP="001B1772">
            <w:pPr>
              <w:jc w:val="right"/>
              <w:rPr>
                <w:rFonts w:ascii="Calibri" w:hAnsi="Calibri" w:cs="Calibri"/>
                <w:b/>
                <w:bCs/>
                <w:color w:val="000000"/>
                <w:sz w:val="16"/>
                <w:szCs w:val="16"/>
              </w:rPr>
            </w:pPr>
            <w:r>
              <w:rPr>
                <w:rFonts w:ascii="Calibri" w:hAnsi="Calibri" w:cs="Calibri"/>
                <w:b/>
                <w:bCs/>
                <w:color w:val="000000"/>
                <w:sz w:val="16"/>
                <w:szCs w:val="16"/>
              </w:rPr>
              <w:t xml:space="preserve">     </w:t>
            </w:r>
            <w:r w:rsidR="005A6DDC">
              <w:rPr>
                <w:rFonts w:ascii="Calibri" w:hAnsi="Calibri" w:cs="Calibri"/>
                <w:b/>
                <w:bCs/>
                <w:color w:val="000000"/>
                <w:sz w:val="16"/>
                <w:szCs w:val="16"/>
              </w:rPr>
              <w:t>309.903.726</w:t>
            </w:r>
            <w:r>
              <w:rPr>
                <w:rFonts w:ascii="Calibri" w:hAnsi="Calibri" w:cs="Calibri"/>
                <w:b/>
                <w:bCs/>
                <w:color w:val="000000"/>
                <w:sz w:val="16"/>
                <w:szCs w:val="16"/>
              </w:rPr>
              <w:t xml:space="preserve"> </w:t>
            </w:r>
          </w:p>
        </w:tc>
        <w:tc>
          <w:tcPr>
            <w:tcW w:w="1128" w:type="dxa"/>
            <w:tcBorders>
              <w:top w:val="single" w:sz="8" w:space="0" w:color="auto"/>
              <w:left w:val="nil"/>
              <w:bottom w:val="single" w:sz="8" w:space="0" w:color="auto"/>
              <w:right w:val="nil"/>
            </w:tcBorders>
            <w:shd w:val="clear" w:color="auto" w:fill="auto"/>
            <w:noWrap/>
            <w:vAlign w:val="center"/>
            <w:hideMark/>
          </w:tcPr>
          <w:p w14:paraId="0DAFC174" w14:textId="744A9231" w:rsidR="004133F5" w:rsidRDefault="004133F5" w:rsidP="001B1772">
            <w:pPr>
              <w:jc w:val="right"/>
              <w:rPr>
                <w:rFonts w:ascii="Calibri" w:hAnsi="Calibri" w:cs="Calibri"/>
                <w:b/>
                <w:bCs/>
                <w:color w:val="000000"/>
                <w:sz w:val="16"/>
                <w:szCs w:val="16"/>
              </w:rPr>
            </w:pPr>
            <w:r>
              <w:rPr>
                <w:rFonts w:ascii="Calibri" w:hAnsi="Calibri" w:cs="Calibri"/>
                <w:b/>
                <w:bCs/>
                <w:color w:val="000000"/>
                <w:sz w:val="16"/>
                <w:szCs w:val="16"/>
              </w:rPr>
              <w:t xml:space="preserve">         (165.019)</w:t>
            </w:r>
          </w:p>
        </w:tc>
        <w:tc>
          <w:tcPr>
            <w:tcW w:w="1359" w:type="dxa"/>
            <w:tcBorders>
              <w:top w:val="single" w:sz="8" w:space="0" w:color="auto"/>
              <w:left w:val="nil"/>
              <w:bottom w:val="single" w:sz="8" w:space="0" w:color="auto"/>
              <w:right w:val="nil"/>
            </w:tcBorders>
            <w:shd w:val="clear" w:color="auto" w:fill="auto"/>
            <w:noWrap/>
            <w:vAlign w:val="center"/>
            <w:hideMark/>
          </w:tcPr>
          <w:p w14:paraId="2A9D44E7" w14:textId="408FB56B" w:rsidR="004133F5" w:rsidRDefault="004133F5" w:rsidP="001B1772">
            <w:pPr>
              <w:jc w:val="right"/>
              <w:rPr>
                <w:rFonts w:ascii="Calibri" w:hAnsi="Calibri" w:cs="Calibri"/>
                <w:b/>
                <w:bCs/>
                <w:color w:val="000000"/>
                <w:sz w:val="16"/>
                <w:szCs w:val="16"/>
              </w:rPr>
            </w:pPr>
            <w:r>
              <w:rPr>
                <w:rFonts w:ascii="Calibri" w:hAnsi="Calibri" w:cs="Calibri"/>
                <w:b/>
                <w:bCs/>
                <w:color w:val="000000"/>
                <w:sz w:val="16"/>
                <w:szCs w:val="16"/>
              </w:rPr>
              <w:t xml:space="preserve">               (484.735)</w:t>
            </w:r>
          </w:p>
        </w:tc>
        <w:tc>
          <w:tcPr>
            <w:tcW w:w="1490" w:type="dxa"/>
            <w:tcBorders>
              <w:top w:val="single" w:sz="8" w:space="0" w:color="auto"/>
              <w:left w:val="nil"/>
              <w:bottom w:val="single" w:sz="8" w:space="0" w:color="auto"/>
              <w:right w:val="nil"/>
            </w:tcBorders>
            <w:shd w:val="clear" w:color="auto" w:fill="auto"/>
            <w:noWrap/>
            <w:vAlign w:val="center"/>
            <w:hideMark/>
          </w:tcPr>
          <w:p w14:paraId="6E690983" w14:textId="06DD3C47" w:rsidR="004133F5" w:rsidRDefault="004133F5" w:rsidP="001B1772">
            <w:pPr>
              <w:jc w:val="right"/>
              <w:rPr>
                <w:rFonts w:ascii="Calibri" w:hAnsi="Calibri" w:cs="Calibri"/>
                <w:b/>
                <w:bCs/>
                <w:color w:val="000000"/>
                <w:sz w:val="16"/>
                <w:szCs w:val="16"/>
              </w:rPr>
            </w:pPr>
            <w:r>
              <w:rPr>
                <w:rFonts w:ascii="Calibri" w:hAnsi="Calibri" w:cs="Calibri"/>
                <w:b/>
                <w:bCs/>
                <w:color w:val="000000"/>
                <w:sz w:val="16"/>
                <w:szCs w:val="16"/>
              </w:rPr>
              <w:t xml:space="preserve">     19.0</w:t>
            </w:r>
            <w:r w:rsidR="005A6DDC">
              <w:rPr>
                <w:rFonts w:ascii="Calibri" w:hAnsi="Calibri" w:cs="Calibri"/>
                <w:b/>
                <w:bCs/>
                <w:color w:val="000000"/>
                <w:sz w:val="16"/>
                <w:szCs w:val="16"/>
              </w:rPr>
              <w:t>65</w:t>
            </w:r>
            <w:r>
              <w:rPr>
                <w:rFonts w:ascii="Calibri" w:hAnsi="Calibri" w:cs="Calibri"/>
                <w:b/>
                <w:bCs/>
                <w:color w:val="000000"/>
                <w:sz w:val="16"/>
                <w:szCs w:val="16"/>
              </w:rPr>
              <w:t>.</w:t>
            </w:r>
            <w:r w:rsidR="005A6DDC">
              <w:rPr>
                <w:rFonts w:ascii="Calibri" w:hAnsi="Calibri" w:cs="Calibri"/>
                <w:b/>
                <w:bCs/>
                <w:color w:val="000000"/>
                <w:sz w:val="16"/>
                <w:szCs w:val="16"/>
              </w:rPr>
              <w:t>386</w:t>
            </w:r>
            <w:r>
              <w:rPr>
                <w:rFonts w:ascii="Calibri" w:hAnsi="Calibri" w:cs="Calibri"/>
                <w:b/>
                <w:bCs/>
                <w:color w:val="000000"/>
                <w:sz w:val="16"/>
                <w:szCs w:val="16"/>
              </w:rPr>
              <w:t>.</w:t>
            </w:r>
            <w:r w:rsidR="005A6DDC">
              <w:rPr>
                <w:rFonts w:ascii="Calibri" w:hAnsi="Calibri" w:cs="Calibri"/>
                <w:b/>
                <w:bCs/>
                <w:color w:val="000000"/>
                <w:sz w:val="16"/>
                <w:szCs w:val="16"/>
              </w:rPr>
              <w:t>663</w:t>
            </w:r>
            <w:r>
              <w:rPr>
                <w:rFonts w:ascii="Calibri" w:hAnsi="Calibri" w:cs="Calibri"/>
                <w:b/>
                <w:bCs/>
                <w:color w:val="000000"/>
                <w:sz w:val="16"/>
                <w:szCs w:val="16"/>
              </w:rPr>
              <w:t xml:space="preserve"> </w:t>
            </w:r>
          </w:p>
        </w:tc>
        <w:tc>
          <w:tcPr>
            <w:tcW w:w="743" w:type="dxa"/>
            <w:tcBorders>
              <w:top w:val="single" w:sz="8" w:space="0" w:color="auto"/>
              <w:left w:val="nil"/>
              <w:bottom w:val="single" w:sz="8" w:space="0" w:color="auto"/>
              <w:right w:val="nil"/>
            </w:tcBorders>
            <w:shd w:val="clear" w:color="auto" w:fill="auto"/>
            <w:noWrap/>
            <w:vAlign w:val="center"/>
            <w:hideMark/>
          </w:tcPr>
          <w:p w14:paraId="4E9EDE40" w14:textId="77777777" w:rsidR="004133F5" w:rsidRDefault="004133F5">
            <w:pPr>
              <w:jc w:val="right"/>
              <w:rPr>
                <w:rFonts w:ascii="Calibri" w:hAnsi="Calibri" w:cs="Calibri"/>
                <w:b/>
                <w:bCs/>
                <w:color w:val="000000"/>
                <w:sz w:val="16"/>
                <w:szCs w:val="16"/>
              </w:rPr>
            </w:pPr>
            <w:r>
              <w:rPr>
                <w:rFonts w:ascii="Calibri" w:hAnsi="Calibri" w:cs="Calibri"/>
                <w:b/>
                <w:bCs/>
                <w:color w:val="000000"/>
                <w:sz w:val="16"/>
                <w:szCs w:val="16"/>
              </w:rPr>
              <w:t>-</w:t>
            </w:r>
          </w:p>
        </w:tc>
      </w:tr>
      <w:tr w:rsidR="004133F5" w14:paraId="0998A84F" w14:textId="77777777" w:rsidTr="004133F5">
        <w:trPr>
          <w:trHeight w:val="195"/>
        </w:trPr>
        <w:tc>
          <w:tcPr>
            <w:tcW w:w="3145" w:type="dxa"/>
            <w:tcBorders>
              <w:top w:val="nil"/>
              <w:left w:val="nil"/>
              <w:bottom w:val="nil"/>
              <w:right w:val="nil"/>
            </w:tcBorders>
            <w:shd w:val="clear" w:color="auto" w:fill="auto"/>
            <w:noWrap/>
            <w:vAlign w:val="bottom"/>
            <w:hideMark/>
          </w:tcPr>
          <w:p w14:paraId="6E185998" w14:textId="77777777" w:rsidR="004133F5" w:rsidRDefault="004133F5">
            <w:pPr>
              <w:jc w:val="right"/>
              <w:rPr>
                <w:rFonts w:ascii="Calibri" w:hAnsi="Calibri" w:cs="Calibri"/>
                <w:b/>
                <w:bCs/>
                <w:color w:val="000000"/>
                <w:sz w:val="16"/>
                <w:szCs w:val="16"/>
              </w:rPr>
            </w:pPr>
          </w:p>
        </w:tc>
        <w:tc>
          <w:tcPr>
            <w:tcW w:w="1418" w:type="dxa"/>
            <w:tcBorders>
              <w:top w:val="nil"/>
              <w:left w:val="nil"/>
              <w:bottom w:val="nil"/>
              <w:right w:val="nil"/>
            </w:tcBorders>
            <w:shd w:val="clear" w:color="auto" w:fill="auto"/>
            <w:noWrap/>
            <w:vAlign w:val="bottom"/>
            <w:hideMark/>
          </w:tcPr>
          <w:p w14:paraId="37320857" w14:textId="77777777" w:rsidR="004133F5" w:rsidRDefault="004133F5" w:rsidP="001B1772">
            <w:pPr>
              <w:jc w:val="right"/>
              <w:rPr>
                <w:sz w:val="20"/>
                <w:szCs w:val="20"/>
              </w:rPr>
            </w:pPr>
          </w:p>
        </w:tc>
        <w:tc>
          <w:tcPr>
            <w:tcW w:w="1237" w:type="dxa"/>
            <w:tcBorders>
              <w:top w:val="nil"/>
              <w:left w:val="nil"/>
              <w:bottom w:val="nil"/>
              <w:right w:val="nil"/>
            </w:tcBorders>
            <w:shd w:val="clear" w:color="auto" w:fill="auto"/>
            <w:noWrap/>
            <w:vAlign w:val="bottom"/>
            <w:hideMark/>
          </w:tcPr>
          <w:p w14:paraId="1576CFA5" w14:textId="77777777" w:rsidR="004133F5" w:rsidRDefault="004133F5" w:rsidP="001B1772">
            <w:pPr>
              <w:jc w:val="right"/>
              <w:rPr>
                <w:sz w:val="20"/>
                <w:szCs w:val="20"/>
              </w:rPr>
            </w:pPr>
          </w:p>
        </w:tc>
        <w:tc>
          <w:tcPr>
            <w:tcW w:w="1128" w:type="dxa"/>
            <w:tcBorders>
              <w:top w:val="nil"/>
              <w:left w:val="nil"/>
              <w:bottom w:val="nil"/>
              <w:right w:val="nil"/>
            </w:tcBorders>
            <w:shd w:val="clear" w:color="auto" w:fill="auto"/>
            <w:noWrap/>
            <w:vAlign w:val="bottom"/>
            <w:hideMark/>
          </w:tcPr>
          <w:p w14:paraId="0A089ED9" w14:textId="77777777" w:rsidR="004133F5" w:rsidRDefault="004133F5" w:rsidP="001B1772">
            <w:pPr>
              <w:jc w:val="right"/>
              <w:rPr>
                <w:sz w:val="20"/>
                <w:szCs w:val="20"/>
              </w:rPr>
            </w:pPr>
          </w:p>
        </w:tc>
        <w:tc>
          <w:tcPr>
            <w:tcW w:w="1359" w:type="dxa"/>
            <w:tcBorders>
              <w:top w:val="nil"/>
              <w:left w:val="nil"/>
              <w:bottom w:val="nil"/>
              <w:right w:val="nil"/>
            </w:tcBorders>
            <w:shd w:val="clear" w:color="auto" w:fill="auto"/>
            <w:noWrap/>
            <w:vAlign w:val="bottom"/>
            <w:hideMark/>
          </w:tcPr>
          <w:p w14:paraId="07C29D43" w14:textId="77777777" w:rsidR="004133F5" w:rsidRDefault="004133F5" w:rsidP="001B1772">
            <w:pPr>
              <w:jc w:val="right"/>
              <w:rPr>
                <w:sz w:val="20"/>
                <w:szCs w:val="20"/>
              </w:rPr>
            </w:pPr>
          </w:p>
        </w:tc>
        <w:tc>
          <w:tcPr>
            <w:tcW w:w="1490" w:type="dxa"/>
            <w:tcBorders>
              <w:top w:val="nil"/>
              <w:left w:val="nil"/>
              <w:bottom w:val="nil"/>
              <w:right w:val="nil"/>
            </w:tcBorders>
            <w:shd w:val="clear" w:color="auto" w:fill="auto"/>
            <w:noWrap/>
            <w:vAlign w:val="bottom"/>
            <w:hideMark/>
          </w:tcPr>
          <w:p w14:paraId="5017D02E" w14:textId="77777777" w:rsidR="004133F5" w:rsidRDefault="004133F5" w:rsidP="001B1772">
            <w:pPr>
              <w:jc w:val="right"/>
              <w:rPr>
                <w:sz w:val="20"/>
                <w:szCs w:val="20"/>
              </w:rPr>
            </w:pPr>
          </w:p>
        </w:tc>
        <w:tc>
          <w:tcPr>
            <w:tcW w:w="743" w:type="dxa"/>
            <w:tcBorders>
              <w:top w:val="nil"/>
              <w:left w:val="nil"/>
              <w:bottom w:val="nil"/>
              <w:right w:val="nil"/>
            </w:tcBorders>
            <w:shd w:val="clear" w:color="auto" w:fill="auto"/>
            <w:noWrap/>
            <w:vAlign w:val="bottom"/>
            <w:hideMark/>
          </w:tcPr>
          <w:p w14:paraId="3C9A616F" w14:textId="77777777" w:rsidR="004133F5" w:rsidRDefault="004133F5">
            <w:pPr>
              <w:rPr>
                <w:sz w:val="20"/>
                <w:szCs w:val="20"/>
              </w:rPr>
            </w:pPr>
          </w:p>
        </w:tc>
      </w:tr>
      <w:tr w:rsidR="004133F5" w14:paraId="5F46AF53" w14:textId="77777777" w:rsidTr="004133F5">
        <w:trPr>
          <w:trHeight w:val="450"/>
        </w:trPr>
        <w:tc>
          <w:tcPr>
            <w:tcW w:w="3145" w:type="dxa"/>
            <w:tcBorders>
              <w:top w:val="nil"/>
              <w:left w:val="nil"/>
              <w:bottom w:val="single" w:sz="8" w:space="0" w:color="auto"/>
              <w:right w:val="nil"/>
            </w:tcBorders>
            <w:shd w:val="clear" w:color="auto" w:fill="auto"/>
            <w:vAlign w:val="center"/>
            <w:hideMark/>
          </w:tcPr>
          <w:p w14:paraId="407D8F07" w14:textId="77777777" w:rsidR="004133F5" w:rsidRDefault="004133F5">
            <w:pPr>
              <w:rPr>
                <w:rFonts w:ascii="Calibri" w:hAnsi="Calibri" w:cs="Calibri"/>
                <w:b/>
                <w:bCs/>
                <w:color w:val="000000"/>
                <w:sz w:val="16"/>
                <w:szCs w:val="16"/>
              </w:rPr>
            </w:pPr>
            <w:r>
              <w:rPr>
                <w:rFonts w:ascii="Calibri" w:hAnsi="Calibri" w:cs="Calibri"/>
                <w:b/>
                <w:bCs/>
                <w:color w:val="000000"/>
                <w:sz w:val="16"/>
                <w:szCs w:val="16"/>
              </w:rPr>
              <w:t>DIREITO DE USO</w:t>
            </w:r>
          </w:p>
        </w:tc>
        <w:tc>
          <w:tcPr>
            <w:tcW w:w="1418" w:type="dxa"/>
            <w:tcBorders>
              <w:top w:val="nil"/>
              <w:left w:val="nil"/>
              <w:bottom w:val="single" w:sz="8" w:space="0" w:color="auto"/>
              <w:right w:val="nil"/>
            </w:tcBorders>
            <w:shd w:val="clear" w:color="auto" w:fill="auto"/>
            <w:vAlign w:val="center"/>
            <w:hideMark/>
          </w:tcPr>
          <w:p w14:paraId="2BE4DF74" w14:textId="77777777" w:rsidR="004133F5" w:rsidRDefault="004133F5" w:rsidP="001B1772">
            <w:pPr>
              <w:jc w:val="right"/>
              <w:rPr>
                <w:rFonts w:ascii="Calibri" w:hAnsi="Calibri" w:cs="Calibri"/>
                <w:b/>
                <w:bCs/>
                <w:color w:val="000000"/>
                <w:sz w:val="16"/>
                <w:szCs w:val="16"/>
              </w:rPr>
            </w:pPr>
            <w:r>
              <w:rPr>
                <w:rFonts w:ascii="Calibri" w:hAnsi="Calibri" w:cs="Calibri"/>
                <w:b/>
                <w:bCs/>
                <w:color w:val="000000"/>
                <w:sz w:val="16"/>
                <w:szCs w:val="16"/>
              </w:rPr>
              <w:t>SALDO EM 31/12/2021</w:t>
            </w:r>
          </w:p>
        </w:tc>
        <w:tc>
          <w:tcPr>
            <w:tcW w:w="1237" w:type="dxa"/>
            <w:tcBorders>
              <w:top w:val="nil"/>
              <w:left w:val="nil"/>
              <w:bottom w:val="single" w:sz="8" w:space="0" w:color="auto"/>
              <w:right w:val="nil"/>
            </w:tcBorders>
            <w:shd w:val="clear" w:color="auto" w:fill="auto"/>
            <w:vAlign w:val="center"/>
            <w:hideMark/>
          </w:tcPr>
          <w:p w14:paraId="065D2BCD" w14:textId="77777777" w:rsidR="004133F5" w:rsidRDefault="004133F5" w:rsidP="001B1772">
            <w:pPr>
              <w:jc w:val="right"/>
              <w:rPr>
                <w:rFonts w:ascii="Calibri" w:hAnsi="Calibri" w:cs="Calibri"/>
                <w:b/>
                <w:bCs/>
                <w:color w:val="000000"/>
                <w:sz w:val="16"/>
                <w:szCs w:val="16"/>
              </w:rPr>
            </w:pPr>
            <w:r>
              <w:rPr>
                <w:rFonts w:ascii="Calibri" w:hAnsi="Calibri" w:cs="Calibri"/>
                <w:b/>
                <w:bCs/>
                <w:color w:val="000000"/>
                <w:sz w:val="16"/>
                <w:szCs w:val="16"/>
              </w:rPr>
              <w:t>ENTRADAS</w:t>
            </w:r>
          </w:p>
        </w:tc>
        <w:tc>
          <w:tcPr>
            <w:tcW w:w="1128" w:type="dxa"/>
            <w:tcBorders>
              <w:top w:val="nil"/>
              <w:left w:val="nil"/>
              <w:bottom w:val="single" w:sz="8" w:space="0" w:color="auto"/>
              <w:right w:val="nil"/>
            </w:tcBorders>
            <w:shd w:val="clear" w:color="auto" w:fill="auto"/>
            <w:vAlign w:val="center"/>
            <w:hideMark/>
          </w:tcPr>
          <w:p w14:paraId="3F6615F7" w14:textId="77777777" w:rsidR="004133F5" w:rsidRDefault="004133F5" w:rsidP="001B1772">
            <w:pPr>
              <w:jc w:val="right"/>
              <w:rPr>
                <w:rFonts w:ascii="Calibri" w:hAnsi="Calibri" w:cs="Calibri"/>
                <w:b/>
                <w:bCs/>
                <w:color w:val="000000"/>
                <w:sz w:val="16"/>
                <w:szCs w:val="16"/>
              </w:rPr>
            </w:pPr>
            <w:r>
              <w:rPr>
                <w:rFonts w:ascii="Calibri" w:hAnsi="Calibri" w:cs="Calibri"/>
                <w:b/>
                <w:bCs/>
                <w:color w:val="000000"/>
                <w:sz w:val="16"/>
                <w:szCs w:val="16"/>
              </w:rPr>
              <w:t>BAIXAS / PAGAMENTOS</w:t>
            </w:r>
          </w:p>
        </w:tc>
        <w:tc>
          <w:tcPr>
            <w:tcW w:w="1359" w:type="dxa"/>
            <w:tcBorders>
              <w:top w:val="nil"/>
              <w:left w:val="nil"/>
              <w:bottom w:val="single" w:sz="8" w:space="0" w:color="auto"/>
              <w:right w:val="nil"/>
            </w:tcBorders>
            <w:shd w:val="clear" w:color="auto" w:fill="auto"/>
            <w:vAlign w:val="center"/>
            <w:hideMark/>
          </w:tcPr>
          <w:p w14:paraId="4A656AF0" w14:textId="77777777" w:rsidR="004133F5" w:rsidRDefault="004133F5" w:rsidP="001B1772">
            <w:pPr>
              <w:jc w:val="right"/>
              <w:rPr>
                <w:rFonts w:ascii="Calibri" w:hAnsi="Calibri" w:cs="Calibri"/>
                <w:b/>
                <w:bCs/>
                <w:color w:val="000000"/>
                <w:sz w:val="16"/>
                <w:szCs w:val="16"/>
              </w:rPr>
            </w:pPr>
            <w:r>
              <w:rPr>
                <w:rFonts w:ascii="Calibri" w:hAnsi="Calibri" w:cs="Calibri"/>
                <w:b/>
                <w:bCs/>
                <w:color w:val="000000"/>
                <w:sz w:val="16"/>
                <w:szCs w:val="16"/>
              </w:rPr>
              <w:t>AJUSTES/ AJUSTES VP</w:t>
            </w:r>
          </w:p>
        </w:tc>
        <w:tc>
          <w:tcPr>
            <w:tcW w:w="1490" w:type="dxa"/>
            <w:tcBorders>
              <w:top w:val="nil"/>
              <w:left w:val="nil"/>
              <w:bottom w:val="single" w:sz="8" w:space="0" w:color="auto"/>
              <w:right w:val="nil"/>
            </w:tcBorders>
            <w:shd w:val="clear" w:color="auto" w:fill="auto"/>
            <w:vAlign w:val="center"/>
            <w:hideMark/>
          </w:tcPr>
          <w:p w14:paraId="2FC45A98" w14:textId="77777777" w:rsidR="004133F5" w:rsidRDefault="004133F5" w:rsidP="001B1772">
            <w:pPr>
              <w:jc w:val="right"/>
              <w:rPr>
                <w:rFonts w:ascii="Calibri" w:hAnsi="Calibri" w:cs="Calibri"/>
                <w:b/>
                <w:bCs/>
                <w:color w:val="000000"/>
                <w:sz w:val="16"/>
                <w:szCs w:val="16"/>
              </w:rPr>
            </w:pPr>
            <w:r>
              <w:rPr>
                <w:rFonts w:ascii="Calibri" w:hAnsi="Calibri" w:cs="Calibri"/>
                <w:b/>
                <w:bCs/>
                <w:color w:val="000000"/>
                <w:sz w:val="16"/>
                <w:szCs w:val="16"/>
              </w:rPr>
              <w:t>SALDO EM 30/06/2022</w:t>
            </w:r>
          </w:p>
        </w:tc>
        <w:tc>
          <w:tcPr>
            <w:tcW w:w="743" w:type="dxa"/>
            <w:tcBorders>
              <w:top w:val="nil"/>
              <w:left w:val="nil"/>
              <w:bottom w:val="single" w:sz="8" w:space="0" w:color="auto"/>
              <w:right w:val="nil"/>
            </w:tcBorders>
            <w:shd w:val="clear" w:color="auto" w:fill="auto"/>
            <w:vAlign w:val="center"/>
            <w:hideMark/>
          </w:tcPr>
          <w:p w14:paraId="1AD45828" w14:textId="77777777" w:rsidR="004133F5" w:rsidRDefault="004133F5">
            <w:pPr>
              <w:jc w:val="right"/>
              <w:rPr>
                <w:rFonts w:ascii="Calibri" w:hAnsi="Calibri" w:cs="Calibri"/>
                <w:b/>
                <w:bCs/>
                <w:color w:val="000000"/>
                <w:sz w:val="16"/>
                <w:szCs w:val="16"/>
              </w:rPr>
            </w:pPr>
            <w:r>
              <w:rPr>
                <w:rFonts w:ascii="Calibri" w:hAnsi="Calibri" w:cs="Calibri"/>
                <w:b/>
                <w:bCs/>
                <w:color w:val="000000"/>
                <w:sz w:val="16"/>
                <w:szCs w:val="16"/>
              </w:rPr>
              <w:t> </w:t>
            </w:r>
          </w:p>
        </w:tc>
      </w:tr>
      <w:tr w:rsidR="004133F5" w14:paraId="13631B68" w14:textId="77777777" w:rsidTr="004133F5">
        <w:trPr>
          <w:trHeight w:val="300"/>
        </w:trPr>
        <w:tc>
          <w:tcPr>
            <w:tcW w:w="3145" w:type="dxa"/>
            <w:tcBorders>
              <w:top w:val="nil"/>
              <w:left w:val="nil"/>
              <w:bottom w:val="nil"/>
              <w:right w:val="nil"/>
            </w:tcBorders>
            <w:shd w:val="clear" w:color="auto" w:fill="auto"/>
            <w:noWrap/>
            <w:vAlign w:val="center"/>
            <w:hideMark/>
          </w:tcPr>
          <w:p w14:paraId="35C0F738" w14:textId="77777777" w:rsidR="004133F5" w:rsidRDefault="004133F5">
            <w:pPr>
              <w:rPr>
                <w:rFonts w:ascii="Calibri" w:hAnsi="Calibri" w:cs="Calibri"/>
                <w:color w:val="000000"/>
                <w:sz w:val="16"/>
                <w:szCs w:val="16"/>
              </w:rPr>
            </w:pPr>
            <w:r>
              <w:rPr>
                <w:rFonts w:ascii="Calibri" w:hAnsi="Calibri" w:cs="Calibri"/>
                <w:color w:val="000000"/>
                <w:sz w:val="16"/>
                <w:szCs w:val="16"/>
              </w:rPr>
              <w:t xml:space="preserve">    Direito de Uso de Veículos</w:t>
            </w:r>
          </w:p>
        </w:tc>
        <w:tc>
          <w:tcPr>
            <w:tcW w:w="1418" w:type="dxa"/>
            <w:tcBorders>
              <w:top w:val="nil"/>
              <w:left w:val="nil"/>
              <w:bottom w:val="nil"/>
              <w:right w:val="nil"/>
            </w:tcBorders>
            <w:shd w:val="clear" w:color="auto" w:fill="auto"/>
            <w:noWrap/>
            <w:vAlign w:val="center"/>
            <w:hideMark/>
          </w:tcPr>
          <w:p w14:paraId="46D8E0AE" w14:textId="77777777" w:rsidR="004133F5" w:rsidRDefault="004133F5" w:rsidP="001B1772">
            <w:pPr>
              <w:jc w:val="right"/>
              <w:rPr>
                <w:rFonts w:ascii="Calibri" w:hAnsi="Calibri" w:cs="Calibri"/>
                <w:color w:val="000000"/>
                <w:sz w:val="16"/>
                <w:szCs w:val="16"/>
              </w:rPr>
            </w:pPr>
            <w:r>
              <w:rPr>
                <w:rFonts w:ascii="Calibri" w:hAnsi="Calibri" w:cs="Calibri"/>
                <w:color w:val="000000"/>
                <w:sz w:val="16"/>
                <w:szCs w:val="16"/>
              </w:rPr>
              <w:t xml:space="preserve">                 2.700.800 </w:t>
            </w:r>
          </w:p>
        </w:tc>
        <w:tc>
          <w:tcPr>
            <w:tcW w:w="1237" w:type="dxa"/>
            <w:tcBorders>
              <w:top w:val="nil"/>
              <w:left w:val="nil"/>
              <w:bottom w:val="nil"/>
              <w:right w:val="nil"/>
            </w:tcBorders>
            <w:shd w:val="clear" w:color="auto" w:fill="auto"/>
            <w:noWrap/>
            <w:vAlign w:val="center"/>
            <w:hideMark/>
          </w:tcPr>
          <w:p w14:paraId="09305C0A" w14:textId="77777777" w:rsidR="004133F5" w:rsidRDefault="004133F5" w:rsidP="001B1772">
            <w:pPr>
              <w:jc w:val="right"/>
              <w:rPr>
                <w:rFonts w:ascii="Calibri" w:hAnsi="Calibri" w:cs="Calibri"/>
                <w:color w:val="000000"/>
                <w:sz w:val="16"/>
                <w:szCs w:val="16"/>
              </w:rPr>
            </w:pPr>
            <w:r>
              <w:rPr>
                <w:rFonts w:ascii="Calibri" w:hAnsi="Calibri" w:cs="Calibri"/>
                <w:color w:val="000000"/>
                <w:sz w:val="16"/>
                <w:szCs w:val="16"/>
              </w:rPr>
              <w:t xml:space="preserve">           2.387.514 </w:t>
            </w:r>
          </w:p>
        </w:tc>
        <w:tc>
          <w:tcPr>
            <w:tcW w:w="1128" w:type="dxa"/>
            <w:tcBorders>
              <w:top w:val="nil"/>
              <w:left w:val="nil"/>
              <w:bottom w:val="nil"/>
              <w:right w:val="nil"/>
            </w:tcBorders>
            <w:shd w:val="clear" w:color="auto" w:fill="auto"/>
            <w:noWrap/>
            <w:vAlign w:val="center"/>
            <w:hideMark/>
          </w:tcPr>
          <w:p w14:paraId="1F47A388" w14:textId="7C6803A9" w:rsidR="004133F5" w:rsidRDefault="004133F5" w:rsidP="001B1772">
            <w:pPr>
              <w:jc w:val="right"/>
              <w:rPr>
                <w:rFonts w:ascii="Calibri" w:hAnsi="Calibri" w:cs="Calibri"/>
                <w:color w:val="000000"/>
                <w:sz w:val="16"/>
                <w:szCs w:val="16"/>
              </w:rPr>
            </w:pPr>
            <w:r>
              <w:rPr>
                <w:rFonts w:ascii="Calibri" w:hAnsi="Calibri" w:cs="Calibri"/>
                <w:color w:val="000000"/>
                <w:sz w:val="16"/>
                <w:szCs w:val="16"/>
              </w:rPr>
              <w:t xml:space="preserve">      (2.700.800)</w:t>
            </w:r>
          </w:p>
        </w:tc>
        <w:tc>
          <w:tcPr>
            <w:tcW w:w="1359" w:type="dxa"/>
            <w:tcBorders>
              <w:top w:val="nil"/>
              <w:left w:val="nil"/>
              <w:bottom w:val="nil"/>
              <w:right w:val="nil"/>
            </w:tcBorders>
            <w:shd w:val="clear" w:color="auto" w:fill="auto"/>
            <w:noWrap/>
            <w:vAlign w:val="center"/>
            <w:hideMark/>
          </w:tcPr>
          <w:p w14:paraId="1A595F37" w14:textId="77777777" w:rsidR="004133F5" w:rsidRDefault="004133F5" w:rsidP="001B1772">
            <w:pPr>
              <w:jc w:val="right"/>
              <w:rPr>
                <w:rFonts w:ascii="Calibri" w:hAnsi="Calibri" w:cs="Calibri"/>
                <w:color w:val="000000"/>
                <w:sz w:val="16"/>
                <w:szCs w:val="16"/>
              </w:rPr>
            </w:pPr>
            <w:r>
              <w:rPr>
                <w:rFonts w:ascii="Calibri" w:hAnsi="Calibri" w:cs="Calibri"/>
                <w:color w:val="000000"/>
                <w:sz w:val="16"/>
                <w:szCs w:val="16"/>
              </w:rPr>
              <w:t xml:space="preserve">             (2.387.514)</w:t>
            </w:r>
          </w:p>
        </w:tc>
        <w:tc>
          <w:tcPr>
            <w:tcW w:w="1490" w:type="dxa"/>
            <w:tcBorders>
              <w:top w:val="nil"/>
              <w:left w:val="nil"/>
              <w:bottom w:val="nil"/>
              <w:right w:val="nil"/>
            </w:tcBorders>
            <w:shd w:val="clear" w:color="auto" w:fill="auto"/>
            <w:noWrap/>
            <w:vAlign w:val="center"/>
            <w:hideMark/>
          </w:tcPr>
          <w:p w14:paraId="71A68D68" w14:textId="0DABEE76" w:rsidR="004133F5" w:rsidRDefault="004133F5" w:rsidP="001B1772">
            <w:pPr>
              <w:jc w:val="right"/>
              <w:rPr>
                <w:rFonts w:ascii="Calibri" w:hAnsi="Calibri" w:cs="Calibri"/>
                <w:color w:val="000000"/>
                <w:sz w:val="16"/>
                <w:szCs w:val="16"/>
              </w:rPr>
            </w:pPr>
            <w:r>
              <w:rPr>
                <w:rFonts w:ascii="Calibri" w:hAnsi="Calibri" w:cs="Calibri"/>
                <w:color w:val="000000"/>
                <w:sz w:val="16"/>
                <w:szCs w:val="16"/>
              </w:rPr>
              <w:t xml:space="preserve">                                   -   </w:t>
            </w:r>
          </w:p>
        </w:tc>
        <w:tc>
          <w:tcPr>
            <w:tcW w:w="743" w:type="dxa"/>
            <w:tcBorders>
              <w:top w:val="nil"/>
              <w:left w:val="nil"/>
              <w:bottom w:val="nil"/>
              <w:right w:val="nil"/>
            </w:tcBorders>
            <w:shd w:val="clear" w:color="auto" w:fill="auto"/>
            <w:noWrap/>
            <w:vAlign w:val="center"/>
            <w:hideMark/>
          </w:tcPr>
          <w:p w14:paraId="1D8BB31D" w14:textId="77777777" w:rsidR="004133F5" w:rsidRDefault="004133F5">
            <w:pPr>
              <w:jc w:val="right"/>
              <w:rPr>
                <w:rFonts w:ascii="Calibri" w:hAnsi="Calibri" w:cs="Calibri"/>
                <w:b/>
                <w:bCs/>
                <w:color w:val="000000"/>
                <w:sz w:val="16"/>
                <w:szCs w:val="16"/>
              </w:rPr>
            </w:pPr>
            <w:r>
              <w:rPr>
                <w:rFonts w:ascii="Calibri" w:hAnsi="Calibri" w:cs="Calibri"/>
                <w:b/>
                <w:bCs/>
                <w:color w:val="000000"/>
                <w:sz w:val="16"/>
                <w:szCs w:val="16"/>
              </w:rPr>
              <w:t>-</w:t>
            </w:r>
          </w:p>
        </w:tc>
      </w:tr>
      <w:tr w:rsidR="004133F5" w14:paraId="5916AA8A" w14:textId="77777777" w:rsidTr="004133F5">
        <w:trPr>
          <w:trHeight w:val="300"/>
        </w:trPr>
        <w:tc>
          <w:tcPr>
            <w:tcW w:w="3145" w:type="dxa"/>
            <w:tcBorders>
              <w:top w:val="nil"/>
              <w:left w:val="nil"/>
              <w:bottom w:val="nil"/>
              <w:right w:val="nil"/>
            </w:tcBorders>
            <w:shd w:val="clear" w:color="auto" w:fill="auto"/>
            <w:noWrap/>
            <w:vAlign w:val="center"/>
            <w:hideMark/>
          </w:tcPr>
          <w:p w14:paraId="5C1F1D47" w14:textId="77777777" w:rsidR="004133F5" w:rsidRDefault="004133F5">
            <w:pPr>
              <w:rPr>
                <w:rFonts w:ascii="Calibri" w:hAnsi="Calibri" w:cs="Calibri"/>
                <w:color w:val="000000"/>
                <w:sz w:val="16"/>
                <w:szCs w:val="16"/>
              </w:rPr>
            </w:pPr>
            <w:r>
              <w:rPr>
                <w:rFonts w:ascii="Calibri" w:hAnsi="Calibri" w:cs="Calibri"/>
                <w:color w:val="000000"/>
                <w:sz w:val="16"/>
                <w:szCs w:val="16"/>
              </w:rPr>
              <w:t xml:space="preserve">    Direito de Uso de Imóveis</w:t>
            </w:r>
          </w:p>
        </w:tc>
        <w:tc>
          <w:tcPr>
            <w:tcW w:w="1418" w:type="dxa"/>
            <w:tcBorders>
              <w:top w:val="nil"/>
              <w:left w:val="nil"/>
              <w:bottom w:val="nil"/>
              <w:right w:val="nil"/>
            </w:tcBorders>
            <w:shd w:val="clear" w:color="auto" w:fill="auto"/>
            <w:noWrap/>
            <w:vAlign w:val="center"/>
            <w:hideMark/>
          </w:tcPr>
          <w:p w14:paraId="30B304FC" w14:textId="77777777" w:rsidR="004133F5" w:rsidRDefault="004133F5" w:rsidP="001B1772">
            <w:pPr>
              <w:jc w:val="right"/>
              <w:rPr>
                <w:rFonts w:ascii="Calibri" w:hAnsi="Calibri" w:cs="Calibri"/>
                <w:color w:val="000000"/>
                <w:sz w:val="16"/>
                <w:szCs w:val="16"/>
              </w:rPr>
            </w:pPr>
            <w:r>
              <w:rPr>
                <w:rFonts w:ascii="Calibri" w:hAnsi="Calibri" w:cs="Calibri"/>
                <w:color w:val="000000"/>
                <w:sz w:val="16"/>
                <w:szCs w:val="16"/>
              </w:rPr>
              <w:t xml:space="preserve">              54.506.527 </w:t>
            </w:r>
          </w:p>
        </w:tc>
        <w:tc>
          <w:tcPr>
            <w:tcW w:w="1237" w:type="dxa"/>
            <w:tcBorders>
              <w:top w:val="nil"/>
              <w:left w:val="nil"/>
              <w:bottom w:val="nil"/>
              <w:right w:val="nil"/>
            </w:tcBorders>
            <w:shd w:val="clear" w:color="auto" w:fill="auto"/>
            <w:noWrap/>
            <w:vAlign w:val="center"/>
            <w:hideMark/>
          </w:tcPr>
          <w:p w14:paraId="5ED3095E" w14:textId="3BF9E236" w:rsidR="004133F5" w:rsidRDefault="004133F5" w:rsidP="001B1772">
            <w:pPr>
              <w:jc w:val="right"/>
              <w:rPr>
                <w:rFonts w:ascii="Calibri" w:hAnsi="Calibri" w:cs="Calibri"/>
                <w:color w:val="000000"/>
                <w:sz w:val="16"/>
                <w:szCs w:val="16"/>
              </w:rPr>
            </w:pPr>
            <w:r>
              <w:rPr>
                <w:rFonts w:ascii="Calibri" w:hAnsi="Calibri" w:cs="Calibri"/>
                <w:color w:val="000000"/>
                <w:sz w:val="16"/>
                <w:szCs w:val="16"/>
              </w:rPr>
              <w:t xml:space="preserve">                            -   </w:t>
            </w:r>
          </w:p>
        </w:tc>
        <w:tc>
          <w:tcPr>
            <w:tcW w:w="1128" w:type="dxa"/>
            <w:tcBorders>
              <w:top w:val="nil"/>
              <w:left w:val="nil"/>
              <w:bottom w:val="nil"/>
              <w:right w:val="nil"/>
            </w:tcBorders>
            <w:shd w:val="clear" w:color="auto" w:fill="auto"/>
            <w:noWrap/>
            <w:vAlign w:val="center"/>
            <w:hideMark/>
          </w:tcPr>
          <w:p w14:paraId="611B4279" w14:textId="3D6166A0" w:rsidR="004133F5" w:rsidRDefault="004133F5" w:rsidP="001B1772">
            <w:pPr>
              <w:jc w:val="right"/>
              <w:rPr>
                <w:rFonts w:ascii="Calibri" w:hAnsi="Calibri" w:cs="Calibri"/>
                <w:color w:val="000000"/>
                <w:sz w:val="16"/>
                <w:szCs w:val="16"/>
              </w:rPr>
            </w:pPr>
            <w:r>
              <w:rPr>
                <w:rFonts w:ascii="Calibri" w:hAnsi="Calibri" w:cs="Calibri"/>
                <w:color w:val="000000"/>
                <w:sz w:val="16"/>
                <w:szCs w:val="16"/>
              </w:rPr>
              <w:t xml:space="preserve">      (1.392.299)</w:t>
            </w:r>
          </w:p>
        </w:tc>
        <w:tc>
          <w:tcPr>
            <w:tcW w:w="1359" w:type="dxa"/>
            <w:tcBorders>
              <w:top w:val="nil"/>
              <w:left w:val="nil"/>
              <w:bottom w:val="nil"/>
              <w:right w:val="nil"/>
            </w:tcBorders>
            <w:shd w:val="clear" w:color="auto" w:fill="auto"/>
            <w:noWrap/>
            <w:vAlign w:val="center"/>
            <w:hideMark/>
          </w:tcPr>
          <w:p w14:paraId="6DD2084D" w14:textId="77777777" w:rsidR="004133F5" w:rsidRDefault="004133F5" w:rsidP="001B1772">
            <w:pPr>
              <w:jc w:val="right"/>
              <w:rPr>
                <w:rFonts w:ascii="Calibri" w:hAnsi="Calibri" w:cs="Calibri"/>
                <w:color w:val="000000"/>
                <w:sz w:val="16"/>
                <w:szCs w:val="16"/>
              </w:rPr>
            </w:pPr>
            <w:r>
              <w:rPr>
                <w:rFonts w:ascii="Calibri" w:hAnsi="Calibri" w:cs="Calibri"/>
                <w:color w:val="000000"/>
                <w:sz w:val="16"/>
                <w:szCs w:val="16"/>
              </w:rPr>
              <w:t xml:space="preserve">          (39.158.621)</w:t>
            </w:r>
          </w:p>
        </w:tc>
        <w:tc>
          <w:tcPr>
            <w:tcW w:w="1490" w:type="dxa"/>
            <w:tcBorders>
              <w:top w:val="nil"/>
              <w:left w:val="nil"/>
              <w:bottom w:val="nil"/>
              <w:right w:val="nil"/>
            </w:tcBorders>
            <w:shd w:val="clear" w:color="auto" w:fill="auto"/>
            <w:noWrap/>
            <w:vAlign w:val="center"/>
            <w:hideMark/>
          </w:tcPr>
          <w:p w14:paraId="2D9564D7" w14:textId="77777777" w:rsidR="004133F5" w:rsidRDefault="004133F5" w:rsidP="001B1772">
            <w:pPr>
              <w:jc w:val="right"/>
              <w:rPr>
                <w:rFonts w:ascii="Calibri" w:hAnsi="Calibri" w:cs="Calibri"/>
                <w:color w:val="000000"/>
                <w:sz w:val="16"/>
                <w:szCs w:val="16"/>
              </w:rPr>
            </w:pPr>
            <w:r>
              <w:rPr>
                <w:rFonts w:ascii="Calibri" w:hAnsi="Calibri" w:cs="Calibri"/>
                <w:color w:val="000000"/>
                <w:sz w:val="16"/>
                <w:szCs w:val="16"/>
              </w:rPr>
              <w:t xml:space="preserve">               13.955.607 </w:t>
            </w:r>
          </w:p>
        </w:tc>
        <w:tc>
          <w:tcPr>
            <w:tcW w:w="743" w:type="dxa"/>
            <w:tcBorders>
              <w:top w:val="nil"/>
              <w:left w:val="nil"/>
              <w:bottom w:val="nil"/>
              <w:right w:val="nil"/>
            </w:tcBorders>
            <w:shd w:val="clear" w:color="auto" w:fill="auto"/>
            <w:noWrap/>
            <w:vAlign w:val="center"/>
            <w:hideMark/>
          </w:tcPr>
          <w:p w14:paraId="574A511D" w14:textId="77777777" w:rsidR="004133F5" w:rsidRDefault="004133F5">
            <w:pPr>
              <w:jc w:val="right"/>
              <w:rPr>
                <w:rFonts w:ascii="Calibri" w:hAnsi="Calibri" w:cs="Calibri"/>
                <w:color w:val="000000"/>
                <w:sz w:val="16"/>
                <w:szCs w:val="16"/>
              </w:rPr>
            </w:pPr>
            <w:r>
              <w:rPr>
                <w:rFonts w:ascii="Calibri" w:hAnsi="Calibri" w:cs="Calibri"/>
                <w:color w:val="000000"/>
                <w:sz w:val="16"/>
                <w:szCs w:val="16"/>
              </w:rPr>
              <w:t>10</w:t>
            </w:r>
          </w:p>
        </w:tc>
      </w:tr>
      <w:tr w:rsidR="004133F5" w14:paraId="48D0970B" w14:textId="77777777" w:rsidTr="004133F5">
        <w:trPr>
          <w:trHeight w:val="315"/>
        </w:trPr>
        <w:tc>
          <w:tcPr>
            <w:tcW w:w="3145" w:type="dxa"/>
            <w:tcBorders>
              <w:top w:val="single" w:sz="8" w:space="0" w:color="auto"/>
              <w:left w:val="nil"/>
              <w:bottom w:val="single" w:sz="8" w:space="0" w:color="auto"/>
              <w:right w:val="nil"/>
            </w:tcBorders>
            <w:shd w:val="clear" w:color="auto" w:fill="auto"/>
            <w:noWrap/>
            <w:vAlign w:val="center"/>
            <w:hideMark/>
          </w:tcPr>
          <w:p w14:paraId="55994447" w14:textId="77777777" w:rsidR="004133F5" w:rsidRDefault="004133F5">
            <w:pPr>
              <w:rPr>
                <w:rFonts w:ascii="Calibri" w:hAnsi="Calibri" w:cs="Calibri"/>
                <w:b/>
                <w:bCs/>
                <w:color w:val="000000"/>
                <w:sz w:val="16"/>
                <w:szCs w:val="16"/>
              </w:rPr>
            </w:pPr>
            <w:r>
              <w:rPr>
                <w:rFonts w:ascii="Calibri" w:hAnsi="Calibri" w:cs="Calibri"/>
                <w:b/>
                <w:bCs/>
                <w:color w:val="000000"/>
                <w:sz w:val="16"/>
                <w:szCs w:val="16"/>
              </w:rPr>
              <w:t>Total Direito de Uso (3)</w:t>
            </w:r>
          </w:p>
        </w:tc>
        <w:tc>
          <w:tcPr>
            <w:tcW w:w="1418" w:type="dxa"/>
            <w:tcBorders>
              <w:top w:val="single" w:sz="8" w:space="0" w:color="auto"/>
              <w:left w:val="nil"/>
              <w:bottom w:val="single" w:sz="8" w:space="0" w:color="auto"/>
              <w:right w:val="nil"/>
            </w:tcBorders>
            <w:shd w:val="clear" w:color="auto" w:fill="auto"/>
            <w:noWrap/>
            <w:vAlign w:val="center"/>
            <w:hideMark/>
          </w:tcPr>
          <w:p w14:paraId="73DD30F4" w14:textId="77777777" w:rsidR="004133F5" w:rsidRDefault="004133F5" w:rsidP="001B1772">
            <w:pPr>
              <w:jc w:val="right"/>
              <w:rPr>
                <w:rFonts w:ascii="Calibri" w:hAnsi="Calibri" w:cs="Calibri"/>
                <w:b/>
                <w:bCs/>
                <w:color w:val="000000"/>
                <w:sz w:val="16"/>
                <w:szCs w:val="16"/>
              </w:rPr>
            </w:pPr>
            <w:r>
              <w:rPr>
                <w:rFonts w:ascii="Calibri" w:hAnsi="Calibri" w:cs="Calibri"/>
                <w:b/>
                <w:bCs/>
                <w:color w:val="000000"/>
                <w:sz w:val="16"/>
                <w:szCs w:val="16"/>
              </w:rPr>
              <w:t xml:space="preserve">              57.207.327 </w:t>
            </w:r>
          </w:p>
        </w:tc>
        <w:tc>
          <w:tcPr>
            <w:tcW w:w="1237" w:type="dxa"/>
            <w:tcBorders>
              <w:top w:val="single" w:sz="8" w:space="0" w:color="auto"/>
              <w:left w:val="nil"/>
              <w:bottom w:val="single" w:sz="8" w:space="0" w:color="auto"/>
              <w:right w:val="nil"/>
            </w:tcBorders>
            <w:shd w:val="clear" w:color="auto" w:fill="auto"/>
            <w:noWrap/>
            <w:vAlign w:val="center"/>
            <w:hideMark/>
          </w:tcPr>
          <w:p w14:paraId="07AC06B1" w14:textId="77777777" w:rsidR="004133F5" w:rsidRDefault="004133F5" w:rsidP="001B1772">
            <w:pPr>
              <w:jc w:val="right"/>
              <w:rPr>
                <w:rFonts w:ascii="Calibri" w:hAnsi="Calibri" w:cs="Calibri"/>
                <w:b/>
                <w:bCs/>
                <w:color w:val="000000"/>
                <w:sz w:val="16"/>
                <w:szCs w:val="16"/>
              </w:rPr>
            </w:pPr>
            <w:r>
              <w:rPr>
                <w:rFonts w:ascii="Calibri" w:hAnsi="Calibri" w:cs="Calibri"/>
                <w:b/>
                <w:bCs/>
                <w:color w:val="000000"/>
                <w:sz w:val="16"/>
                <w:szCs w:val="16"/>
              </w:rPr>
              <w:t xml:space="preserve">           2.387.514 </w:t>
            </w:r>
          </w:p>
        </w:tc>
        <w:tc>
          <w:tcPr>
            <w:tcW w:w="1128" w:type="dxa"/>
            <w:tcBorders>
              <w:top w:val="single" w:sz="8" w:space="0" w:color="auto"/>
              <w:left w:val="nil"/>
              <w:bottom w:val="single" w:sz="8" w:space="0" w:color="auto"/>
              <w:right w:val="nil"/>
            </w:tcBorders>
            <w:shd w:val="clear" w:color="auto" w:fill="auto"/>
            <w:noWrap/>
            <w:vAlign w:val="center"/>
            <w:hideMark/>
          </w:tcPr>
          <w:p w14:paraId="6D896620" w14:textId="17E7D559" w:rsidR="004133F5" w:rsidRDefault="004133F5" w:rsidP="001B1772">
            <w:pPr>
              <w:jc w:val="right"/>
              <w:rPr>
                <w:rFonts w:ascii="Calibri" w:hAnsi="Calibri" w:cs="Calibri"/>
                <w:b/>
                <w:bCs/>
                <w:color w:val="000000"/>
                <w:sz w:val="16"/>
                <w:szCs w:val="16"/>
              </w:rPr>
            </w:pPr>
            <w:r>
              <w:rPr>
                <w:rFonts w:ascii="Calibri" w:hAnsi="Calibri" w:cs="Calibri"/>
                <w:b/>
                <w:bCs/>
                <w:color w:val="000000"/>
                <w:sz w:val="16"/>
                <w:szCs w:val="16"/>
              </w:rPr>
              <w:t xml:space="preserve">      (4.093.099)</w:t>
            </w:r>
          </w:p>
        </w:tc>
        <w:tc>
          <w:tcPr>
            <w:tcW w:w="1359" w:type="dxa"/>
            <w:tcBorders>
              <w:top w:val="single" w:sz="8" w:space="0" w:color="auto"/>
              <w:left w:val="nil"/>
              <w:bottom w:val="single" w:sz="8" w:space="0" w:color="auto"/>
              <w:right w:val="nil"/>
            </w:tcBorders>
            <w:shd w:val="clear" w:color="auto" w:fill="auto"/>
            <w:noWrap/>
            <w:vAlign w:val="center"/>
            <w:hideMark/>
          </w:tcPr>
          <w:p w14:paraId="4B1FD1CF" w14:textId="77777777" w:rsidR="004133F5" w:rsidRDefault="004133F5" w:rsidP="001B1772">
            <w:pPr>
              <w:jc w:val="right"/>
              <w:rPr>
                <w:rFonts w:ascii="Calibri" w:hAnsi="Calibri" w:cs="Calibri"/>
                <w:b/>
                <w:bCs/>
                <w:color w:val="000000"/>
                <w:sz w:val="16"/>
                <w:szCs w:val="16"/>
              </w:rPr>
            </w:pPr>
            <w:r>
              <w:rPr>
                <w:rFonts w:ascii="Calibri" w:hAnsi="Calibri" w:cs="Calibri"/>
                <w:b/>
                <w:bCs/>
                <w:color w:val="000000"/>
                <w:sz w:val="16"/>
                <w:szCs w:val="16"/>
              </w:rPr>
              <w:t xml:space="preserve">          (41.546.135)</w:t>
            </w:r>
          </w:p>
        </w:tc>
        <w:tc>
          <w:tcPr>
            <w:tcW w:w="1490" w:type="dxa"/>
            <w:tcBorders>
              <w:top w:val="single" w:sz="8" w:space="0" w:color="auto"/>
              <w:left w:val="nil"/>
              <w:bottom w:val="single" w:sz="8" w:space="0" w:color="auto"/>
              <w:right w:val="nil"/>
            </w:tcBorders>
            <w:shd w:val="clear" w:color="auto" w:fill="auto"/>
            <w:noWrap/>
            <w:vAlign w:val="center"/>
            <w:hideMark/>
          </w:tcPr>
          <w:p w14:paraId="1EC0D987" w14:textId="77777777" w:rsidR="004133F5" w:rsidRDefault="004133F5" w:rsidP="001B1772">
            <w:pPr>
              <w:jc w:val="right"/>
              <w:rPr>
                <w:rFonts w:ascii="Calibri" w:hAnsi="Calibri" w:cs="Calibri"/>
                <w:b/>
                <w:bCs/>
                <w:color w:val="000000"/>
                <w:sz w:val="16"/>
                <w:szCs w:val="16"/>
              </w:rPr>
            </w:pPr>
            <w:r>
              <w:rPr>
                <w:rFonts w:ascii="Calibri" w:hAnsi="Calibri" w:cs="Calibri"/>
                <w:b/>
                <w:bCs/>
                <w:color w:val="000000"/>
                <w:sz w:val="16"/>
                <w:szCs w:val="16"/>
              </w:rPr>
              <w:t xml:space="preserve">               13.955.607 </w:t>
            </w:r>
          </w:p>
        </w:tc>
        <w:tc>
          <w:tcPr>
            <w:tcW w:w="743" w:type="dxa"/>
            <w:tcBorders>
              <w:top w:val="single" w:sz="8" w:space="0" w:color="auto"/>
              <w:left w:val="nil"/>
              <w:bottom w:val="single" w:sz="8" w:space="0" w:color="auto"/>
              <w:right w:val="nil"/>
            </w:tcBorders>
            <w:shd w:val="clear" w:color="auto" w:fill="auto"/>
            <w:noWrap/>
            <w:vAlign w:val="center"/>
            <w:hideMark/>
          </w:tcPr>
          <w:p w14:paraId="6765D606" w14:textId="77777777" w:rsidR="004133F5" w:rsidRDefault="004133F5">
            <w:pPr>
              <w:jc w:val="right"/>
              <w:rPr>
                <w:rFonts w:ascii="Calibri" w:hAnsi="Calibri" w:cs="Calibri"/>
                <w:b/>
                <w:bCs/>
                <w:color w:val="000000"/>
                <w:sz w:val="16"/>
                <w:szCs w:val="16"/>
              </w:rPr>
            </w:pPr>
            <w:r>
              <w:rPr>
                <w:rFonts w:ascii="Calibri" w:hAnsi="Calibri" w:cs="Calibri"/>
                <w:b/>
                <w:bCs/>
                <w:color w:val="000000"/>
                <w:sz w:val="16"/>
                <w:szCs w:val="16"/>
              </w:rPr>
              <w:t> </w:t>
            </w:r>
          </w:p>
        </w:tc>
      </w:tr>
      <w:tr w:rsidR="004133F5" w14:paraId="64B0BCC8" w14:textId="77777777" w:rsidTr="004133F5">
        <w:trPr>
          <w:trHeight w:val="135"/>
        </w:trPr>
        <w:tc>
          <w:tcPr>
            <w:tcW w:w="3145" w:type="dxa"/>
            <w:tcBorders>
              <w:top w:val="nil"/>
              <w:left w:val="nil"/>
              <w:bottom w:val="nil"/>
              <w:right w:val="nil"/>
            </w:tcBorders>
            <w:shd w:val="clear" w:color="auto" w:fill="auto"/>
            <w:noWrap/>
            <w:vAlign w:val="bottom"/>
            <w:hideMark/>
          </w:tcPr>
          <w:p w14:paraId="053F6C4C" w14:textId="77777777" w:rsidR="004133F5" w:rsidRDefault="004133F5">
            <w:pPr>
              <w:jc w:val="right"/>
              <w:rPr>
                <w:rFonts w:ascii="Calibri" w:hAnsi="Calibri" w:cs="Calibri"/>
                <w:b/>
                <w:bCs/>
                <w:color w:val="000000"/>
                <w:sz w:val="16"/>
                <w:szCs w:val="16"/>
              </w:rPr>
            </w:pPr>
          </w:p>
        </w:tc>
        <w:tc>
          <w:tcPr>
            <w:tcW w:w="1418" w:type="dxa"/>
            <w:tcBorders>
              <w:top w:val="nil"/>
              <w:left w:val="nil"/>
              <w:bottom w:val="nil"/>
              <w:right w:val="nil"/>
            </w:tcBorders>
            <w:shd w:val="clear" w:color="auto" w:fill="auto"/>
            <w:noWrap/>
            <w:vAlign w:val="bottom"/>
            <w:hideMark/>
          </w:tcPr>
          <w:p w14:paraId="6D2A5747" w14:textId="77777777" w:rsidR="004133F5" w:rsidRDefault="004133F5" w:rsidP="001B1772">
            <w:pPr>
              <w:jc w:val="right"/>
              <w:rPr>
                <w:sz w:val="20"/>
                <w:szCs w:val="20"/>
              </w:rPr>
            </w:pPr>
          </w:p>
        </w:tc>
        <w:tc>
          <w:tcPr>
            <w:tcW w:w="1237" w:type="dxa"/>
            <w:tcBorders>
              <w:top w:val="nil"/>
              <w:left w:val="nil"/>
              <w:bottom w:val="nil"/>
              <w:right w:val="nil"/>
            </w:tcBorders>
            <w:shd w:val="clear" w:color="auto" w:fill="auto"/>
            <w:noWrap/>
            <w:vAlign w:val="bottom"/>
            <w:hideMark/>
          </w:tcPr>
          <w:p w14:paraId="0C633D6D" w14:textId="77777777" w:rsidR="004133F5" w:rsidRDefault="004133F5" w:rsidP="001B1772">
            <w:pPr>
              <w:jc w:val="right"/>
              <w:rPr>
                <w:sz w:val="20"/>
                <w:szCs w:val="20"/>
              </w:rPr>
            </w:pPr>
          </w:p>
        </w:tc>
        <w:tc>
          <w:tcPr>
            <w:tcW w:w="1128" w:type="dxa"/>
            <w:tcBorders>
              <w:top w:val="nil"/>
              <w:left w:val="nil"/>
              <w:bottom w:val="nil"/>
              <w:right w:val="nil"/>
            </w:tcBorders>
            <w:shd w:val="clear" w:color="auto" w:fill="auto"/>
            <w:noWrap/>
            <w:vAlign w:val="bottom"/>
            <w:hideMark/>
          </w:tcPr>
          <w:p w14:paraId="5638312C" w14:textId="77777777" w:rsidR="004133F5" w:rsidRDefault="004133F5" w:rsidP="001B1772">
            <w:pPr>
              <w:jc w:val="right"/>
              <w:rPr>
                <w:sz w:val="20"/>
                <w:szCs w:val="20"/>
              </w:rPr>
            </w:pPr>
          </w:p>
        </w:tc>
        <w:tc>
          <w:tcPr>
            <w:tcW w:w="1359" w:type="dxa"/>
            <w:tcBorders>
              <w:top w:val="nil"/>
              <w:left w:val="nil"/>
              <w:bottom w:val="nil"/>
              <w:right w:val="nil"/>
            </w:tcBorders>
            <w:shd w:val="clear" w:color="auto" w:fill="auto"/>
            <w:noWrap/>
            <w:vAlign w:val="bottom"/>
            <w:hideMark/>
          </w:tcPr>
          <w:p w14:paraId="44C35620" w14:textId="77777777" w:rsidR="004133F5" w:rsidRDefault="004133F5" w:rsidP="001B1772">
            <w:pPr>
              <w:jc w:val="right"/>
              <w:rPr>
                <w:sz w:val="20"/>
                <w:szCs w:val="20"/>
              </w:rPr>
            </w:pPr>
          </w:p>
        </w:tc>
        <w:tc>
          <w:tcPr>
            <w:tcW w:w="1490" w:type="dxa"/>
            <w:tcBorders>
              <w:top w:val="nil"/>
              <w:left w:val="nil"/>
              <w:bottom w:val="nil"/>
              <w:right w:val="nil"/>
            </w:tcBorders>
            <w:shd w:val="clear" w:color="auto" w:fill="auto"/>
            <w:noWrap/>
            <w:vAlign w:val="bottom"/>
            <w:hideMark/>
          </w:tcPr>
          <w:p w14:paraId="14CBEE1B" w14:textId="77777777" w:rsidR="004133F5" w:rsidRDefault="004133F5" w:rsidP="001B1772">
            <w:pPr>
              <w:jc w:val="right"/>
              <w:rPr>
                <w:sz w:val="20"/>
                <w:szCs w:val="20"/>
              </w:rPr>
            </w:pPr>
          </w:p>
        </w:tc>
        <w:tc>
          <w:tcPr>
            <w:tcW w:w="743" w:type="dxa"/>
            <w:tcBorders>
              <w:top w:val="nil"/>
              <w:left w:val="nil"/>
              <w:bottom w:val="nil"/>
              <w:right w:val="nil"/>
            </w:tcBorders>
            <w:shd w:val="clear" w:color="auto" w:fill="auto"/>
            <w:noWrap/>
            <w:vAlign w:val="bottom"/>
            <w:hideMark/>
          </w:tcPr>
          <w:p w14:paraId="6E7A4B89" w14:textId="77777777" w:rsidR="004133F5" w:rsidRDefault="004133F5">
            <w:pPr>
              <w:rPr>
                <w:sz w:val="20"/>
                <w:szCs w:val="20"/>
              </w:rPr>
            </w:pPr>
          </w:p>
        </w:tc>
      </w:tr>
      <w:tr w:rsidR="004133F5" w14:paraId="272D1D41" w14:textId="77777777" w:rsidTr="004133F5">
        <w:trPr>
          <w:trHeight w:val="315"/>
        </w:trPr>
        <w:tc>
          <w:tcPr>
            <w:tcW w:w="3145" w:type="dxa"/>
            <w:tcBorders>
              <w:top w:val="single" w:sz="8" w:space="0" w:color="auto"/>
              <w:left w:val="nil"/>
              <w:bottom w:val="single" w:sz="8" w:space="0" w:color="auto"/>
              <w:right w:val="nil"/>
            </w:tcBorders>
            <w:shd w:val="clear" w:color="auto" w:fill="auto"/>
            <w:noWrap/>
            <w:vAlign w:val="center"/>
            <w:hideMark/>
          </w:tcPr>
          <w:p w14:paraId="6B4721CA" w14:textId="77777777" w:rsidR="004133F5" w:rsidRDefault="004133F5">
            <w:pPr>
              <w:rPr>
                <w:rFonts w:ascii="Calibri" w:hAnsi="Calibri" w:cs="Calibri"/>
                <w:b/>
                <w:bCs/>
                <w:color w:val="000000"/>
                <w:sz w:val="16"/>
                <w:szCs w:val="16"/>
              </w:rPr>
            </w:pPr>
            <w:r>
              <w:rPr>
                <w:rFonts w:ascii="Calibri" w:hAnsi="Calibri" w:cs="Calibri"/>
                <w:b/>
                <w:bCs/>
                <w:color w:val="000000"/>
                <w:sz w:val="16"/>
                <w:szCs w:val="16"/>
              </w:rPr>
              <w:t>(Redução ao Valor Recuperável - FNS) (4)</w:t>
            </w:r>
          </w:p>
        </w:tc>
        <w:tc>
          <w:tcPr>
            <w:tcW w:w="1418" w:type="dxa"/>
            <w:tcBorders>
              <w:top w:val="single" w:sz="8" w:space="0" w:color="auto"/>
              <w:left w:val="nil"/>
              <w:bottom w:val="single" w:sz="8" w:space="0" w:color="auto"/>
              <w:right w:val="nil"/>
            </w:tcBorders>
            <w:shd w:val="clear" w:color="auto" w:fill="auto"/>
            <w:noWrap/>
            <w:vAlign w:val="center"/>
            <w:hideMark/>
          </w:tcPr>
          <w:p w14:paraId="22E83A1F" w14:textId="77777777" w:rsidR="004133F5" w:rsidRDefault="004133F5" w:rsidP="001B1772">
            <w:pPr>
              <w:jc w:val="right"/>
              <w:rPr>
                <w:rFonts w:ascii="Calibri" w:hAnsi="Calibri" w:cs="Calibri"/>
                <w:b/>
                <w:bCs/>
                <w:color w:val="000000"/>
                <w:sz w:val="16"/>
                <w:szCs w:val="16"/>
              </w:rPr>
            </w:pPr>
            <w:r>
              <w:rPr>
                <w:rFonts w:ascii="Calibri" w:hAnsi="Calibri" w:cs="Calibri"/>
                <w:b/>
                <w:bCs/>
                <w:color w:val="000000"/>
                <w:sz w:val="16"/>
                <w:szCs w:val="16"/>
              </w:rPr>
              <w:t xml:space="preserve"> (11.364.641.405)</w:t>
            </w:r>
          </w:p>
        </w:tc>
        <w:tc>
          <w:tcPr>
            <w:tcW w:w="1237" w:type="dxa"/>
            <w:tcBorders>
              <w:top w:val="single" w:sz="8" w:space="0" w:color="auto"/>
              <w:left w:val="nil"/>
              <w:bottom w:val="single" w:sz="8" w:space="0" w:color="auto"/>
              <w:right w:val="nil"/>
            </w:tcBorders>
            <w:shd w:val="clear" w:color="auto" w:fill="auto"/>
            <w:noWrap/>
            <w:vAlign w:val="center"/>
            <w:hideMark/>
          </w:tcPr>
          <w:p w14:paraId="420A74EE" w14:textId="77777777" w:rsidR="004133F5" w:rsidRDefault="004133F5" w:rsidP="001B1772">
            <w:pPr>
              <w:jc w:val="right"/>
              <w:rPr>
                <w:rFonts w:ascii="Calibri" w:hAnsi="Calibri" w:cs="Calibri"/>
                <w:b/>
                <w:bCs/>
                <w:color w:val="000000"/>
                <w:sz w:val="16"/>
                <w:szCs w:val="16"/>
              </w:rPr>
            </w:pPr>
            <w:r>
              <w:rPr>
                <w:rFonts w:ascii="Calibri" w:hAnsi="Calibri" w:cs="Calibri"/>
                <w:b/>
                <w:bCs/>
                <w:color w:val="000000"/>
                <w:sz w:val="16"/>
                <w:szCs w:val="16"/>
              </w:rPr>
              <w:t xml:space="preserve">                                -   </w:t>
            </w:r>
          </w:p>
        </w:tc>
        <w:tc>
          <w:tcPr>
            <w:tcW w:w="1128" w:type="dxa"/>
            <w:tcBorders>
              <w:top w:val="single" w:sz="8" w:space="0" w:color="auto"/>
              <w:left w:val="nil"/>
              <w:bottom w:val="single" w:sz="8" w:space="0" w:color="auto"/>
              <w:right w:val="nil"/>
            </w:tcBorders>
            <w:shd w:val="clear" w:color="auto" w:fill="auto"/>
            <w:noWrap/>
            <w:vAlign w:val="center"/>
            <w:hideMark/>
          </w:tcPr>
          <w:p w14:paraId="263494BF" w14:textId="77777777" w:rsidR="004133F5" w:rsidRDefault="004133F5" w:rsidP="001B1772">
            <w:pPr>
              <w:jc w:val="right"/>
              <w:rPr>
                <w:rFonts w:ascii="Calibri" w:hAnsi="Calibri" w:cs="Calibri"/>
                <w:b/>
                <w:bCs/>
                <w:color w:val="000000"/>
                <w:sz w:val="16"/>
                <w:szCs w:val="16"/>
              </w:rPr>
            </w:pPr>
            <w:r>
              <w:rPr>
                <w:rFonts w:ascii="Calibri" w:hAnsi="Calibri" w:cs="Calibri"/>
                <w:b/>
                <w:bCs/>
                <w:color w:val="000000"/>
                <w:sz w:val="16"/>
                <w:szCs w:val="16"/>
              </w:rPr>
              <w:t xml:space="preserve">                             -   </w:t>
            </w:r>
          </w:p>
        </w:tc>
        <w:tc>
          <w:tcPr>
            <w:tcW w:w="1359" w:type="dxa"/>
            <w:tcBorders>
              <w:top w:val="single" w:sz="8" w:space="0" w:color="auto"/>
              <w:left w:val="nil"/>
              <w:bottom w:val="single" w:sz="8" w:space="0" w:color="auto"/>
              <w:right w:val="nil"/>
            </w:tcBorders>
            <w:shd w:val="clear" w:color="auto" w:fill="auto"/>
            <w:noWrap/>
            <w:vAlign w:val="center"/>
            <w:hideMark/>
          </w:tcPr>
          <w:p w14:paraId="4A3B2566" w14:textId="77777777" w:rsidR="004133F5" w:rsidRDefault="004133F5" w:rsidP="001B1772">
            <w:pPr>
              <w:jc w:val="right"/>
              <w:rPr>
                <w:rFonts w:ascii="Calibri" w:hAnsi="Calibri" w:cs="Calibri"/>
                <w:b/>
                <w:bCs/>
                <w:color w:val="000000"/>
                <w:sz w:val="16"/>
                <w:szCs w:val="16"/>
              </w:rPr>
            </w:pPr>
            <w:r>
              <w:rPr>
                <w:rFonts w:ascii="Calibri" w:hAnsi="Calibri" w:cs="Calibri"/>
                <w:b/>
                <w:bCs/>
                <w:color w:val="000000"/>
                <w:sz w:val="16"/>
                <w:szCs w:val="16"/>
              </w:rPr>
              <w:t xml:space="preserve">                                   -   </w:t>
            </w:r>
          </w:p>
        </w:tc>
        <w:tc>
          <w:tcPr>
            <w:tcW w:w="1490" w:type="dxa"/>
            <w:tcBorders>
              <w:top w:val="single" w:sz="8" w:space="0" w:color="auto"/>
              <w:left w:val="nil"/>
              <w:bottom w:val="single" w:sz="8" w:space="0" w:color="auto"/>
              <w:right w:val="nil"/>
            </w:tcBorders>
            <w:shd w:val="clear" w:color="auto" w:fill="auto"/>
            <w:noWrap/>
            <w:vAlign w:val="center"/>
            <w:hideMark/>
          </w:tcPr>
          <w:p w14:paraId="5A1694DE" w14:textId="77777777" w:rsidR="004133F5" w:rsidRDefault="004133F5" w:rsidP="001B1772">
            <w:pPr>
              <w:jc w:val="right"/>
              <w:rPr>
                <w:rFonts w:ascii="Calibri" w:hAnsi="Calibri" w:cs="Calibri"/>
                <w:b/>
                <w:bCs/>
                <w:color w:val="000000"/>
                <w:sz w:val="16"/>
                <w:szCs w:val="16"/>
              </w:rPr>
            </w:pPr>
            <w:r>
              <w:rPr>
                <w:rFonts w:ascii="Calibri" w:hAnsi="Calibri" w:cs="Calibri"/>
                <w:b/>
                <w:bCs/>
                <w:color w:val="000000"/>
                <w:sz w:val="16"/>
                <w:szCs w:val="16"/>
              </w:rPr>
              <w:t xml:space="preserve">   (11.364.641.405)</w:t>
            </w:r>
          </w:p>
        </w:tc>
        <w:tc>
          <w:tcPr>
            <w:tcW w:w="743" w:type="dxa"/>
            <w:tcBorders>
              <w:top w:val="single" w:sz="8" w:space="0" w:color="auto"/>
              <w:left w:val="nil"/>
              <w:bottom w:val="single" w:sz="8" w:space="0" w:color="auto"/>
              <w:right w:val="nil"/>
            </w:tcBorders>
            <w:shd w:val="clear" w:color="auto" w:fill="auto"/>
            <w:noWrap/>
            <w:vAlign w:val="center"/>
            <w:hideMark/>
          </w:tcPr>
          <w:p w14:paraId="2F59E82F" w14:textId="77777777" w:rsidR="004133F5" w:rsidRDefault="004133F5">
            <w:pPr>
              <w:jc w:val="right"/>
              <w:rPr>
                <w:rFonts w:ascii="Calibri" w:hAnsi="Calibri" w:cs="Calibri"/>
                <w:b/>
                <w:bCs/>
                <w:color w:val="000000"/>
                <w:sz w:val="16"/>
                <w:szCs w:val="16"/>
              </w:rPr>
            </w:pPr>
            <w:r>
              <w:rPr>
                <w:rFonts w:ascii="Calibri" w:hAnsi="Calibri" w:cs="Calibri"/>
                <w:b/>
                <w:bCs/>
                <w:color w:val="000000"/>
                <w:sz w:val="16"/>
                <w:szCs w:val="16"/>
              </w:rPr>
              <w:t> </w:t>
            </w:r>
          </w:p>
        </w:tc>
      </w:tr>
      <w:tr w:rsidR="004133F5" w14:paraId="457CAF36" w14:textId="77777777" w:rsidTr="004133F5">
        <w:trPr>
          <w:trHeight w:val="300"/>
        </w:trPr>
        <w:tc>
          <w:tcPr>
            <w:tcW w:w="3145" w:type="dxa"/>
            <w:tcBorders>
              <w:top w:val="nil"/>
              <w:left w:val="nil"/>
              <w:bottom w:val="nil"/>
              <w:right w:val="nil"/>
            </w:tcBorders>
            <w:shd w:val="clear" w:color="auto" w:fill="auto"/>
            <w:noWrap/>
            <w:vAlign w:val="center"/>
            <w:hideMark/>
          </w:tcPr>
          <w:p w14:paraId="08C819B6" w14:textId="77777777" w:rsidR="004133F5" w:rsidRDefault="004133F5">
            <w:pPr>
              <w:rPr>
                <w:rFonts w:ascii="Calibri" w:hAnsi="Calibri" w:cs="Calibri"/>
                <w:color w:val="000000"/>
                <w:sz w:val="16"/>
                <w:szCs w:val="16"/>
              </w:rPr>
            </w:pPr>
            <w:r>
              <w:rPr>
                <w:rFonts w:ascii="Calibri" w:hAnsi="Calibri" w:cs="Calibri"/>
                <w:color w:val="000000"/>
                <w:sz w:val="16"/>
                <w:szCs w:val="16"/>
              </w:rPr>
              <w:t xml:space="preserve">     Ativos de Concessão Imóveis - FNS</w:t>
            </w:r>
          </w:p>
        </w:tc>
        <w:tc>
          <w:tcPr>
            <w:tcW w:w="1418" w:type="dxa"/>
            <w:tcBorders>
              <w:top w:val="nil"/>
              <w:left w:val="nil"/>
              <w:bottom w:val="nil"/>
              <w:right w:val="nil"/>
            </w:tcBorders>
            <w:shd w:val="clear" w:color="auto" w:fill="auto"/>
            <w:noWrap/>
            <w:vAlign w:val="center"/>
            <w:hideMark/>
          </w:tcPr>
          <w:p w14:paraId="7F8F1F73" w14:textId="77777777" w:rsidR="004133F5" w:rsidRDefault="004133F5" w:rsidP="001B1772">
            <w:pPr>
              <w:jc w:val="right"/>
              <w:rPr>
                <w:rFonts w:ascii="Calibri" w:hAnsi="Calibri" w:cs="Calibri"/>
                <w:color w:val="000000"/>
                <w:sz w:val="16"/>
                <w:szCs w:val="16"/>
              </w:rPr>
            </w:pPr>
            <w:r>
              <w:rPr>
                <w:rFonts w:ascii="Calibri" w:hAnsi="Calibri" w:cs="Calibri"/>
                <w:color w:val="000000"/>
                <w:sz w:val="16"/>
                <w:szCs w:val="16"/>
              </w:rPr>
              <w:t xml:space="preserve"> (12.281.317.187)</w:t>
            </w:r>
          </w:p>
        </w:tc>
        <w:tc>
          <w:tcPr>
            <w:tcW w:w="1237" w:type="dxa"/>
            <w:tcBorders>
              <w:top w:val="nil"/>
              <w:left w:val="nil"/>
              <w:bottom w:val="nil"/>
              <w:right w:val="nil"/>
            </w:tcBorders>
            <w:shd w:val="clear" w:color="auto" w:fill="auto"/>
            <w:noWrap/>
            <w:vAlign w:val="center"/>
            <w:hideMark/>
          </w:tcPr>
          <w:p w14:paraId="30B671CB" w14:textId="77777777" w:rsidR="004133F5" w:rsidRDefault="004133F5" w:rsidP="001B1772">
            <w:pPr>
              <w:jc w:val="right"/>
              <w:rPr>
                <w:rFonts w:ascii="Calibri" w:hAnsi="Calibri" w:cs="Calibri"/>
                <w:color w:val="000000"/>
                <w:sz w:val="16"/>
                <w:szCs w:val="16"/>
              </w:rPr>
            </w:pPr>
            <w:r>
              <w:rPr>
                <w:rFonts w:ascii="Calibri" w:hAnsi="Calibri" w:cs="Calibri"/>
                <w:color w:val="000000"/>
                <w:sz w:val="16"/>
                <w:szCs w:val="16"/>
              </w:rPr>
              <w:t xml:space="preserve">                                -   </w:t>
            </w:r>
          </w:p>
        </w:tc>
        <w:tc>
          <w:tcPr>
            <w:tcW w:w="1128" w:type="dxa"/>
            <w:tcBorders>
              <w:top w:val="nil"/>
              <w:left w:val="nil"/>
              <w:bottom w:val="nil"/>
              <w:right w:val="nil"/>
            </w:tcBorders>
            <w:shd w:val="clear" w:color="auto" w:fill="auto"/>
            <w:noWrap/>
            <w:vAlign w:val="center"/>
            <w:hideMark/>
          </w:tcPr>
          <w:p w14:paraId="62384BB1" w14:textId="77777777" w:rsidR="004133F5" w:rsidRDefault="004133F5" w:rsidP="001B1772">
            <w:pPr>
              <w:jc w:val="right"/>
              <w:rPr>
                <w:rFonts w:ascii="Calibri" w:hAnsi="Calibri" w:cs="Calibri"/>
                <w:color w:val="000000"/>
                <w:sz w:val="16"/>
                <w:szCs w:val="16"/>
              </w:rPr>
            </w:pPr>
            <w:r>
              <w:rPr>
                <w:rFonts w:ascii="Calibri" w:hAnsi="Calibri" w:cs="Calibri"/>
                <w:color w:val="000000"/>
                <w:sz w:val="16"/>
                <w:szCs w:val="16"/>
              </w:rPr>
              <w:t xml:space="preserve">                             -   </w:t>
            </w:r>
          </w:p>
        </w:tc>
        <w:tc>
          <w:tcPr>
            <w:tcW w:w="1359" w:type="dxa"/>
            <w:tcBorders>
              <w:top w:val="nil"/>
              <w:left w:val="nil"/>
              <w:bottom w:val="nil"/>
              <w:right w:val="nil"/>
            </w:tcBorders>
            <w:shd w:val="clear" w:color="auto" w:fill="auto"/>
            <w:noWrap/>
            <w:vAlign w:val="center"/>
            <w:hideMark/>
          </w:tcPr>
          <w:p w14:paraId="24BCA210" w14:textId="77777777" w:rsidR="004133F5" w:rsidRDefault="004133F5" w:rsidP="001B1772">
            <w:pPr>
              <w:jc w:val="right"/>
              <w:rPr>
                <w:rFonts w:ascii="Calibri" w:hAnsi="Calibri" w:cs="Calibri"/>
                <w:color w:val="000000"/>
                <w:sz w:val="16"/>
                <w:szCs w:val="16"/>
              </w:rPr>
            </w:pPr>
            <w:r>
              <w:rPr>
                <w:rFonts w:ascii="Calibri" w:hAnsi="Calibri" w:cs="Calibri"/>
                <w:color w:val="000000"/>
                <w:sz w:val="16"/>
                <w:szCs w:val="16"/>
              </w:rPr>
              <w:t xml:space="preserve">                                   -   </w:t>
            </w:r>
          </w:p>
        </w:tc>
        <w:tc>
          <w:tcPr>
            <w:tcW w:w="1490" w:type="dxa"/>
            <w:tcBorders>
              <w:top w:val="nil"/>
              <w:left w:val="nil"/>
              <w:bottom w:val="nil"/>
              <w:right w:val="nil"/>
            </w:tcBorders>
            <w:shd w:val="clear" w:color="auto" w:fill="auto"/>
            <w:noWrap/>
            <w:vAlign w:val="center"/>
            <w:hideMark/>
          </w:tcPr>
          <w:p w14:paraId="73A214B4" w14:textId="77777777" w:rsidR="004133F5" w:rsidRDefault="004133F5" w:rsidP="001B1772">
            <w:pPr>
              <w:jc w:val="right"/>
              <w:rPr>
                <w:rFonts w:ascii="Calibri" w:hAnsi="Calibri" w:cs="Calibri"/>
                <w:color w:val="000000"/>
                <w:sz w:val="16"/>
                <w:szCs w:val="16"/>
              </w:rPr>
            </w:pPr>
            <w:r>
              <w:rPr>
                <w:rFonts w:ascii="Calibri" w:hAnsi="Calibri" w:cs="Calibri"/>
                <w:color w:val="000000"/>
                <w:sz w:val="16"/>
                <w:szCs w:val="16"/>
              </w:rPr>
              <w:t xml:space="preserve">   (12.281.317.187)</w:t>
            </w:r>
          </w:p>
        </w:tc>
        <w:tc>
          <w:tcPr>
            <w:tcW w:w="743" w:type="dxa"/>
            <w:tcBorders>
              <w:top w:val="nil"/>
              <w:left w:val="nil"/>
              <w:bottom w:val="nil"/>
              <w:right w:val="nil"/>
            </w:tcBorders>
            <w:shd w:val="clear" w:color="auto" w:fill="auto"/>
            <w:noWrap/>
            <w:vAlign w:val="center"/>
            <w:hideMark/>
          </w:tcPr>
          <w:p w14:paraId="2C0135E0" w14:textId="77777777" w:rsidR="004133F5" w:rsidRDefault="004133F5">
            <w:pPr>
              <w:jc w:val="right"/>
              <w:rPr>
                <w:rFonts w:ascii="Calibri" w:hAnsi="Calibri" w:cs="Calibri"/>
                <w:color w:val="000000"/>
                <w:sz w:val="16"/>
                <w:szCs w:val="16"/>
              </w:rPr>
            </w:pPr>
          </w:p>
        </w:tc>
      </w:tr>
      <w:tr w:rsidR="004133F5" w14:paraId="296462EE" w14:textId="77777777" w:rsidTr="004133F5">
        <w:trPr>
          <w:trHeight w:val="315"/>
        </w:trPr>
        <w:tc>
          <w:tcPr>
            <w:tcW w:w="3145" w:type="dxa"/>
            <w:tcBorders>
              <w:top w:val="nil"/>
              <w:left w:val="nil"/>
              <w:bottom w:val="nil"/>
              <w:right w:val="nil"/>
            </w:tcBorders>
            <w:shd w:val="clear" w:color="auto" w:fill="auto"/>
            <w:noWrap/>
            <w:vAlign w:val="center"/>
            <w:hideMark/>
          </w:tcPr>
          <w:p w14:paraId="5B5A867A" w14:textId="77777777" w:rsidR="004133F5" w:rsidRDefault="004133F5">
            <w:pPr>
              <w:rPr>
                <w:rFonts w:ascii="Calibri" w:hAnsi="Calibri" w:cs="Calibri"/>
                <w:color w:val="000000"/>
                <w:sz w:val="16"/>
                <w:szCs w:val="16"/>
              </w:rPr>
            </w:pPr>
            <w:r>
              <w:rPr>
                <w:rFonts w:ascii="Calibri" w:hAnsi="Calibri" w:cs="Calibri"/>
                <w:color w:val="000000"/>
                <w:sz w:val="16"/>
                <w:szCs w:val="16"/>
              </w:rPr>
              <w:t xml:space="preserve">     Depreciação Acumulada das Ferrovias - FNS</w:t>
            </w:r>
          </w:p>
        </w:tc>
        <w:tc>
          <w:tcPr>
            <w:tcW w:w="1418" w:type="dxa"/>
            <w:tcBorders>
              <w:top w:val="nil"/>
              <w:left w:val="nil"/>
              <w:bottom w:val="nil"/>
              <w:right w:val="nil"/>
            </w:tcBorders>
            <w:shd w:val="clear" w:color="auto" w:fill="auto"/>
            <w:noWrap/>
            <w:vAlign w:val="center"/>
            <w:hideMark/>
          </w:tcPr>
          <w:p w14:paraId="3AE5EAAF" w14:textId="77777777" w:rsidR="004133F5" w:rsidRDefault="004133F5" w:rsidP="001B1772">
            <w:pPr>
              <w:jc w:val="right"/>
              <w:rPr>
                <w:rFonts w:ascii="Calibri" w:hAnsi="Calibri" w:cs="Calibri"/>
                <w:color w:val="000000"/>
                <w:sz w:val="16"/>
                <w:szCs w:val="16"/>
              </w:rPr>
            </w:pPr>
            <w:r>
              <w:rPr>
                <w:rFonts w:ascii="Calibri" w:hAnsi="Calibri" w:cs="Calibri"/>
                <w:color w:val="000000"/>
                <w:sz w:val="16"/>
                <w:szCs w:val="16"/>
              </w:rPr>
              <w:t xml:space="preserve">           916.675.782 </w:t>
            </w:r>
          </w:p>
        </w:tc>
        <w:tc>
          <w:tcPr>
            <w:tcW w:w="1237" w:type="dxa"/>
            <w:tcBorders>
              <w:top w:val="nil"/>
              <w:left w:val="nil"/>
              <w:bottom w:val="nil"/>
              <w:right w:val="nil"/>
            </w:tcBorders>
            <w:shd w:val="clear" w:color="auto" w:fill="auto"/>
            <w:noWrap/>
            <w:vAlign w:val="center"/>
            <w:hideMark/>
          </w:tcPr>
          <w:p w14:paraId="216918CA" w14:textId="77777777" w:rsidR="004133F5" w:rsidRDefault="004133F5" w:rsidP="001B1772">
            <w:pPr>
              <w:jc w:val="right"/>
              <w:rPr>
                <w:rFonts w:ascii="Calibri" w:hAnsi="Calibri" w:cs="Calibri"/>
                <w:color w:val="000000"/>
                <w:sz w:val="16"/>
                <w:szCs w:val="16"/>
              </w:rPr>
            </w:pPr>
            <w:r>
              <w:rPr>
                <w:rFonts w:ascii="Calibri" w:hAnsi="Calibri" w:cs="Calibri"/>
                <w:color w:val="000000"/>
                <w:sz w:val="16"/>
                <w:szCs w:val="16"/>
              </w:rPr>
              <w:t xml:space="preserve">                                -   </w:t>
            </w:r>
          </w:p>
        </w:tc>
        <w:tc>
          <w:tcPr>
            <w:tcW w:w="1128" w:type="dxa"/>
            <w:tcBorders>
              <w:top w:val="nil"/>
              <w:left w:val="nil"/>
              <w:bottom w:val="nil"/>
              <w:right w:val="nil"/>
            </w:tcBorders>
            <w:shd w:val="clear" w:color="auto" w:fill="auto"/>
            <w:noWrap/>
            <w:vAlign w:val="center"/>
            <w:hideMark/>
          </w:tcPr>
          <w:p w14:paraId="57E8AF5C" w14:textId="77777777" w:rsidR="004133F5" w:rsidRDefault="004133F5" w:rsidP="001B1772">
            <w:pPr>
              <w:jc w:val="right"/>
              <w:rPr>
                <w:rFonts w:ascii="Calibri" w:hAnsi="Calibri" w:cs="Calibri"/>
                <w:color w:val="000000"/>
                <w:sz w:val="16"/>
                <w:szCs w:val="16"/>
              </w:rPr>
            </w:pPr>
            <w:r>
              <w:rPr>
                <w:rFonts w:ascii="Calibri" w:hAnsi="Calibri" w:cs="Calibri"/>
                <w:color w:val="000000"/>
                <w:sz w:val="16"/>
                <w:szCs w:val="16"/>
              </w:rPr>
              <w:t xml:space="preserve">                             -   </w:t>
            </w:r>
          </w:p>
        </w:tc>
        <w:tc>
          <w:tcPr>
            <w:tcW w:w="1359" w:type="dxa"/>
            <w:tcBorders>
              <w:top w:val="nil"/>
              <w:left w:val="nil"/>
              <w:bottom w:val="nil"/>
              <w:right w:val="nil"/>
            </w:tcBorders>
            <w:shd w:val="clear" w:color="auto" w:fill="auto"/>
            <w:noWrap/>
            <w:vAlign w:val="center"/>
            <w:hideMark/>
          </w:tcPr>
          <w:p w14:paraId="149C3C2F" w14:textId="77777777" w:rsidR="004133F5" w:rsidRDefault="004133F5" w:rsidP="001B1772">
            <w:pPr>
              <w:jc w:val="right"/>
              <w:rPr>
                <w:rFonts w:ascii="Calibri" w:hAnsi="Calibri" w:cs="Calibri"/>
                <w:color w:val="000000"/>
                <w:sz w:val="16"/>
                <w:szCs w:val="16"/>
              </w:rPr>
            </w:pPr>
            <w:r>
              <w:rPr>
                <w:rFonts w:ascii="Calibri" w:hAnsi="Calibri" w:cs="Calibri"/>
                <w:color w:val="000000"/>
                <w:sz w:val="16"/>
                <w:szCs w:val="16"/>
              </w:rPr>
              <w:t xml:space="preserve">                                   -   </w:t>
            </w:r>
          </w:p>
        </w:tc>
        <w:tc>
          <w:tcPr>
            <w:tcW w:w="1490" w:type="dxa"/>
            <w:tcBorders>
              <w:top w:val="nil"/>
              <w:left w:val="nil"/>
              <w:bottom w:val="nil"/>
              <w:right w:val="nil"/>
            </w:tcBorders>
            <w:shd w:val="clear" w:color="auto" w:fill="auto"/>
            <w:noWrap/>
            <w:vAlign w:val="center"/>
            <w:hideMark/>
          </w:tcPr>
          <w:p w14:paraId="48BD8FCB" w14:textId="77777777" w:rsidR="004133F5" w:rsidRDefault="004133F5" w:rsidP="001B1772">
            <w:pPr>
              <w:jc w:val="right"/>
              <w:rPr>
                <w:rFonts w:ascii="Calibri" w:hAnsi="Calibri" w:cs="Calibri"/>
                <w:color w:val="000000"/>
                <w:sz w:val="16"/>
                <w:szCs w:val="16"/>
              </w:rPr>
            </w:pPr>
            <w:r>
              <w:rPr>
                <w:rFonts w:ascii="Calibri" w:hAnsi="Calibri" w:cs="Calibri"/>
                <w:color w:val="000000"/>
                <w:sz w:val="16"/>
                <w:szCs w:val="16"/>
              </w:rPr>
              <w:t xml:space="preserve">            916.675.782 </w:t>
            </w:r>
          </w:p>
        </w:tc>
        <w:tc>
          <w:tcPr>
            <w:tcW w:w="743" w:type="dxa"/>
            <w:tcBorders>
              <w:top w:val="nil"/>
              <w:left w:val="nil"/>
              <w:bottom w:val="nil"/>
              <w:right w:val="nil"/>
            </w:tcBorders>
            <w:shd w:val="clear" w:color="auto" w:fill="auto"/>
            <w:noWrap/>
            <w:vAlign w:val="center"/>
            <w:hideMark/>
          </w:tcPr>
          <w:p w14:paraId="2B424BD8" w14:textId="77777777" w:rsidR="004133F5" w:rsidRDefault="004133F5">
            <w:pPr>
              <w:jc w:val="right"/>
              <w:rPr>
                <w:rFonts w:ascii="Calibri" w:hAnsi="Calibri" w:cs="Calibri"/>
                <w:color w:val="000000"/>
                <w:sz w:val="16"/>
                <w:szCs w:val="16"/>
              </w:rPr>
            </w:pPr>
          </w:p>
        </w:tc>
      </w:tr>
      <w:tr w:rsidR="004133F5" w14:paraId="63A74C19" w14:textId="77777777" w:rsidTr="004133F5">
        <w:trPr>
          <w:trHeight w:val="135"/>
        </w:trPr>
        <w:tc>
          <w:tcPr>
            <w:tcW w:w="3145" w:type="dxa"/>
            <w:tcBorders>
              <w:top w:val="single" w:sz="8" w:space="0" w:color="auto"/>
              <w:left w:val="nil"/>
              <w:bottom w:val="single" w:sz="8" w:space="0" w:color="auto"/>
              <w:right w:val="nil"/>
            </w:tcBorders>
            <w:shd w:val="clear" w:color="auto" w:fill="auto"/>
            <w:noWrap/>
            <w:vAlign w:val="bottom"/>
            <w:hideMark/>
          </w:tcPr>
          <w:p w14:paraId="0B34068D" w14:textId="77777777" w:rsidR="004133F5" w:rsidRDefault="004133F5">
            <w:pPr>
              <w:rPr>
                <w:color w:val="000000"/>
                <w:sz w:val="20"/>
                <w:szCs w:val="20"/>
              </w:rPr>
            </w:pPr>
            <w:r>
              <w:rPr>
                <w:color w:val="000000"/>
                <w:sz w:val="20"/>
                <w:szCs w:val="20"/>
              </w:rPr>
              <w:t> </w:t>
            </w:r>
          </w:p>
        </w:tc>
        <w:tc>
          <w:tcPr>
            <w:tcW w:w="1418" w:type="dxa"/>
            <w:tcBorders>
              <w:top w:val="single" w:sz="8" w:space="0" w:color="auto"/>
              <w:left w:val="nil"/>
              <w:bottom w:val="single" w:sz="8" w:space="0" w:color="auto"/>
              <w:right w:val="nil"/>
            </w:tcBorders>
            <w:shd w:val="clear" w:color="auto" w:fill="auto"/>
            <w:noWrap/>
            <w:vAlign w:val="bottom"/>
            <w:hideMark/>
          </w:tcPr>
          <w:p w14:paraId="65EC0AA4" w14:textId="77777777" w:rsidR="004133F5" w:rsidRDefault="004133F5" w:rsidP="001B1772">
            <w:pPr>
              <w:jc w:val="right"/>
              <w:rPr>
                <w:color w:val="000000"/>
                <w:sz w:val="20"/>
                <w:szCs w:val="20"/>
              </w:rPr>
            </w:pPr>
            <w:r>
              <w:rPr>
                <w:color w:val="000000"/>
                <w:sz w:val="20"/>
                <w:szCs w:val="20"/>
              </w:rPr>
              <w:t> </w:t>
            </w:r>
          </w:p>
        </w:tc>
        <w:tc>
          <w:tcPr>
            <w:tcW w:w="1237" w:type="dxa"/>
            <w:tcBorders>
              <w:top w:val="single" w:sz="8" w:space="0" w:color="auto"/>
              <w:left w:val="nil"/>
              <w:bottom w:val="single" w:sz="8" w:space="0" w:color="auto"/>
              <w:right w:val="nil"/>
            </w:tcBorders>
            <w:shd w:val="clear" w:color="auto" w:fill="auto"/>
            <w:noWrap/>
            <w:vAlign w:val="bottom"/>
            <w:hideMark/>
          </w:tcPr>
          <w:p w14:paraId="2B6110FE" w14:textId="77777777" w:rsidR="004133F5" w:rsidRDefault="004133F5" w:rsidP="001B1772">
            <w:pPr>
              <w:jc w:val="right"/>
              <w:rPr>
                <w:color w:val="000000"/>
                <w:sz w:val="20"/>
                <w:szCs w:val="20"/>
              </w:rPr>
            </w:pPr>
            <w:r>
              <w:rPr>
                <w:color w:val="000000"/>
                <w:sz w:val="20"/>
                <w:szCs w:val="20"/>
              </w:rPr>
              <w:t> </w:t>
            </w:r>
          </w:p>
        </w:tc>
        <w:tc>
          <w:tcPr>
            <w:tcW w:w="1128" w:type="dxa"/>
            <w:tcBorders>
              <w:top w:val="single" w:sz="8" w:space="0" w:color="auto"/>
              <w:left w:val="nil"/>
              <w:bottom w:val="single" w:sz="8" w:space="0" w:color="auto"/>
              <w:right w:val="nil"/>
            </w:tcBorders>
            <w:shd w:val="clear" w:color="auto" w:fill="auto"/>
            <w:noWrap/>
            <w:vAlign w:val="bottom"/>
            <w:hideMark/>
          </w:tcPr>
          <w:p w14:paraId="45D5AAD4" w14:textId="77777777" w:rsidR="004133F5" w:rsidRDefault="004133F5" w:rsidP="001B1772">
            <w:pPr>
              <w:jc w:val="right"/>
              <w:rPr>
                <w:color w:val="000000"/>
                <w:sz w:val="20"/>
                <w:szCs w:val="20"/>
              </w:rPr>
            </w:pPr>
            <w:r>
              <w:rPr>
                <w:color w:val="000000"/>
                <w:sz w:val="20"/>
                <w:szCs w:val="20"/>
              </w:rPr>
              <w:t> </w:t>
            </w:r>
          </w:p>
        </w:tc>
        <w:tc>
          <w:tcPr>
            <w:tcW w:w="1359" w:type="dxa"/>
            <w:tcBorders>
              <w:top w:val="single" w:sz="8" w:space="0" w:color="auto"/>
              <w:left w:val="nil"/>
              <w:bottom w:val="single" w:sz="8" w:space="0" w:color="auto"/>
              <w:right w:val="nil"/>
            </w:tcBorders>
            <w:shd w:val="clear" w:color="auto" w:fill="auto"/>
            <w:noWrap/>
            <w:vAlign w:val="bottom"/>
            <w:hideMark/>
          </w:tcPr>
          <w:p w14:paraId="31075697" w14:textId="77777777" w:rsidR="004133F5" w:rsidRDefault="004133F5" w:rsidP="001B1772">
            <w:pPr>
              <w:jc w:val="right"/>
              <w:rPr>
                <w:color w:val="000000"/>
                <w:sz w:val="20"/>
                <w:szCs w:val="20"/>
              </w:rPr>
            </w:pPr>
            <w:r>
              <w:rPr>
                <w:color w:val="000000"/>
                <w:sz w:val="20"/>
                <w:szCs w:val="20"/>
              </w:rPr>
              <w:t> </w:t>
            </w:r>
          </w:p>
        </w:tc>
        <w:tc>
          <w:tcPr>
            <w:tcW w:w="1490" w:type="dxa"/>
            <w:tcBorders>
              <w:top w:val="single" w:sz="8" w:space="0" w:color="auto"/>
              <w:left w:val="nil"/>
              <w:bottom w:val="single" w:sz="8" w:space="0" w:color="auto"/>
              <w:right w:val="nil"/>
            </w:tcBorders>
            <w:shd w:val="clear" w:color="auto" w:fill="auto"/>
            <w:noWrap/>
            <w:vAlign w:val="bottom"/>
            <w:hideMark/>
          </w:tcPr>
          <w:p w14:paraId="0191B4F4" w14:textId="77777777" w:rsidR="004133F5" w:rsidRDefault="004133F5" w:rsidP="001B1772">
            <w:pPr>
              <w:jc w:val="right"/>
              <w:rPr>
                <w:color w:val="000000"/>
                <w:sz w:val="20"/>
                <w:szCs w:val="20"/>
              </w:rPr>
            </w:pPr>
            <w:r>
              <w:rPr>
                <w:color w:val="000000"/>
                <w:sz w:val="20"/>
                <w:szCs w:val="20"/>
              </w:rPr>
              <w:t> </w:t>
            </w:r>
          </w:p>
        </w:tc>
        <w:tc>
          <w:tcPr>
            <w:tcW w:w="743" w:type="dxa"/>
            <w:tcBorders>
              <w:top w:val="single" w:sz="8" w:space="0" w:color="auto"/>
              <w:left w:val="nil"/>
              <w:bottom w:val="single" w:sz="8" w:space="0" w:color="auto"/>
              <w:right w:val="nil"/>
            </w:tcBorders>
            <w:shd w:val="clear" w:color="auto" w:fill="auto"/>
            <w:noWrap/>
            <w:vAlign w:val="bottom"/>
            <w:hideMark/>
          </w:tcPr>
          <w:p w14:paraId="4DD79CCD" w14:textId="77777777" w:rsidR="004133F5" w:rsidRDefault="004133F5">
            <w:pPr>
              <w:rPr>
                <w:color w:val="000000"/>
                <w:sz w:val="20"/>
                <w:szCs w:val="20"/>
              </w:rPr>
            </w:pPr>
            <w:r>
              <w:rPr>
                <w:color w:val="000000"/>
                <w:sz w:val="20"/>
                <w:szCs w:val="20"/>
              </w:rPr>
              <w:t> </w:t>
            </w:r>
          </w:p>
        </w:tc>
      </w:tr>
      <w:tr w:rsidR="004133F5" w14:paraId="5E0662A9" w14:textId="77777777" w:rsidTr="004133F5">
        <w:trPr>
          <w:trHeight w:val="315"/>
        </w:trPr>
        <w:tc>
          <w:tcPr>
            <w:tcW w:w="3145" w:type="dxa"/>
            <w:tcBorders>
              <w:top w:val="nil"/>
              <w:left w:val="nil"/>
              <w:bottom w:val="single" w:sz="8" w:space="0" w:color="auto"/>
              <w:right w:val="nil"/>
            </w:tcBorders>
            <w:shd w:val="clear" w:color="auto" w:fill="auto"/>
            <w:noWrap/>
            <w:vAlign w:val="center"/>
            <w:hideMark/>
          </w:tcPr>
          <w:p w14:paraId="241F4868" w14:textId="77777777" w:rsidR="004133F5" w:rsidRDefault="004133F5">
            <w:pPr>
              <w:rPr>
                <w:rFonts w:ascii="Calibri" w:hAnsi="Calibri" w:cs="Calibri"/>
                <w:b/>
                <w:bCs/>
                <w:color w:val="000000"/>
                <w:sz w:val="16"/>
                <w:szCs w:val="16"/>
              </w:rPr>
            </w:pPr>
            <w:r>
              <w:rPr>
                <w:rFonts w:ascii="Calibri" w:hAnsi="Calibri" w:cs="Calibri"/>
                <w:b/>
                <w:bCs/>
                <w:color w:val="000000"/>
                <w:sz w:val="16"/>
                <w:szCs w:val="16"/>
              </w:rPr>
              <w:t>(Redução ao Valor Recuperável - FIOL I) (5)</w:t>
            </w:r>
          </w:p>
        </w:tc>
        <w:tc>
          <w:tcPr>
            <w:tcW w:w="1418" w:type="dxa"/>
            <w:tcBorders>
              <w:top w:val="nil"/>
              <w:left w:val="nil"/>
              <w:bottom w:val="single" w:sz="8" w:space="0" w:color="auto"/>
              <w:right w:val="nil"/>
            </w:tcBorders>
            <w:shd w:val="clear" w:color="auto" w:fill="auto"/>
            <w:noWrap/>
            <w:vAlign w:val="center"/>
            <w:hideMark/>
          </w:tcPr>
          <w:p w14:paraId="5F2971C8" w14:textId="77777777" w:rsidR="004133F5" w:rsidRDefault="004133F5" w:rsidP="001B1772">
            <w:pPr>
              <w:jc w:val="right"/>
              <w:rPr>
                <w:rFonts w:ascii="Calibri" w:hAnsi="Calibri" w:cs="Calibri"/>
                <w:b/>
                <w:bCs/>
                <w:color w:val="000000"/>
                <w:sz w:val="16"/>
                <w:szCs w:val="16"/>
              </w:rPr>
            </w:pPr>
            <w:r>
              <w:rPr>
                <w:rFonts w:ascii="Calibri" w:hAnsi="Calibri" w:cs="Calibri"/>
                <w:b/>
                <w:bCs/>
                <w:color w:val="000000"/>
                <w:sz w:val="16"/>
                <w:szCs w:val="16"/>
              </w:rPr>
              <w:t xml:space="preserve">    (3.217.521.279)</w:t>
            </w:r>
          </w:p>
        </w:tc>
        <w:tc>
          <w:tcPr>
            <w:tcW w:w="1237" w:type="dxa"/>
            <w:tcBorders>
              <w:top w:val="nil"/>
              <w:left w:val="nil"/>
              <w:bottom w:val="single" w:sz="8" w:space="0" w:color="auto"/>
              <w:right w:val="nil"/>
            </w:tcBorders>
            <w:shd w:val="clear" w:color="auto" w:fill="auto"/>
            <w:noWrap/>
            <w:vAlign w:val="center"/>
            <w:hideMark/>
          </w:tcPr>
          <w:p w14:paraId="53FEE1BE" w14:textId="77777777" w:rsidR="004133F5" w:rsidRDefault="004133F5" w:rsidP="001B1772">
            <w:pPr>
              <w:jc w:val="right"/>
              <w:rPr>
                <w:rFonts w:ascii="Calibri" w:hAnsi="Calibri" w:cs="Calibri"/>
                <w:b/>
                <w:bCs/>
                <w:color w:val="000000"/>
                <w:sz w:val="16"/>
                <w:szCs w:val="16"/>
              </w:rPr>
            </w:pPr>
            <w:r>
              <w:rPr>
                <w:rFonts w:ascii="Calibri" w:hAnsi="Calibri" w:cs="Calibri"/>
                <w:b/>
                <w:bCs/>
                <w:color w:val="000000"/>
                <w:sz w:val="16"/>
                <w:szCs w:val="16"/>
              </w:rPr>
              <w:t xml:space="preserve">                                -   </w:t>
            </w:r>
          </w:p>
        </w:tc>
        <w:tc>
          <w:tcPr>
            <w:tcW w:w="1128" w:type="dxa"/>
            <w:tcBorders>
              <w:top w:val="nil"/>
              <w:left w:val="nil"/>
              <w:bottom w:val="single" w:sz="8" w:space="0" w:color="auto"/>
              <w:right w:val="nil"/>
            </w:tcBorders>
            <w:shd w:val="clear" w:color="auto" w:fill="auto"/>
            <w:noWrap/>
            <w:vAlign w:val="center"/>
            <w:hideMark/>
          </w:tcPr>
          <w:p w14:paraId="742718ED" w14:textId="77777777" w:rsidR="004133F5" w:rsidRDefault="004133F5" w:rsidP="001B1772">
            <w:pPr>
              <w:jc w:val="right"/>
              <w:rPr>
                <w:rFonts w:ascii="Calibri" w:hAnsi="Calibri" w:cs="Calibri"/>
                <w:b/>
                <w:bCs/>
                <w:color w:val="000000"/>
                <w:sz w:val="16"/>
                <w:szCs w:val="16"/>
              </w:rPr>
            </w:pPr>
            <w:r>
              <w:rPr>
                <w:rFonts w:ascii="Calibri" w:hAnsi="Calibri" w:cs="Calibri"/>
                <w:b/>
                <w:bCs/>
                <w:color w:val="000000"/>
                <w:sz w:val="16"/>
                <w:szCs w:val="16"/>
              </w:rPr>
              <w:t xml:space="preserve">                             -   </w:t>
            </w:r>
          </w:p>
        </w:tc>
        <w:tc>
          <w:tcPr>
            <w:tcW w:w="1359" w:type="dxa"/>
            <w:tcBorders>
              <w:top w:val="nil"/>
              <w:left w:val="nil"/>
              <w:bottom w:val="single" w:sz="8" w:space="0" w:color="auto"/>
              <w:right w:val="nil"/>
            </w:tcBorders>
            <w:shd w:val="clear" w:color="auto" w:fill="auto"/>
            <w:noWrap/>
            <w:vAlign w:val="center"/>
            <w:hideMark/>
          </w:tcPr>
          <w:p w14:paraId="1AF43350" w14:textId="77777777" w:rsidR="004133F5" w:rsidRDefault="004133F5" w:rsidP="001B1772">
            <w:pPr>
              <w:jc w:val="right"/>
              <w:rPr>
                <w:rFonts w:ascii="Calibri" w:hAnsi="Calibri" w:cs="Calibri"/>
                <w:b/>
                <w:bCs/>
                <w:color w:val="000000"/>
                <w:sz w:val="16"/>
                <w:szCs w:val="16"/>
              </w:rPr>
            </w:pPr>
            <w:r>
              <w:rPr>
                <w:rFonts w:ascii="Calibri" w:hAnsi="Calibri" w:cs="Calibri"/>
                <w:b/>
                <w:bCs/>
                <w:color w:val="000000"/>
                <w:sz w:val="16"/>
                <w:szCs w:val="16"/>
              </w:rPr>
              <w:t xml:space="preserve">                                   -   </w:t>
            </w:r>
          </w:p>
        </w:tc>
        <w:tc>
          <w:tcPr>
            <w:tcW w:w="1490" w:type="dxa"/>
            <w:tcBorders>
              <w:top w:val="nil"/>
              <w:left w:val="nil"/>
              <w:bottom w:val="single" w:sz="8" w:space="0" w:color="auto"/>
              <w:right w:val="nil"/>
            </w:tcBorders>
            <w:shd w:val="clear" w:color="auto" w:fill="auto"/>
            <w:noWrap/>
            <w:vAlign w:val="center"/>
            <w:hideMark/>
          </w:tcPr>
          <w:p w14:paraId="2561373E" w14:textId="77777777" w:rsidR="004133F5" w:rsidRDefault="004133F5" w:rsidP="001B1772">
            <w:pPr>
              <w:jc w:val="right"/>
              <w:rPr>
                <w:rFonts w:ascii="Calibri" w:hAnsi="Calibri" w:cs="Calibri"/>
                <w:b/>
                <w:bCs/>
                <w:color w:val="000000"/>
                <w:sz w:val="16"/>
                <w:szCs w:val="16"/>
              </w:rPr>
            </w:pPr>
            <w:r>
              <w:rPr>
                <w:rFonts w:ascii="Calibri" w:hAnsi="Calibri" w:cs="Calibri"/>
                <w:b/>
                <w:bCs/>
                <w:color w:val="000000"/>
                <w:sz w:val="16"/>
                <w:szCs w:val="16"/>
              </w:rPr>
              <w:t xml:space="preserve">      (3.217.521.279)</w:t>
            </w:r>
          </w:p>
        </w:tc>
        <w:tc>
          <w:tcPr>
            <w:tcW w:w="743" w:type="dxa"/>
            <w:tcBorders>
              <w:top w:val="nil"/>
              <w:left w:val="nil"/>
              <w:bottom w:val="single" w:sz="8" w:space="0" w:color="auto"/>
              <w:right w:val="nil"/>
            </w:tcBorders>
            <w:shd w:val="clear" w:color="auto" w:fill="auto"/>
            <w:noWrap/>
            <w:vAlign w:val="bottom"/>
            <w:hideMark/>
          </w:tcPr>
          <w:p w14:paraId="1D90FB53" w14:textId="77777777" w:rsidR="004133F5" w:rsidRDefault="004133F5">
            <w:pPr>
              <w:rPr>
                <w:color w:val="000000"/>
                <w:sz w:val="20"/>
                <w:szCs w:val="20"/>
              </w:rPr>
            </w:pPr>
            <w:r>
              <w:rPr>
                <w:color w:val="000000"/>
                <w:sz w:val="20"/>
                <w:szCs w:val="20"/>
              </w:rPr>
              <w:t> </w:t>
            </w:r>
          </w:p>
        </w:tc>
      </w:tr>
      <w:tr w:rsidR="004133F5" w14:paraId="7C5DAC69" w14:textId="77777777" w:rsidTr="004133F5">
        <w:trPr>
          <w:trHeight w:val="315"/>
        </w:trPr>
        <w:tc>
          <w:tcPr>
            <w:tcW w:w="3145" w:type="dxa"/>
            <w:tcBorders>
              <w:top w:val="nil"/>
              <w:left w:val="nil"/>
              <w:bottom w:val="nil"/>
              <w:right w:val="nil"/>
            </w:tcBorders>
            <w:shd w:val="clear" w:color="auto" w:fill="auto"/>
            <w:noWrap/>
            <w:vAlign w:val="center"/>
            <w:hideMark/>
          </w:tcPr>
          <w:p w14:paraId="3603E07C" w14:textId="77777777" w:rsidR="004133F5" w:rsidRDefault="004133F5">
            <w:pPr>
              <w:rPr>
                <w:rFonts w:ascii="Calibri" w:hAnsi="Calibri" w:cs="Calibri"/>
                <w:color w:val="000000"/>
                <w:sz w:val="16"/>
                <w:szCs w:val="16"/>
              </w:rPr>
            </w:pPr>
            <w:r>
              <w:rPr>
                <w:rFonts w:ascii="Calibri" w:hAnsi="Calibri" w:cs="Calibri"/>
                <w:color w:val="000000"/>
                <w:sz w:val="16"/>
                <w:szCs w:val="16"/>
              </w:rPr>
              <w:t xml:space="preserve">     Ativos de Concessão Imóveis - FIOL I</w:t>
            </w:r>
          </w:p>
        </w:tc>
        <w:tc>
          <w:tcPr>
            <w:tcW w:w="1418" w:type="dxa"/>
            <w:tcBorders>
              <w:top w:val="nil"/>
              <w:left w:val="nil"/>
              <w:bottom w:val="single" w:sz="8" w:space="0" w:color="auto"/>
              <w:right w:val="nil"/>
            </w:tcBorders>
            <w:shd w:val="clear" w:color="auto" w:fill="auto"/>
            <w:noWrap/>
            <w:vAlign w:val="center"/>
            <w:hideMark/>
          </w:tcPr>
          <w:p w14:paraId="4DC7CEE3" w14:textId="77777777" w:rsidR="004133F5" w:rsidRDefault="004133F5" w:rsidP="001B1772">
            <w:pPr>
              <w:jc w:val="right"/>
              <w:rPr>
                <w:rFonts w:ascii="Calibri" w:hAnsi="Calibri" w:cs="Calibri"/>
                <w:color w:val="000000"/>
                <w:sz w:val="16"/>
                <w:szCs w:val="16"/>
              </w:rPr>
            </w:pPr>
            <w:r>
              <w:rPr>
                <w:rFonts w:ascii="Calibri" w:hAnsi="Calibri" w:cs="Calibri"/>
                <w:color w:val="000000"/>
                <w:sz w:val="16"/>
                <w:szCs w:val="16"/>
              </w:rPr>
              <w:t xml:space="preserve">    (3.217.521.279)</w:t>
            </w:r>
          </w:p>
        </w:tc>
        <w:tc>
          <w:tcPr>
            <w:tcW w:w="1237" w:type="dxa"/>
            <w:tcBorders>
              <w:top w:val="nil"/>
              <w:left w:val="nil"/>
              <w:bottom w:val="single" w:sz="8" w:space="0" w:color="auto"/>
              <w:right w:val="nil"/>
            </w:tcBorders>
            <w:shd w:val="clear" w:color="auto" w:fill="auto"/>
            <w:noWrap/>
            <w:vAlign w:val="center"/>
            <w:hideMark/>
          </w:tcPr>
          <w:p w14:paraId="0558AC24" w14:textId="77777777" w:rsidR="004133F5" w:rsidRDefault="004133F5" w:rsidP="001B1772">
            <w:pPr>
              <w:jc w:val="right"/>
              <w:rPr>
                <w:rFonts w:ascii="Calibri" w:hAnsi="Calibri" w:cs="Calibri"/>
                <w:color w:val="000000"/>
                <w:sz w:val="16"/>
                <w:szCs w:val="16"/>
              </w:rPr>
            </w:pPr>
            <w:r>
              <w:rPr>
                <w:rFonts w:ascii="Calibri" w:hAnsi="Calibri" w:cs="Calibri"/>
                <w:color w:val="000000"/>
                <w:sz w:val="16"/>
                <w:szCs w:val="16"/>
              </w:rPr>
              <w:t xml:space="preserve">                                -   </w:t>
            </w:r>
          </w:p>
        </w:tc>
        <w:tc>
          <w:tcPr>
            <w:tcW w:w="1128" w:type="dxa"/>
            <w:tcBorders>
              <w:top w:val="nil"/>
              <w:left w:val="nil"/>
              <w:bottom w:val="single" w:sz="8" w:space="0" w:color="auto"/>
              <w:right w:val="nil"/>
            </w:tcBorders>
            <w:shd w:val="clear" w:color="auto" w:fill="auto"/>
            <w:noWrap/>
            <w:vAlign w:val="center"/>
            <w:hideMark/>
          </w:tcPr>
          <w:p w14:paraId="35D0941B" w14:textId="77777777" w:rsidR="004133F5" w:rsidRDefault="004133F5" w:rsidP="001B1772">
            <w:pPr>
              <w:jc w:val="right"/>
              <w:rPr>
                <w:rFonts w:ascii="Calibri" w:hAnsi="Calibri" w:cs="Calibri"/>
                <w:color w:val="000000"/>
                <w:sz w:val="16"/>
                <w:szCs w:val="16"/>
              </w:rPr>
            </w:pPr>
            <w:r>
              <w:rPr>
                <w:rFonts w:ascii="Calibri" w:hAnsi="Calibri" w:cs="Calibri"/>
                <w:color w:val="000000"/>
                <w:sz w:val="16"/>
                <w:szCs w:val="16"/>
              </w:rPr>
              <w:t xml:space="preserve">                             -   </w:t>
            </w:r>
          </w:p>
        </w:tc>
        <w:tc>
          <w:tcPr>
            <w:tcW w:w="1359" w:type="dxa"/>
            <w:tcBorders>
              <w:top w:val="nil"/>
              <w:left w:val="nil"/>
              <w:bottom w:val="single" w:sz="8" w:space="0" w:color="auto"/>
              <w:right w:val="nil"/>
            </w:tcBorders>
            <w:shd w:val="clear" w:color="auto" w:fill="auto"/>
            <w:noWrap/>
            <w:vAlign w:val="center"/>
            <w:hideMark/>
          </w:tcPr>
          <w:p w14:paraId="1DCE9E09" w14:textId="77777777" w:rsidR="004133F5" w:rsidRDefault="004133F5" w:rsidP="001B1772">
            <w:pPr>
              <w:jc w:val="right"/>
              <w:rPr>
                <w:rFonts w:ascii="Calibri" w:hAnsi="Calibri" w:cs="Calibri"/>
                <w:color w:val="000000"/>
                <w:sz w:val="16"/>
                <w:szCs w:val="16"/>
              </w:rPr>
            </w:pPr>
            <w:r>
              <w:rPr>
                <w:rFonts w:ascii="Calibri" w:hAnsi="Calibri" w:cs="Calibri"/>
                <w:color w:val="000000"/>
                <w:sz w:val="16"/>
                <w:szCs w:val="16"/>
              </w:rPr>
              <w:t xml:space="preserve">                                   -   </w:t>
            </w:r>
          </w:p>
        </w:tc>
        <w:tc>
          <w:tcPr>
            <w:tcW w:w="1490" w:type="dxa"/>
            <w:tcBorders>
              <w:top w:val="nil"/>
              <w:left w:val="nil"/>
              <w:bottom w:val="single" w:sz="8" w:space="0" w:color="auto"/>
              <w:right w:val="nil"/>
            </w:tcBorders>
            <w:shd w:val="clear" w:color="auto" w:fill="auto"/>
            <w:noWrap/>
            <w:vAlign w:val="center"/>
            <w:hideMark/>
          </w:tcPr>
          <w:p w14:paraId="1A918B06" w14:textId="77777777" w:rsidR="004133F5" w:rsidRDefault="004133F5" w:rsidP="001B1772">
            <w:pPr>
              <w:jc w:val="right"/>
              <w:rPr>
                <w:rFonts w:ascii="Calibri" w:hAnsi="Calibri" w:cs="Calibri"/>
                <w:color w:val="000000"/>
                <w:sz w:val="16"/>
                <w:szCs w:val="16"/>
              </w:rPr>
            </w:pPr>
            <w:r>
              <w:rPr>
                <w:rFonts w:ascii="Calibri" w:hAnsi="Calibri" w:cs="Calibri"/>
                <w:color w:val="000000"/>
                <w:sz w:val="16"/>
                <w:szCs w:val="16"/>
              </w:rPr>
              <w:t xml:space="preserve">      (3.217.521.279)</w:t>
            </w:r>
          </w:p>
        </w:tc>
        <w:tc>
          <w:tcPr>
            <w:tcW w:w="743" w:type="dxa"/>
            <w:tcBorders>
              <w:top w:val="nil"/>
              <w:left w:val="nil"/>
              <w:bottom w:val="single" w:sz="8" w:space="0" w:color="auto"/>
              <w:right w:val="nil"/>
            </w:tcBorders>
            <w:shd w:val="clear" w:color="auto" w:fill="auto"/>
            <w:noWrap/>
            <w:vAlign w:val="bottom"/>
            <w:hideMark/>
          </w:tcPr>
          <w:p w14:paraId="5C8F3128" w14:textId="77777777" w:rsidR="004133F5" w:rsidRDefault="004133F5">
            <w:pPr>
              <w:rPr>
                <w:color w:val="000000"/>
                <w:sz w:val="20"/>
                <w:szCs w:val="20"/>
              </w:rPr>
            </w:pPr>
            <w:r>
              <w:rPr>
                <w:color w:val="000000"/>
                <w:sz w:val="20"/>
                <w:szCs w:val="20"/>
              </w:rPr>
              <w:t> </w:t>
            </w:r>
          </w:p>
        </w:tc>
      </w:tr>
      <w:tr w:rsidR="004133F5" w14:paraId="199B4E2B" w14:textId="77777777" w:rsidTr="004133F5">
        <w:trPr>
          <w:trHeight w:val="135"/>
        </w:trPr>
        <w:tc>
          <w:tcPr>
            <w:tcW w:w="3145" w:type="dxa"/>
            <w:tcBorders>
              <w:top w:val="single" w:sz="8" w:space="0" w:color="auto"/>
              <w:left w:val="nil"/>
              <w:bottom w:val="single" w:sz="8" w:space="0" w:color="auto"/>
              <w:right w:val="nil"/>
            </w:tcBorders>
            <w:shd w:val="clear" w:color="auto" w:fill="auto"/>
            <w:noWrap/>
            <w:vAlign w:val="bottom"/>
            <w:hideMark/>
          </w:tcPr>
          <w:p w14:paraId="30AC3307" w14:textId="77777777" w:rsidR="004133F5" w:rsidRDefault="004133F5">
            <w:pPr>
              <w:rPr>
                <w:color w:val="000000"/>
                <w:sz w:val="20"/>
                <w:szCs w:val="20"/>
              </w:rPr>
            </w:pPr>
            <w:r>
              <w:rPr>
                <w:color w:val="000000"/>
                <w:sz w:val="20"/>
                <w:szCs w:val="20"/>
              </w:rPr>
              <w:t> </w:t>
            </w:r>
          </w:p>
        </w:tc>
        <w:tc>
          <w:tcPr>
            <w:tcW w:w="1418" w:type="dxa"/>
            <w:tcBorders>
              <w:top w:val="nil"/>
              <w:left w:val="nil"/>
              <w:bottom w:val="single" w:sz="8" w:space="0" w:color="auto"/>
              <w:right w:val="nil"/>
            </w:tcBorders>
            <w:shd w:val="clear" w:color="auto" w:fill="auto"/>
            <w:noWrap/>
            <w:vAlign w:val="bottom"/>
            <w:hideMark/>
          </w:tcPr>
          <w:p w14:paraId="592E692F" w14:textId="77777777" w:rsidR="004133F5" w:rsidRDefault="004133F5" w:rsidP="001B1772">
            <w:pPr>
              <w:jc w:val="right"/>
              <w:rPr>
                <w:color w:val="000000"/>
                <w:sz w:val="20"/>
                <w:szCs w:val="20"/>
              </w:rPr>
            </w:pPr>
            <w:r>
              <w:rPr>
                <w:color w:val="000000"/>
                <w:sz w:val="20"/>
                <w:szCs w:val="20"/>
              </w:rPr>
              <w:t> </w:t>
            </w:r>
          </w:p>
        </w:tc>
        <w:tc>
          <w:tcPr>
            <w:tcW w:w="1237" w:type="dxa"/>
            <w:tcBorders>
              <w:top w:val="nil"/>
              <w:left w:val="nil"/>
              <w:bottom w:val="single" w:sz="8" w:space="0" w:color="auto"/>
              <w:right w:val="nil"/>
            </w:tcBorders>
            <w:shd w:val="clear" w:color="auto" w:fill="auto"/>
            <w:noWrap/>
            <w:vAlign w:val="bottom"/>
            <w:hideMark/>
          </w:tcPr>
          <w:p w14:paraId="64862184" w14:textId="77777777" w:rsidR="004133F5" w:rsidRDefault="004133F5" w:rsidP="001B1772">
            <w:pPr>
              <w:jc w:val="right"/>
              <w:rPr>
                <w:color w:val="000000"/>
                <w:sz w:val="20"/>
                <w:szCs w:val="20"/>
              </w:rPr>
            </w:pPr>
            <w:r>
              <w:rPr>
                <w:color w:val="000000"/>
                <w:sz w:val="20"/>
                <w:szCs w:val="20"/>
              </w:rPr>
              <w:t> </w:t>
            </w:r>
          </w:p>
        </w:tc>
        <w:tc>
          <w:tcPr>
            <w:tcW w:w="1128" w:type="dxa"/>
            <w:tcBorders>
              <w:top w:val="nil"/>
              <w:left w:val="nil"/>
              <w:bottom w:val="single" w:sz="8" w:space="0" w:color="auto"/>
              <w:right w:val="nil"/>
            </w:tcBorders>
            <w:shd w:val="clear" w:color="auto" w:fill="auto"/>
            <w:noWrap/>
            <w:vAlign w:val="bottom"/>
            <w:hideMark/>
          </w:tcPr>
          <w:p w14:paraId="08C09EF2" w14:textId="77777777" w:rsidR="004133F5" w:rsidRDefault="004133F5" w:rsidP="001B1772">
            <w:pPr>
              <w:jc w:val="right"/>
              <w:rPr>
                <w:color w:val="000000"/>
                <w:sz w:val="20"/>
                <w:szCs w:val="20"/>
              </w:rPr>
            </w:pPr>
            <w:r>
              <w:rPr>
                <w:color w:val="000000"/>
                <w:sz w:val="20"/>
                <w:szCs w:val="20"/>
              </w:rPr>
              <w:t> </w:t>
            </w:r>
          </w:p>
        </w:tc>
        <w:tc>
          <w:tcPr>
            <w:tcW w:w="1359" w:type="dxa"/>
            <w:tcBorders>
              <w:top w:val="nil"/>
              <w:left w:val="nil"/>
              <w:bottom w:val="single" w:sz="8" w:space="0" w:color="auto"/>
              <w:right w:val="nil"/>
            </w:tcBorders>
            <w:shd w:val="clear" w:color="auto" w:fill="auto"/>
            <w:noWrap/>
            <w:vAlign w:val="bottom"/>
            <w:hideMark/>
          </w:tcPr>
          <w:p w14:paraId="609E6328" w14:textId="77777777" w:rsidR="004133F5" w:rsidRDefault="004133F5" w:rsidP="001B1772">
            <w:pPr>
              <w:jc w:val="right"/>
              <w:rPr>
                <w:color w:val="000000"/>
                <w:sz w:val="20"/>
                <w:szCs w:val="20"/>
              </w:rPr>
            </w:pPr>
            <w:r>
              <w:rPr>
                <w:color w:val="000000"/>
                <w:sz w:val="20"/>
                <w:szCs w:val="20"/>
              </w:rPr>
              <w:t> </w:t>
            </w:r>
          </w:p>
        </w:tc>
        <w:tc>
          <w:tcPr>
            <w:tcW w:w="1490" w:type="dxa"/>
            <w:tcBorders>
              <w:top w:val="nil"/>
              <w:left w:val="nil"/>
              <w:bottom w:val="single" w:sz="8" w:space="0" w:color="auto"/>
              <w:right w:val="nil"/>
            </w:tcBorders>
            <w:shd w:val="clear" w:color="auto" w:fill="auto"/>
            <w:noWrap/>
            <w:vAlign w:val="bottom"/>
            <w:hideMark/>
          </w:tcPr>
          <w:p w14:paraId="374EED0B" w14:textId="77777777" w:rsidR="004133F5" w:rsidRDefault="004133F5" w:rsidP="001B1772">
            <w:pPr>
              <w:jc w:val="right"/>
              <w:rPr>
                <w:color w:val="000000"/>
                <w:sz w:val="20"/>
                <w:szCs w:val="20"/>
              </w:rPr>
            </w:pPr>
            <w:r>
              <w:rPr>
                <w:color w:val="000000"/>
                <w:sz w:val="20"/>
                <w:szCs w:val="20"/>
              </w:rPr>
              <w:t> </w:t>
            </w:r>
          </w:p>
        </w:tc>
        <w:tc>
          <w:tcPr>
            <w:tcW w:w="743" w:type="dxa"/>
            <w:tcBorders>
              <w:top w:val="nil"/>
              <w:left w:val="nil"/>
              <w:bottom w:val="single" w:sz="8" w:space="0" w:color="auto"/>
              <w:right w:val="nil"/>
            </w:tcBorders>
            <w:shd w:val="clear" w:color="auto" w:fill="auto"/>
            <w:noWrap/>
            <w:vAlign w:val="bottom"/>
            <w:hideMark/>
          </w:tcPr>
          <w:p w14:paraId="69E88DF8" w14:textId="77777777" w:rsidR="004133F5" w:rsidRDefault="004133F5">
            <w:pPr>
              <w:rPr>
                <w:color w:val="000000"/>
                <w:sz w:val="20"/>
                <w:szCs w:val="20"/>
              </w:rPr>
            </w:pPr>
            <w:r>
              <w:rPr>
                <w:color w:val="000000"/>
                <w:sz w:val="20"/>
                <w:szCs w:val="20"/>
              </w:rPr>
              <w:t> </w:t>
            </w:r>
          </w:p>
        </w:tc>
      </w:tr>
      <w:tr w:rsidR="004133F5" w14:paraId="14AB9432" w14:textId="77777777" w:rsidTr="004133F5">
        <w:trPr>
          <w:trHeight w:val="300"/>
        </w:trPr>
        <w:tc>
          <w:tcPr>
            <w:tcW w:w="3145" w:type="dxa"/>
            <w:tcBorders>
              <w:top w:val="nil"/>
              <w:left w:val="nil"/>
              <w:bottom w:val="single" w:sz="8" w:space="0" w:color="auto"/>
              <w:right w:val="nil"/>
            </w:tcBorders>
            <w:shd w:val="clear" w:color="auto" w:fill="auto"/>
            <w:noWrap/>
            <w:vAlign w:val="center"/>
            <w:hideMark/>
          </w:tcPr>
          <w:p w14:paraId="761290C0" w14:textId="77777777" w:rsidR="004133F5" w:rsidRDefault="004133F5">
            <w:pPr>
              <w:rPr>
                <w:rFonts w:ascii="Calibri" w:hAnsi="Calibri" w:cs="Calibri"/>
                <w:b/>
                <w:bCs/>
                <w:color w:val="000000"/>
                <w:sz w:val="16"/>
                <w:szCs w:val="16"/>
              </w:rPr>
            </w:pPr>
            <w:r>
              <w:rPr>
                <w:rFonts w:ascii="Calibri" w:hAnsi="Calibri" w:cs="Calibri"/>
                <w:b/>
                <w:bCs/>
                <w:color w:val="000000"/>
                <w:sz w:val="16"/>
                <w:szCs w:val="16"/>
              </w:rPr>
              <w:t>Depreciação de Bens Móveis e Imóveis (6)</w:t>
            </w:r>
          </w:p>
        </w:tc>
        <w:tc>
          <w:tcPr>
            <w:tcW w:w="1418" w:type="dxa"/>
            <w:tcBorders>
              <w:top w:val="nil"/>
              <w:left w:val="nil"/>
              <w:bottom w:val="single" w:sz="8" w:space="0" w:color="auto"/>
              <w:right w:val="nil"/>
            </w:tcBorders>
            <w:shd w:val="clear" w:color="auto" w:fill="auto"/>
            <w:noWrap/>
            <w:vAlign w:val="center"/>
            <w:hideMark/>
          </w:tcPr>
          <w:p w14:paraId="4147FA61" w14:textId="77777777" w:rsidR="004133F5" w:rsidRDefault="004133F5" w:rsidP="001B1772">
            <w:pPr>
              <w:jc w:val="right"/>
              <w:rPr>
                <w:rFonts w:ascii="Calibri" w:hAnsi="Calibri" w:cs="Calibri"/>
                <w:b/>
                <w:bCs/>
                <w:color w:val="000000"/>
                <w:sz w:val="16"/>
                <w:szCs w:val="16"/>
              </w:rPr>
            </w:pPr>
            <w:r>
              <w:rPr>
                <w:rFonts w:ascii="Calibri" w:hAnsi="Calibri" w:cs="Calibri"/>
                <w:b/>
                <w:bCs/>
                <w:color w:val="000000"/>
                <w:sz w:val="16"/>
                <w:szCs w:val="16"/>
              </w:rPr>
              <w:t xml:space="preserve">         (984.976.696)</w:t>
            </w:r>
          </w:p>
        </w:tc>
        <w:tc>
          <w:tcPr>
            <w:tcW w:w="1237" w:type="dxa"/>
            <w:tcBorders>
              <w:top w:val="nil"/>
              <w:left w:val="nil"/>
              <w:bottom w:val="single" w:sz="8" w:space="0" w:color="auto"/>
              <w:right w:val="nil"/>
            </w:tcBorders>
            <w:shd w:val="clear" w:color="auto" w:fill="auto"/>
            <w:noWrap/>
            <w:vAlign w:val="center"/>
            <w:hideMark/>
          </w:tcPr>
          <w:p w14:paraId="015D32FC" w14:textId="77777777" w:rsidR="004133F5" w:rsidRDefault="004133F5" w:rsidP="001B1772">
            <w:pPr>
              <w:jc w:val="right"/>
              <w:rPr>
                <w:rFonts w:ascii="Calibri" w:hAnsi="Calibri" w:cs="Calibri"/>
                <w:b/>
                <w:bCs/>
                <w:color w:val="000000"/>
                <w:sz w:val="16"/>
                <w:szCs w:val="16"/>
              </w:rPr>
            </w:pPr>
            <w:r>
              <w:rPr>
                <w:rFonts w:ascii="Calibri" w:hAnsi="Calibri" w:cs="Calibri"/>
                <w:b/>
                <w:bCs/>
                <w:color w:val="000000"/>
                <w:sz w:val="16"/>
                <w:szCs w:val="16"/>
              </w:rPr>
              <w:t xml:space="preserve">         (3.038.291)</w:t>
            </w:r>
          </w:p>
        </w:tc>
        <w:tc>
          <w:tcPr>
            <w:tcW w:w="1128" w:type="dxa"/>
            <w:tcBorders>
              <w:top w:val="nil"/>
              <w:left w:val="nil"/>
              <w:bottom w:val="single" w:sz="8" w:space="0" w:color="auto"/>
              <w:right w:val="nil"/>
            </w:tcBorders>
            <w:shd w:val="clear" w:color="auto" w:fill="auto"/>
            <w:noWrap/>
            <w:vAlign w:val="center"/>
            <w:hideMark/>
          </w:tcPr>
          <w:p w14:paraId="6F79958E" w14:textId="19928C55" w:rsidR="004133F5" w:rsidRDefault="004133F5" w:rsidP="001B1772">
            <w:pPr>
              <w:jc w:val="right"/>
              <w:rPr>
                <w:rFonts w:ascii="Calibri" w:hAnsi="Calibri" w:cs="Calibri"/>
                <w:b/>
                <w:bCs/>
                <w:color w:val="000000"/>
                <w:sz w:val="16"/>
                <w:szCs w:val="16"/>
              </w:rPr>
            </w:pPr>
            <w:r>
              <w:rPr>
                <w:rFonts w:ascii="Calibri" w:hAnsi="Calibri" w:cs="Calibri"/>
                <w:b/>
                <w:bCs/>
                <w:color w:val="000000"/>
                <w:sz w:val="16"/>
                <w:szCs w:val="16"/>
              </w:rPr>
              <w:t xml:space="preserve">            165.019 </w:t>
            </w:r>
          </w:p>
        </w:tc>
        <w:tc>
          <w:tcPr>
            <w:tcW w:w="1359" w:type="dxa"/>
            <w:tcBorders>
              <w:top w:val="nil"/>
              <w:left w:val="nil"/>
              <w:bottom w:val="single" w:sz="8" w:space="0" w:color="auto"/>
              <w:right w:val="nil"/>
            </w:tcBorders>
            <w:shd w:val="clear" w:color="auto" w:fill="auto"/>
            <w:noWrap/>
            <w:vAlign w:val="center"/>
            <w:hideMark/>
          </w:tcPr>
          <w:p w14:paraId="266B68A4" w14:textId="77777777" w:rsidR="004133F5" w:rsidRDefault="004133F5" w:rsidP="001B1772">
            <w:pPr>
              <w:jc w:val="right"/>
              <w:rPr>
                <w:rFonts w:ascii="Calibri" w:hAnsi="Calibri" w:cs="Calibri"/>
                <w:b/>
                <w:bCs/>
                <w:color w:val="000000"/>
                <w:sz w:val="16"/>
                <w:szCs w:val="16"/>
              </w:rPr>
            </w:pPr>
            <w:r>
              <w:rPr>
                <w:rFonts w:ascii="Calibri" w:hAnsi="Calibri" w:cs="Calibri"/>
                <w:b/>
                <w:bCs/>
                <w:color w:val="000000"/>
                <w:sz w:val="16"/>
                <w:szCs w:val="16"/>
              </w:rPr>
              <w:t xml:space="preserve">            35.160.374 </w:t>
            </w:r>
          </w:p>
        </w:tc>
        <w:tc>
          <w:tcPr>
            <w:tcW w:w="1490" w:type="dxa"/>
            <w:tcBorders>
              <w:top w:val="nil"/>
              <w:left w:val="nil"/>
              <w:bottom w:val="single" w:sz="8" w:space="0" w:color="auto"/>
              <w:right w:val="nil"/>
            </w:tcBorders>
            <w:shd w:val="clear" w:color="auto" w:fill="auto"/>
            <w:noWrap/>
            <w:vAlign w:val="center"/>
            <w:hideMark/>
          </w:tcPr>
          <w:p w14:paraId="019A2AEE" w14:textId="77777777" w:rsidR="004133F5" w:rsidRDefault="004133F5" w:rsidP="001B1772">
            <w:pPr>
              <w:jc w:val="right"/>
              <w:rPr>
                <w:rFonts w:ascii="Calibri" w:hAnsi="Calibri" w:cs="Calibri"/>
                <w:b/>
                <w:bCs/>
                <w:color w:val="000000"/>
                <w:sz w:val="16"/>
                <w:szCs w:val="16"/>
              </w:rPr>
            </w:pPr>
            <w:r>
              <w:rPr>
                <w:rFonts w:ascii="Calibri" w:hAnsi="Calibri" w:cs="Calibri"/>
                <w:b/>
                <w:bCs/>
                <w:color w:val="000000"/>
                <w:sz w:val="16"/>
                <w:szCs w:val="16"/>
              </w:rPr>
              <w:t xml:space="preserve">          (952.689.594)</w:t>
            </w:r>
          </w:p>
        </w:tc>
        <w:tc>
          <w:tcPr>
            <w:tcW w:w="743" w:type="dxa"/>
            <w:tcBorders>
              <w:top w:val="nil"/>
              <w:left w:val="nil"/>
              <w:bottom w:val="single" w:sz="8" w:space="0" w:color="auto"/>
              <w:right w:val="nil"/>
            </w:tcBorders>
            <w:shd w:val="clear" w:color="auto" w:fill="auto"/>
            <w:noWrap/>
            <w:vAlign w:val="center"/>
            <w:hideMark/>
          </w:tcPr>
          <w:p w14:paraId="126DADA7" w14:textId="77777777" w:rsidR="004133F5" w:rsidRDefault="004133F5">
            <w:pPr>
              <w:jc w:val="right"/>
              <w:rPr>
                <w:rFonts w:ascii="Calibri" w:hAnsi="Calibri" w:cs="Calibri"/>
                <w:b/>
                <w:bCs/>
                <w:color w:val="000000"/>
                <w:sz w:val="16"/>
                <w:szCs w:val="16"/>
              </w:rPr>
            </w:pPr>
            <w:r>
              <w:rPr>
                <w:rFonts w:ascii="Calibri" w:hAnsi="Calibri" w:cs="Calibri"/>
                <w:b/>
                <w:bCs/>
                <w:color w:val="000000"/>
                <w:sz w:val="16"/>
                <w:szCs w:val="16"/>
              </w:rPr>
              <w:t xml:space="preserve"> </w:t>
            </w:r>
          </w:p>
        </w:tc>
      </w:tr>
      <w:tr w:rsidR="004133F5" w14:paraId="68A0DBF3" w14:textId="77777777" w:rsidTr="004133F5">
        <w:trPr>
          <w:trHeight w:val="300"/>
        </w:trPr>
        <w:tc>
          <w:tcPr>
            <w:tcW w:w="3145" w:type="dxa"/>
            <w:tcBorders>
              <w:top w:val="nil"/>
              <w:left w:val="nil"/>
              <w:bottom w:val="nil"/>
              <w:right w:val="nil"/>
            </w:tcBorders>
            <w:shd w:val="clear" w:color="auto" w:fill="auto"/>
            <w:noWrap/>
            <w:vAlign w:val="center"/>
            <w:hideMark/>
          </w:tcPr>
          <w:p w14:paraId="15610DCF" w14:textId="77777777" w:rsidR="004133F5" w:rsidRDefault="004133F5">
            <w:pPr>
              <w:rPr>
                <w:rFonts w:ascii="Calibri" w:hAnsi="Calibri" w:cs="Calibri"/>
                <w:b/>
                <w:bCs/>
                <w:color w:val="000000"/>
                <w:sz w:val="16"/>
                <w:szCs w:val="16"/>
              </w:rPr>
            </w:pPr>
            <w:r>
              <w:rPr>
                <w:rFonts w:ascii="Calibri" w:hAnsi="Calibri" w:cs="Calibri"/>
                <w:b/>
                <w:bCs/>
                <w:color w:val="000000"/>
                <w:sz w:val="16"/>
                <w:szCs w:val="16"/>
              </w:rPr>
              <w:t xml:space="preserve">Depreciação de Bens Móveis </w:t>
            </w:r>
          </w:p>
        </w:tc>
        <w:tc>
          <w:tcPr>
            <w:tcW w:w="1418" w:type="dxa"/>
            <w:tcBorders>
              <w:top w:val="nil"/>
              <w:left w:val="nil"/>
              <w:bottom w:val="nil"/>
              <w:right w:val="nil"/>
            </w:tcBorders>
            <w:shd w:val="clear" w:color="auto" w:fill="auto"/>
            <w:noWrap/>
            <w:vAlign w:val="center"/>
            <w:hideMark/>
          </w:tcPr>
          <w:p w14:paraId="475B6C8B" w14:textId="77777777" w:rsidR="004133F5" w:rsidRDefault="004133F5" w:rsidP="001B1772">
            <w:pPr>
              <w:jc w:val="right"/>
              <w:rPr>
                <w:rFonts w:ascii="Calibri" w:hAnsi="Calibri" w:cs="Calibri"/>
                <w:b/>
                <w:bCs/>
                <w:color w:val="000000"/>
                <w:sz w:val="16"/>
                <w:szCs w:val="16"/>
              </w:rPr>
            </w:pPr>
            <w:r>
              <w:rPr>
                <w:rFonts w:ascii="Calibri" w:hAnsi="Calibri" w:cs="Calibri"/>
                <w:b/>
                <w:bCs/>
                <w:color w:val="000000"/>
                <w:sz w:val="16"/>
                <w:szCs w:val="16"/>
              </w:rPr>
              <w:t xml:space="preserve">            (29.429.165)</w:t>
            </w:r>
          </w:p>
        </w:tc>
        <w:tc>
          <w:tcPr>
            <w:tcW w:w="1237" w:type="dxa"/>
            <w:tcBorders>
              <w:top w:val="nil"/>
              <w:left w:val="nil"/>
              <w:bottom w:val="nil"/>
              <w:right w:val="nil"/>
            </w:tcBorders>
            <w:shd w:val="clear" w:color="auto" w:fill="auto"/>
            <w:noWrap/>
            <w:vAlign w:val="center"/>
            <w:hideMark/>
          </w:tcPr>
          <w:p w14:paraId="195FE462" w14:textId="77777777" w:rsidR="004133F5" w:rsidRDefault="004133F5" w:rsidP="001B1772">
            <w:pPr>
              <w:jc w:val="right"/>
              <w:rPr>
                <w:rFonts w:ascii="Calibri" w:hAnsi="Calibri" w:cs="Calibri"/>
                <w:b/>
                <w:bCs/>
                <w:color w:val="000000"/>
                <w:sz w:val="16"/>
                <w:szCs w:val="16"/>
              </w:rPr>
            </w:pPr>
            <w:r>
              <w:rPr>
                <w:rFonts w:ascii="Calibri" w:hAnsi="Calibri" w:cs="Calibri"/>
                <w:b/>
                <w:bCs/>
                <w:color w:val="000000"/>
                <w:sz w:val="16"/>
                <w:szCs w:val="16"/>
              </w:rPr>
              <w:t xml:space="preserve">         (1.966.032)</w:t>
            </w:r>
          </w:p>
        </w:tc>
        <w:tc>
          <w:tcPr>
            <w:tcW w:w="1128" w:type="dxa"/>
            <w:tcBorders>
              <w:top w:val="nil"/>
              <w:left w:val="nil"/>
              <w:bottom w:val="nil"/>
              <w:right w:val="nil"/>
            </w:tcBorders>
            <w:shd w:val="clear" w:color="auto" w:fill="auto"/>
            <w:noWrap/>
            <w:vAlign w:val="center"/>
            <w:hideMark/>
          </w:tcPr>
          <w:p w14:paraId="0EC93129" w14:textId="77777777" w:rsidR="004133F5" w:rsidRDefault="004133F5" w:rsidP="001B1772">
            <w:pPr>
              <w:jc w:val="right"/>
              <w:rPr>
                <w:rFonts w:ascii="Calibri" w:hAnsi="Calibri" w:cs="Calibri"/>
                <w:b/>
                <w:bCs/>
                <w:color w:val="000000"/>
                <w:sz w:val="16"/>
                <w:szCs w:val="16"/>
              </w:rPr>
            </w:pPr>
            <w:r>
              <w:rPr>
                <w:rFonts w:ascii="Calibri" w:hAnsi="Calibri" w:cs="Calibri"/>
                <w:b/>
                <w:bCs/>
                <w:color w:val="000000"/>
                <w:sz w:val="16"/>
                <w:szCs w:val="16"/>
              </w:rPr>
              <w:t xml:space="preserve">                             -   </w:t>
            </w:r>
          </w:p>
        </w:tc>
        <w:tc>
          <w:tcPr>
            <w:tcW w:w="1359" w:type="dxa"/>
            <w:tcBorders>
              <w:top w:val="nil"/>
              <w:left w:val="nil"/>
              <w:bottom w:val="nil"/>
              <w:right w:val="nil"/>
            </w:tcBorders>
            <w:shd w:val="clear" w:color="auto" w:fill="auto"/>
            <w:noWrap/>
            <w:vAlign w:val="center"/>
            <w:hideMark/>
          </w:tcPr>
          <w:p w14:paraId="576FB627" w14:textId="77777777" w:rsidR="004133F5" w:rsidRDefault="004133F5" w:rsidP="001B1772">
            <w:pPr>
              <w:jc w:val="right"/>
              <w:rPr>
                <w:rFonts w:ascii="Calibri" w:hAnsi="Calibri" w:cs="Calibri"/>
                <w:b/>
                <w:bCs/>
                <w:color w:val="000000"/>
                <w:sz w:val="16"/>
                <w:szCs w:val="16"/>
              </w:rPr>
            </w:pPr>
            <w:r>
              <w:rPr>
                <w:rFonts w:ascii="Calibri" w:hAnsi="Calibri" w:cs="Calibri"/>
                <w:b/>
                <w:bCs/>
                <w:color w:val="000000"/>
                <w:sz w:val="16"/>
                <w:szCs w:val="16"/>
              </w:rPr>
              <w:t xml:space="preserve">                                   -   </w:t>
            </w:r>
          </w:p>
        </w:tc>
        <w:tc>
          <w:tcPr>
            <w:tcW w:w="1490" w:type="dxa"/>
            <w:tcBorders>
              <w:top w:val="nil"/>
              <w:left w:val="nil"/>
              <w:bottom w:val="nil"/>
              <w:right w:val="nil"/>
            </w:tcBorders>
            <w:shd w:val="clear" w:color="auto" w:fill="auto"/>
            <w:noWrap/>
            <w:vAlign w:val="center"/>
            <w:hideMark/>
          </w:tcPr>
          <w:p w14:paraId="73ABE236" w14:textId="77777777" w:rsidR="004133F5" w:rsidRDefault="004133F5" w:rsidP="001B1772">
            <w:pPr>
              <w:jc w:val="right"/>
              <w:rPr>
                <w:rFonts w:ascii="Calibri" w:hAnsi="Calibri" w:cs="Calibri"/>
                <w:b/>
                <w:bCs/>
                <w:color w:val="000000"/>
                <w:sz w:val="16"/>
                <w:szCs w:val="16"/>
              </w:rPr>
            </w:pPr>
            <w:r>
              <w:rPr>
                <w:rFonts w:ascii="Calibri" w:hAnsi="Calibri" w:cs="Calibri"/>
                <w:b/>
                <w:bCs/>
                <w:color w:val="000000"/>
                <w:sz w:val="16"/>
                <w:szCs w:val="16"/>
              </w:rPr>
              <w:t xml:space="preserve">             (31.395.197)</w:t>
            </w:r>
          </w:p>
        </w:tc>
        <w:tc>
          <w:tcPr>
            <w:tcW w:w="743" w:type="dxa"/>
            <w:tcBorders>
              <w:top w:val="nil"/>
              <w:left w:val="nil"/>
              <w:bottom w:val="nil"/>
              <w:right w:val="nil"/>
            </w:tcBorders>
            <w:shd w:val="clear" w:color="auto" w:fill="auto"/>
            <w:noWrap/>
            <w:vAlign w:val="center"/>
            <w:hideMark/>
          </w:tcPr>
          <w:p w14:paraId="24122EF9" w14:textId="77777777" w:rsidR="004133F5" w:rsidRDefault="004133F5">
            <w:pPr>
              <w:jc w:val="right"/>
              <w:rPr>
                <w:rFonts w:ascii="Calibri" w:hAnsi="Calibri" w:cs="Calibri"/>
                <w:b/>
                <w:bCs/>
                <w:color w:val="000000"/>
                <w:sz w:val="16"/>
                <w:szCs w:val="16"/>
              </w:rPr>
            </w:pPr>
          </w:p>
        </w:tc>
      </w:tr>
      <w:tr w:rsidR="004133F5" w14:paraId="6A3E26DA" w14:textId="77777777" w:rsidTr="004133F5">
        <w:trPr>
          <w:trHeight w:val="300"/>
        </w:trPr>
        <w:tc>
          <w:tcPr>
            <w:tcW w:w="3145" w:type="dxa"/>
            <w:tcBorders>
              <w:top w:val="nil"/>
              <w:left w:val="nil"/>
              <w:bottom w:val="nil"/>
              <w:right w:val="nil"/>
            </w:tcBorders>
            <w:shd w:val="clear" w:color="auto" w:fill="auto"/>
            <w:noWrap/>
            <w:vAlign w:val="center"/>
            <w:hideMark/>
          </w:tcPr>
          <w:p w14:paraId="7E22DCC7" w14:textId="77777777" w:rsidR="004133F5" w:rsidRDefault="004133F5">
            <w:pPr>
              <w:rPr>
                <w:rFonts w:ascii="Calibri" w:hAnsi="Calibri" w:cs="Calibri"/>
                <w:b/>
                <w:bCs/>
                <w:color w:val="000000"/>
                <w:sz w:val="16"/>
                <w:szCs w:val="16"/>
              </w:rPr>
            </w:pPr>
            <w:r>
              <w:rPr>
                <w:rFonts w:ascii="Calibri" w:hAnsi="Calibri" w:cs="Calibri"/>
                <w:b/>
                <w:bCs/>
                <w:color w:val="000000"/>
                <w:sz w:val="16"/>
                <w:szCs w:val="16"/>
              </w:rPr>
              <w:t xml:space="preserve">Depreciação de Bens Imóveis </w:t>
            </w:r>
          </w:p>
        </w:tc>
        <w:tc>
          <w:tcPr>
            <w:tcW w:w="1418" w:type="dxa"/>
            <w:tcBorders>
              <w:top w:val="nil"/>
              <w:left w:val="nil"/>
              <w:bottom w:val="nil"/>
              <w:right w:val="nil"/>
            </w:tcBorders>
            <w:shd w:val="clear" w:color="auto" w:fill="auto"/>
            <w:noWrap/>
            <w:vAlign w:val="center"/>
            <w:hideMark/>
          </w:tcPr>
          <w:p w14:paraId="1A7CC6E4" w14:textId="77777777" w:rsidR="004133F5" w:rsidRDefault="004133F5" w:rsidP="001B1772">
            <w:pPr>
              <w:jc w:val="right"/>
              <w:rPr>
                <w:rFonts w:ascii="Calibri" w:hAnsi="Calibri" w:cs="Calibri"/>
                <w:b/>
                <w:bCs/>
                <w:color w:val="000000"/>
                <w:sz w:val="16"/>
                <w:szCs w:val="16"/>
              </w:rPr>
            </w:pPr>
            <w:r>
              <w:rPr>
                <w:rFonts w:ascii="Calibri" w:hAnsi="Calibri" w:cs="Calibri"/>
                <w:b/>
                <w:bCs/>
                <w:color w:val="000000"/>
                <w:sz w:val="16"/>
                <w:szCs w:val="16"/>
              </w:rPr>
              <w:t xml:space="preserve">         (920.011.504)</w:t>
            </w:r>
          </w:p>
        </w:tc>
        <w:tc>
          <w:tcPr>
            <w:tcW w:w="1237" w:type="dxa"/>
            <w:tcBorders>
              <w:top w:val="nil"/>
              <w:left w:val="nil"/>
              <w:bottom w:val="nil"/>
              <w:right w:val="nil"/>
            </w:tcBorders>
            <w:shd w:val="clear" w:color="auto" w:fill="auto"/>
            <w:noWrap/>
            <w:vAlign w:val="center"/>
            <w:hideMark/>
          </w:tcPr>
          <w:p w14:paraId="3FE6D166" w14:textId="2C3DD658" w:rsidR="004133F5" w:rsidRDefault="004133F5" w:rsidP="001B1772">
            <w:pPr>
              <w:jc w:val="right"/>
              <w:rPr>
                <w:rFonts w:ascii="Calibri" w:hAnsi="Calibri" w:cs="Calibri"/>
                <w:b/>
                <w:bCs/>
                <w:color w:val="000000"/>
                <w:sz w:val="16"/>
                <w:szCs w:val="16"/>
              </w:rPr>
            </w:pPr>
            <w:r>
              <w:rPr>
                <w:rFonts w:ascii="Calibri" w:hAnsi="Calibri" w:cs="Calibri"/>
                <w:b/>
                <w:bCs/>
                <w:color w:val="000000"/>
                <w:sz w:val="16"/>
                <w:szCs w:val="16"/>
              </w:rPr>
              <w:t xml:space="preserve">            (223.404)</w:t>
            </w:r>
          </w:p>
        </w:tc>
        <w:tc>
          <w:tcPr>
            <w:tcW w:w="1128" w:type="dxa"/>
            <w:tcBorders>
              <w:top w:val="nil"/>
              <w:left w:val="nil"/>
              <w:bottom w:val="nil"/>
              <w:right w:val="nil"/>
            </w:tcBorders>
            <w:shd w:val="clear" w:color="auto" w:fill="auto"/>
            <w:noWrap/>
            <w:vAlign w:val="center"/>
            <w:hideMark/>
          </w:tcPr>
          <w:p w14:paraId="14FC1537" w14:textId="5A85AFC8" w:rsidR="004133F5" w:rsidRDefault="004133F5" w:rsidP="001B1772">
            <w:pPr>
              <w:jc w:val="right"/>
              <w:rPr>
                <w:rFonts w:ascii="Calibri" w:hAnsi="Calibri" w:cs="Calibri"/>
                <w:b/>
                <w:bCs/>
                <w:color w:val="000000"/>
                <w:sz w:val="16"/>
                <w:szCs w:val="16"/>
              </w:rPr>
            </w:pPr>
            <w:r>
              <w:rPr>
                <w:rFonts w:ascii="Calibri" w:hAnsi="Calibri" w:cs="Calibri"/>
                <w:b/>
                <w:bCs/>
                <w:color w:val="000000"/>
                <w:sz w:val="16"/>
                <w:szCs w:val="16"/>
              </w:rPr>
              <w:t xml:space="preserve">           165.019 </w:t>
            </w:r>
          </w:p>
        </w:tc>
        <w:tc>
          <w:tcPr>
            <w:tcW w:w="1359" w:type="dxa"/>
            <w:tcBorders>
              <w:top w:val="nil"/>
              <w:left w:val="nil"/>
              <w:bottom w:val="nil"/>
              <w:right w:val="nil"/>
            </w:tcBorders>
            <w:shd w:val="clear" w:color="auto" w:fill="auto"/>
            <w:noWrap/>
            <w:vAlign w:val="center"/>
            <w:hideMark/>
          </w:tcPr>
          <w:p w14:paraId="25C6ACAF" w14:textId="77777777" w:rsidR="004133F5" w:rsidRDefault="004133F5" w:rsidP="001B1772">
            <w:pPr>
              <w:jc w:val="right"/>
              <w:rPr>
                <w:rFonts w:ascii="Calibri" w:hAnsi="Calibri" w:cs="Calibri"/>
                <w:b/>
                <w:bCs/>
                <w:color w:val="000000"/>
                <w:sz w:val="16"/>
                <w:szCs w:val="16"/>
              </w:rPr>
            </w:pPr>
            <w:r>
              <w:rPr>
                <w:rFonts w:ascii="Calibri" w:hAnsi="Calibri" w:cs="Calibri"/>
                <w:b/>
                <w:bCs/>
                <w:color w:val="000000"/>
                <w:sz w:val="16"/>
                <w:szCs w:val="16"/>
              </w:rPr>
              <w:t xml:space="preserve">                                   -   </w:t>
            </w:r>
          </w:p>
        </w:tc>
        <w:tc>
          <w:tcPr>
            <w:tcW w:w="1490" w:type="dxa"/>
            <w:tcBorders>
              <w:top w:val="nil"/>
              <w:left w:val="nil"/>
              <w:bottom w:val="nil"/>
              <w:right w:val="nil"/>
            </w:tcBorders>
            <w:shd w:val="clear" w:color="auto" w:fill="auto"/>
            <w:noWrap/>
            <w:vAlign w:val="center"/>
            <w:hideMark/>
          </w:tcPr>
          <w:p w14:paraId="51DB76E9" w14:textId="77777777" w:rsidR="004133F5" w:rsidRDefault="004133F5" w:rsidP="001B1772">
            <w:pPr>
              <w:jc w:val="right"/>
              <w:rPr>
                <w:rFonts w:ascii="Calibri" w:hAnsi="Calibri" w:cs="Calibri"/>
                <w:b/>
                <w:bCs/>
                <w:color w:val="000000"/>
                <w:sz w:val="16"/>
                <w:szCs w:val="16"/>
              </w:rPr>
            </w:pPr>
            <w:r>
              <w:rPr>
                <w:rFonts w:ascii="Calibri" w:hAnsi="Calibri" w:cs="Calibri"/>
                <w:b/>
                <w:bCs/>
                <w:color w:val="000000"/>
                <w:sz w:val="16"/>
                <w:szCs w:val="16"/>
              </w:rPr>
              <w:t xml:space="preserve">          (920.069.889)</w:t>
            </w:r>
          </w:p>
        </w:tc>
        <w:tc>
          <w:tcPr>
            <w:tcW w:w="743" w:type="dxa"/>
            <w:tcBorders>
              <w:top w:val="nil"/>
              <w:left w:val="nil"/>
              <w:bottom w:val="nil"/>
              <w:right w:val="nil"/>
            </w:tcBorders>
            <w:shd w:val="clear" w:color="auto" w:fill="auto"/>
            <w:noWrap/>
            <w:vAlign w:val="center"/>
            <w:hideMark/>
          </w:tcPr>
          <w:p w14:paraId="6B6DB178" w14:textId="77777777" w:rsidR="004133F5" w:rsidRDefault="004133F5">
            <w:pPr>
              <w:jc w:val="right"/>
              <w:rPr>
                <w:rFonts w:ascii="Calibri" w:hAnsi="Calibri" w:cs="Calibri"/>
                <w:b/>
                <w:bCs/>
                <w:color w:val="000000"/>
                <w:sz w:val="16"/>
                <w:szCs w:val="16"/>
              </w:rPr>
            </w:pPr>
          </w:p>
        </w:tc>
      </w:tr>
      <w:tr w:rsidR="004133F5" w14:paraId="5A17E9F6" w14:textId="77777777" w:rsidTr="004133F5">
        <w:trPr>
          <w:trHeight w:val="300"/>
        </w:trPr>
        <w:tc>
          <w:tcPr>
            <w:tcW w:w="3145" w:type="dxa"/>
            <w:tcBorders>
              <w:top w:val="nil"/>
              <w:left w:val="nil"/>
              <w:bottom w:val="nil"/>
              <w:right w:val="nil"/>
            </w:tcBorders>
            <w:shd w:val="clear" w:color="auto" w:fill="auto"/>
            <w:noWrap/>
            <w:vAlign w:val="center"/>
            <w:hideMark/>
          </w:tcPr>
          <w:p w14:paraId="6D656683" w14:textId="77777777" w:rsidR="004133F5" w:rsidRDefault="004133F5">
            <w:pPr>
              <w:rPr>
                <w:rFonts w:ascii="Calibri" w:hAnsi="Calibri" w:cs="Calibri"/>
                <w:color w:val="000000"/>
                <w:sz w:val="16"/>
                <w:szCs w:val="16"/>
              </w:rPr>
            </w:pPr>
            <w:r>
              <w:rPr>
                <w:rFonts w:ascii="Calibri" w:hAnsi="Calibri" w:cs="Calibri"/>
                <w:color w:val="000000"/>
                <w:sz w:val="16"/>
                <w:szCs w:val="16"/>
              </w:rPr>
              <w:t xml:space="preserve">     Salas e Escritórios</w:t>
            </w:r>
          </w:p>
        </w:tc>
        <w:tc>
          <w:tcPr>
            <w:tcW w:w="1418" w:type="dxa"/>
            <w:tcBorders>
              <w:top w:val="nil"/>
              <w:left w:val="nil"/>
              <w:bottom w:val="nil"/>
              <w:right w:val="nil"/>
            </w:tcBorders>
            <w:shd w:val="clear" w:color="auto" w:fill="auto"/>
            <w:noWrap/>
            <w:vAlign w:val="center"/>
            <w:hideMark/>
          </w:tcPr>
          <w:p w14:paraId="661AB051" w14:textId="25782BDB" w:rsidR="004133F5" w:rsidRDefault="004133F5" w:rsidP="001B1772">
            <w:pPr>
              <w:jc w:val="right"/>
              <w:rPr>
                <w:rFonts w:ascii="Calibri" w:hAnsi="Calibri" w:cs="Calibri"/>
                <w:color w:val="000000"/>
                <w:sz w:val="16"/>
                <w:szCs w:val="16"/>
              </w:rPr>
            </w:pPr>
            <w:r>
              <w:rPr>
                <w:rFonts w:ascii="Calibri" w:hAnsi="Calibri" w:cs="Calibri"/>
                <w:color w:val="000000"/>
                <w:sz w:val="16"/>
                <w:szCs w:val="16"/>
              </w:rPr>
              <w:t xml:space="preserve">           (2.160.227)</w:t>
            </w:r>
          </w:p>
        </w:tc>
        <w:tc>
          <w:tcPr>
            <w:tcW w:w="1237" w:type="dxa"/>
            <w:tcBorders>
              <w:top w:val="nil"/>
              <w:left w:val="nil"/>
              <w:bottom w:val="nil"/>
              <w:right w:val="nil"/>
            </w:tcBorders>
            <w:shd w:val="clear" w:color="auto" w:fill="auto"/>
            <w:noWrap/>
            <w:vAlign w:val="center"/>
            <w:hideMark/>
          </w:tcPr>
          <w:p w14:paraId="28EAEFAA" w14:textId="7950A6AE" w:rsidR="004133F5" w:rsidRDefault="004133F5" w:rsidP="001B1772">
            <w:pPr>
              <w:jc w:val="right"/>
              <w:rPr>
                <w:rFonts w:ascii="Calibri" w:hAnsi="Calibri" w:cs="Calibri"/>
                <w:color w:val="000000"/>
                <w:sz w:val="16"/>
                <w:szCs w:val="16"/>
              </w:rPr>
            </w:pPr>
            <w:r>
              <w:rPr>
                <w:rFonts w:ascii="Calibri" w:hAnsi="Calibri" w:cs="Calibri"/>
                <w:color w:val="000000"/>
                <w:sz w:val="16"/>
                <w:szCs w:val="16"/>
              </w:rPr>
              <w:t xml:space="preserve">               (42.558)</w:t>
            </w:r>
          </w:p>
        </w:tc>
        <w:tc>
          <w:tcPr>
            <w:tcW w:w="1128" w:type="dxa"/>
            <w:tcBorders>
              <w:top w:val="nil"/>
              <w:left w:val="nil"/>
              <w:bottom w:val="nil"/>
              <w:right w:val="nil"/>
            </w:tcBorders>
            <w:shd w:val="clear" w:color="auto" w:fill="auto"/>
            <w:noWrap/>
            <w:vAlign w:val="center"/>
            <w:hideMark/>
          </w:tcPr>
          <w:p w14:paraId="57F9173C" w14:textId="6B7F3FFA" w:rsidR="004133F5" w:rsidRDefault="004133F5" w:rsidP="001B1772">
            <w:pPr>
              <w:jc w:val="right"/>
              <w:rPr>
                <w:rFonts w:ascii="Calibri" w:hAnsi="Calibri" w:cs="Calibri"/>
                <w:color w:val="000000"/>
                <w:sz w:val="16"/>
                <w:szCs w:val="16"/>
              </w:rPr>
            </w:pPr>
            <w:r>
              <w:rPr>
                <w:rFonts w:ascii="Calibri" w:hAnsi="Calibri" w:cs="Calibri"/>
                <w:color w:val="000000"/>
                <w:sz w:val="16"/>
                <w:szCs w:val="16"/>
              </w:rPr>
              <w:t xml:space="preserve">           165.019 </w:t>
            </w:r>
          </w:p>
        </w:tc>
        <w:tc>
          <w:tcPr>
            <w:tcW w:w="1359" w:type="dxa"/>
            <w:tcBorders>
              <w:top w:val="nil"/>
              <w:left w:val="nil"/>
              <w:bottom w:val="nil"/>
              <w:right w:val="nil"/>
            </w:tcBorders>
            <w:shd w:val="clear" w:color="auto" w:fill="auto"/>
            <w:noWrap/>
            <w:vAlign w:val="center"/>
            <w:hideMark/>
          </w:tcPr>
          <w:p w14:paraId="09FD47C5" w14:textId="77777777" w:rsidR="004133F5" w:rsidRDefault="004133F5" w:rsidP="001B1772">
            <w:pPr>
              <w:jc w:val="right"/>
              <w:rPr>
                <w:rFonts w:ascii="Calibri" w:hAnsi="Calibri" w:cs="Calibri"/>
                <w:color w:val="000000"/>
                <w:sz w:val="16"/>
                <w:szCs w:val="16"/>
              </w:rPr>
            </w:pPr>
            <w:r>
              <w:rPr>
                <w:rFonts w:ascii="Calibri" w:hAnsi="Calibri" w:cs="Calibri"/>
                <w:color w:val="000000"/>
                <w:sz w:val="16"/>
                <w:szCs w:val="16"/>
              </w:rPr>
              <w:t xml:space="preserve">                                   -   </w:t>
            </w:r>
          </w:p>
        </w:tc>
        <w:tc>
          <w:tcPr>
            <w:tcW w:w="1490" w:type="dxa"/>
            <w:tcBorders>
              <w:top w:val="nil"/>
              <w:left w:val="nil"/>
              <w:bottom w:val="nil"/>
              <w:right w:val="nil"/>
            </w:tcBorders>
            <w:shd w:val="clear" w:color="auto" w:fill="auto"/>
            <w:noWrap/>
            <w:vAlign w:val="center"/>
            <w:hideMark/>
          </w:tcPr>
          <w:p w14:paraId="54B7046A" w14:textId="77777777" w:rsidR="004133F5" w:rsidRDefault="004133F5" w:rsidP="001B1772">
            <w:pPr>
              <w:jc w:val="right"/>
              <w:rPr>
                <w:rFonts w:ascii="Calibri" w:hAnsi="Calibri" w:cs="Calibri"/>
                <w:color w:val="000000"/>
                <w:sz w:val="16"/>
                <w:szCs w:val="16"/>
              </w:rPr>
            </w:pPr>
            <w:r>
              <w:rPr>
                <w:rFonts w:ascii="Calibri" w:hAnsi="Calibri" w:cs="Calibri"/>
                <w:color w:val="000000"/>
                <w:sz w:val="16"/>
                <w:szCs w:val="16"/>
              </w:rPr>
              <w:t xml:space="preserve">                (2.037.766)</w:t>
            </w:r>
          </w:p>
        </w:tc>
        <w:tc>
          <w:tcPr>
            <w:tcW w:w="743" w:type="dxa"/>
            <w:tcBorders>
              <w:top w:val="nil"/>
              <w:left w:val="nil"/>
              <w:bottom w:val="nil"/>
              <w:right w:val="nil"/>
            </w:tcBorders>
            <w:shd w:val="clear" w:color="auto" w:fill="auto"/>
            <w:noWrap/>
            <w:vAlign w:val="center"/>
            <w:hideMark/>
          </w:tcPr>
          <w:p w14:paraId="0C314B06" w14:textId="77777777" w:rsidR="004133F5" w:rsidRDefault="004133F5">
            <w:pPr>
              <w:jc w:val="right"/>
              <w:rPr>
                <w:rFonts w:ascii="Calibri" w:hAnsi="Calibri" w:cs="Calibri"/>
                <w:color w:val="000000"/>
                <w:sz w:val="16"/>
                <w:szCs w:val="16"/>
              </w:rPr>
            </w:pPr>
          </w:p>
        </w:tc>
      </w:tr>
      <w:tr w:rsidR="004133F5" w14:paraId="5C132161" w14:textId="77777777" w:rsidTr="004133F5">
        <w:trPr>
          <w:trHeight w:val="300"/>
        </w:trPr>
        <w:tc>
          <w:tcPr>
            <w:tcW w:w="3145" w:type="dxa"/>
            <w:tcBorders>
              <w:top w:val="nil"/>
              <w:left w:val="nil"/>
              <w:bottom w:val="nil"/>
              <w:right w:val="nil"/>
            </w:tcBorders>
            <w:shd w:val="clear" w:color="auto" w:fill="auto"/>
            <w:noWrap/>
            <w:vAlign w:val="center"/>
            <w:hideMark/>
          </w:tcPr>
          <w:p w14:paraId="627778D4" w14:textId="77777777" w:rsidR="004133F5" w:rsidRDefault="004133F5">
            <w:pPr>
              <w:rPr>
                <w:rFonts w:ascii="Calibri" w:hAnsi="Calibri" w:cs="Calibri"/>
                <w:color w:val="000000"/>
                <w:sz w:val="16"/>
                <w:szCs w:val="16"/>
              </w:rPr>
            </w:pPr>
            <w:r>
              <w:rPr>
                <w:rFonts w:ascii="Calibri" w:hAnsi="Calibri" w:cs="Calibri"/>
                <w:color w:val="000000"/>
                <w:sz w:val="16"/>
                <w:szCs w:val="16"/>
              </w:rPr>
              <w:t xml:space="preserve">     FNS - Açailândia/MA - Palmas/TO</w:t>
            </w:r>
          </w:p>
        </w:tc>
        <w:tc>
          <w:tcPr>
            <w:tcW w:w="1418" w:type="dxa"/>
            <w:tcBorders>
              <w:top w:val="nil"/>
              <w:left w:val="nil"/>
              <w:bottom w:val="nil"/>
              <w:right w:val="nil"/>
            </w:tcBorders>
            <w:shd w:val="clear" w:color="auto" w:fill="auto"/>
            <w:noWrap/>
            <w:vAlign w:val="center"/>
            <w:hideMark/>
          </w:tcPr>
          <w:p w14:paraId="1C633D87" w14:textId="77777777" w:rsidR="004133F5" w:rsidRDefault="004133F5" w:rsidP="001B1772">
            <w:pPr>
              <w:jc w:val="right"/>
              <w:rPr>
                <w:rFonts w:ascii="Calibri" w:hAnsi="Calibri" w:cs="Calibri"/>
                <w:color w:val="000000"/>
                <w:sz w:val="16"/>
                <w:szCs w:val="16"/>
              </w:rPr>
            </w:pPr>
            <w:r>
              <w:rPr>
                <w:rFonts w:ascii="Calibri" w:hAnsi="Calibri" w:cs="Calibri"/>
                <w:color w:val="000000"/>
                <w:sz w:val="16"/>
                <w:szCs w:val="16"/>
              </w:rPr>
              <w:t xml:space="preserve">         (293.414.823)</w:t>
            </w:r>
          </w:p>
        </w:tc>
        <w:tc>
          <w:tcPr>
            <w:tcW w:w="1237" w:type="dxa"/>
            <w:tcBorders>
              <w:top w:val="nil"/>
              <w:left w:val="nil"/>
              <w:bottom w:val="nil"/>
              <w:right w:val="nil"/>
            </w:tcBorders>
            <w:shd w:val="clear" w:color="auto" w:fill="auto"/>
            <w:noWrap/>
            <w:vAlign w:val="center"/>
            <w:hideMark/>
          </w:tcPr>
          <w:p w14:paraId="263C15B9" w14:textId="66449279" w:rsidR="004133F5" w:rsidRDefault="004133F5" w:rsidP="001B1772">
            <w:pPr>
              <w:jc w:val="right"/>
              <w:rPr>
                <w:rFonts w:ascii="Calibri" w:hAnsi="Calibri" w:cs="Calibri"/>
                <w:color w:val="000000"/>
                <w:sz w:val="16"/>
                <w:szCs w:val="16"/>
              </w:rPr>
            </w:pPr>
            <w:r>
              <w:rPr>
                <w:rFonts w:ascii="Calibri" w:hAnsi="Calibri" w:cs="Calibri"/>
                <w:color w:val="000000"/>
                <w:sz w:val="16"/>
                <w:szCs w:val="16"/>
              </w:rPr>
              <w:t xml:space="preserve">                            -   </w:t>
            </w:r>
          </w:p>
        </w:tc>
        <w:tc>
          <w:tcPr>
            <w:tcW w:w="1128" w:type="dxa"/>
            <w:tcBorders>
              <w:top w:val="nil"/>
              <w:left w:val="nil"/>
              <w:bottom w:val="nil"/>
              <w:right w:val="nil"/>
            </w:tcBorders>
            <w:shd w:val="clear" w:color="auto" w:fill="auto"/>
            <w:noWrap/>
            <w:vAlign w:val="center"/>
            <w:hideMark/>
          </w:tcPr>
          <w:p w14:paraId="6A1A1E17" w14:textId="1F61DAF7" w:rsidR="004133F5" w:rsidRDefault="004133F5" w:rsidP="001B1772">
            <w:pPr>
              <w:jc w:val="right"/>
              <w:rPr>
                <w:rFonts w:ascii="Calibri" w:hAnsi="Calibri" w:cs="Calibri"/>
                <w:color w:val="000000"/>
                <w:sz w:val="16"/>
                <w:szCs w:val="16"/>
              </w:rPr>
            </w:pPr>
            <w:r>
              <w:rPr>
                <w:rFonts w:ascii="Calibri" w:hAnsi="Calibri" w:cs="Calibri"/>
                <w:color w:val="000000"/>
                <w:sz w:val="16"/>
                <w:szCs w:val="16"/>
              </w:rPr>
              <w:t xml:space="preserve">                         -   </w:t>
            </w:r>
          </w:p>
        </w:tc>
        <w:tc>
          <w:tcPr>
            <w:tcW w:w="1359" w:type="dxa"/>
            <w:tcBorders>
              <w:top w:val="nil"/>
              <w:left w:val="nil"/>
              <w:bottom w:val="nil"/>
              <w:right w:val="nil"/>
            </w:tcBorders>
            <w:shd w:val="clear" w:color="auto" w:fill="auto"/>
            <w:noWrap/>
            <w:vAlign w:val="center"/>
            <w:hideMark/>
          </w:tcPr>
          <w:p w14:paraId="070147ED" w14:textId="77777777" w:rsidR="004133F5" w:rsidRDefault="004133F5" w:rsidP="001B1772">
            <w:pPr>
              <w:jc w:val="right"/>
              <w:rPr>
                <w:rFonts w:ascii="Calibri" w:hAnsi="Calibri" w:cs="Calibri"/>
                <w:color w:val="000000"/>
                <w:sz w:val="16"/>
                <w:szCs w:val="16"/>
              </w:rPr>
            </w:pPr>
            <w:r>
              <w:rPr>
                <w:rFonts w:ascii="Calibri" w:hAnsi="Calibri" w:cs="Calibri"/>
                <w:color w:val="000000"/>
                <w:sz w:val="16"/>
                <w:szCs w:val="16"/>
              </w:rPr>
              <w:t xml:space="preserve">                                   -   </w:t>
            </w:r>
          </w:p>
        </w:tc>
        <w:tc>
          <w:tcPr>
            <w:tcW w:w="1490" w:type="dxa"/>
            <w:tcBorders>
              <w:top w:val="nil"/>
              <w:left w:val="nil"/>
              <w:bottom w:val="nil"/>
              <w:right w:val="nil"/>
            </w:tcBorders>
            <w:shd w:val="clear" w:color="auto" w:fill="auto"/>
            <w:noWrap/>
            <w:vAlign w:val="center"/>
            <w:hideMark/>
          </w:tcPr>
          <w:p w14:paraId="57311455" w14:textId="77777777" w:rsidR="004133F5" w:rsidRDefault="004133F5" w:rsidP="001B1772">
            <w:pPr>
              <w:jc w:val="right"/>
              <w:rPr>
                <w:rFonts w:ascii="Calibri" w:hAnsi="Calibri" w:cs="Calibri"/>
                <w:color w:val="000000"/>
                <w:sz w:val="16"/>
                <w:szCs w:val="16"/>
              </w:rPr>
            </w:pPr>
            <w:r>
              <w:rPr>
                <w:rFonts w:ascii="Calibri" w:hAnsi="Calibri" w:cs="Calibri"/>
                <w:color w:val="000000"/>
                <w:sz w:val="16"/>
                <w:szCs w:val="16"/>
              </w:rPr>
              <w:t xml:space="preserve">          (293.414.823)</w:t>
            </w:r>
          </w:p>
        </w:tc>
        <w:tc>
          <w:tcPr>
            <w:tcW w:w="743" w:type="dxa"/>
            <w:tcBorders>
              <w:top w:val="nil"/>
              <w:left w:val="nil"/>
              <w:bottom w:val="nil"/>
              <w:right w:val="nil"/>
            </w:tcBorders>
            <w:shd w:val="clear" w:color="auto" w:fill="auto"/>
            <w:noWrap/>
            <w:vAlign w:val="center"/>
            <w:hideMark/>
          </w:tcPr>
          <w:p w14:paraId="10E5D46D" w14:textId="77777777" w:rsidR="004133F5" w:rsidRDefault="004133F5">
            <w:pPr>
              <w:jc w:val="right"/>
              <w:rPr>
                <w:rFonts w:ascii="Calibri" w:hAnsi="Calibri" w:cs="Calibri"/>
                <w:color w:val="000000"/>
                <w:sz w:val="16"/>
                <w:szCs w:val="16"/>
              </w:rPr>
            </w:pPr>
          </w:p>
        </w:tc>
      </w:tr>
      <w:tr w:rsidR="004133F5" w14:paraId="7A499258" w14:textId="77777777" w:rsidTr="004133F5">
        <w:trPr>
          <w:trHeight w:val="300"/>
        </w:trPr>
        <w:tc>
          <w:tcPr>
            <w:tcW w:w="3145" w:type="dxa"/>
            <w:tcBorders>
              <w:top w:val="nil"/>
              <w:left w:val="nil"/>
              <w:bottom w:val="nil"/>
              <w:right w:val="nil"/>
            </w:tcBorders>
            <w:shd w:val="clear" w:color="auto" w:fill="auto"/>
            <w:noWrap/>
            <w:vAlign w:val="center"/>
            <w:hideMark/>
          </w:tcPr>
          <w:p w14:paraId="64F46086" w14:textId="77777777" w:rsidR="004133F5" w:rsidRDefault="004133F5">
            <w:pPr>
              <w:rPr>
                <w:rFonts w:ascii="Calibri" w:hAnsi="Calibri" w:cs="Calibri"/>
                <w:color w:val="000000"/>
                <w:sz w:val="16"/>
                <w:szCs w:val="16"/>
              </w:rPr>
            </w:pPr>
            <w:r>
              <w:rPr>
                <w:rFonts w:ascii="Calibri" w:hAnsi="Calibri" w:cs="Calibri"/>
                <w:color w:val="000000"/>
                <w:sz w:val="16"/>
                <w:szCs w:val="16"/>
              </w:rPr>
              <w:t xml:space="preserve">     FNS - Porto Nacional/TO - Anápolis/GO</w:t>
            </w:r>
          </w:p>
        </w:tc>
        <w:tc>
          <w:tcPr>
            <w:tcW w:w="1418" w:type="dxa"/>
            <w:tcBorders>
              <w:top w:val="nil"/>
              <w:left w:val="nil"/>
              <w:bottom w:val="nil"/>
              <w:right w:val="nil"/>
            </w:tcBorders>
            <w:shd w:val="clear" w:color="auto" w:fill="auto"/>
            <w:noWrap/>
            <w:vAlign w:val="center"/>
            <w:hideMark/>
          </w:tcPr>
          <w:p w14:paraId="0E27F02A" w14:textId="77777777" w:rsidR="004133F5" w:rsidRDefault="004133F5" w:rsidP="001B1772">
            <w:pPr>
              <w:jc w:val="right"/>
              <w:rPr>
                <w:rFonts w:ascii="Calibri" w:hAnsi="Calibri" w:cs="Calibri"/>
                <w:color w:val="000000"/>
                <w:sz w:val="16"/>
                <w:szCs w:val="16"/>
              </w:rPr>
            </w:pPr>
            <w:r>
              <w:rPr>
                <w:rFonts w:ascii="Calibri" w:hAnsi="Calibri" w:cs="Calibri"/>
                <w:color w:val="000000"/>
                <w:sz w:val="16"/>
                <w:szCs w:val="16"/>
              </w:rPr>
              <w:t xml:space="preserve">         (623.260.959)</w:t>
            </w:r>
          </w:p>
        </w:tc>
        <w:tc>
          <w:tcPr>
            <w:tcW w:w="1237" w:type="dxa"/>
            <w:tcBorders>
              <w:top w:val="nil"/>
              <w:left w:val="nil"/>
              <w:bottom w:val="nil"/>
              <w:right w:val="nil"/>
            </w:tcBorders>
            <w:shd w:val="clear" w:color="auto" w:fill="auto"/>
            <w:noWrap/>
            <w:vAlign w:val="center"/>
            <w:hideMark/>
          </w:tcPr>
          <w:p w14:paraId="2D353BEC" w14:textId="19CB70EC" w:rsidR="004133F5" w:rsidRDefault="004133F5" w:rsidP="001B1772">
            <w:pPr>
              <w:jc w:val="right"/>
              <w:rPr>
                <w:rFonts w:ascii="Calibri" w:hAnsi="Calibri" w:cs="Calibri"/>
                <w:color w:val="000000"/>
                <w:sz w:val="16"/>
                <w:szCs w:val="16"/>
              </w:rPr>
            </w:pPr>
            <w:r>
              <w:rPr>
                <w:rFonts w:ascii="Calibri" w:hAnsi="Calibri" w:cs="Calibri"/>
                <w:color w:val="000000"/>
                <w:sz w:val="16"/>
                <w:szCs w:val="16"/>
              </w:rPr>
              <w:t xml:space="preserve">                            -   </w:t>
            </w:r>
          </w:p>
        </w:tc>
        <w:tc>
          <w:tcPr>
            <w:tcW w:w="1128" w:type="dxa"/>
            <w:tcBorders>
              <w:top w:val="nil"/>
              <w:left w:val="nil"/>
              <w:bottom w:val="nil"/>
              <w:right w:val="nil"/>
            </w:tcBorders>
            <w:shd w:val="clear" w:color="auto" w:fill="auto"/>
            <w:noWrap/>
            <w:vAlign w:val="center"/>
            <w:hideMark/>
          </w:tcPr>
          <w:p w14:paraId="6E489D34" w14:textId="4D9D665F" w:rsidR="004133F5" w:rsidRDefault="004133F5" w:rsidP="001B1772">
            <w:pPr>
              <w:jc w:val="right"/>
              <w:rPr>
                <w:rFonts w:ascii="Calibri" w:hAnsi="Calibri" w:cs="Calibri"/>
                <w:color w:val="000000"/>
                <w:sz w:val="16"/>
                <w:szCs w:val="16"/>
              </w:rPr>
            </w:pPr>
            <w:r>
              <w:rPr>
                <w:rFonts w:ascii="Calibri" w:hAnsi="Calibri" w:cs="Calibri"/>
                <w:color w:val="000000"/>
                <w:sz w:val="16"/>
                <w:szCs w:val="16"/>
              </w:rPr>
              <w:t xml:space="preserve">                         -   </w:t>
            </w:r>
          </w:p>
        </w:tc>
        <w:tc>
          <w:tcPr>
            <w:tcW w:w="1359" w:type="dxa"/>
            <w:tcBorders>
              <w:top w:val="nil"/>
              <w:left w:val="nil"/>
              <w:bottom w:val="nil"/>
              <w:right w:val="nil"/>
            </w:tcBorders>
            <w:shd w:val="clear" w:color="auto" w:fill="auto"/>
            <w:noWrap/>
            <w:vAlign w:val="center"/>
            <w:hideMark/>
          </w:tcPr>
          <w:p w14:paraId="72C3D73D" w14:textId="77777777" w:rsidR="004133F5" w:rsidRDefault="004133F5" w:rsidP="001B1772">
            <w:pPr>
              <w:jc w:val="right"/>
              <w:rPr>
                <w:rFonts w:ascii="Calibri" w:hAnsi="Calibri" w:cs="Calibri"/>
                <w:color w:val="000000"/>
                <w:sz w:val="16"/>
                <w:szCs w:val="16"/>
              </w:rPr>
            </w:pPr>
            <w:r>
              <w:rPr>
                <w:rFonts w:ascii="Calibri" w:hAnsi="Calibri" w:cs="Calibri"/>
                <w:color w:val="000000"/>
                <w:sz w:val="16"/>
                <w:szCs w:val="16"/>
              </w:rPr>
              <w:t xml:space="preserve">                                   -   </w:t>
            </w:r>
          </w:p>
        </w:tc>
        <w:tc>
          <w:tcPr>
            <w:tcW w:w="1490" w:type="dxa"/>
            <w:tcBorders>
              <w:top w:val="nil"/>
              <w:left w:val="nil"/>
              <w:bottom w:val="nil"/>
              <w:right w:val="nil"/>
            </w:tcBorders>
            <w:shd w:val="clear" w:color="auto" w:fill="auto"/>
            <w:noWrap/>
            <w:vAlign w:val="center"/>
            <w:hideMark/>
          </w:tcPr>
          <w:p w14:paraId="5E252908" w14:textId="77777777" w:rsidR="004133F5" w:rsidRDefault="004133F5" w:rsidP="001B1772">
            <w:pPr>
              <w:jc w:val="right"/>
              <w:rPr>
                <w:rFonts w:ascii="Calibri" w:hAnsi="Calibri" w:cs="Calibri"/>
                <w:color w:val="000000"/>
                <w:sz w:val="16"/>
                <w:szCs w:val="16"/>
              </w:rPr>
            </w:pPr>
            <w:r>
              <w:rPr>
                <w:rFonts w:ascii="Calibri" w:hAnsi="Calibri" w:cs="Calibri"/>
                <w:color w:val="000000"/>
                <w:sz w:val="16"/>
                <w:szCs w:val="16"/>
              </w:rPr>
              <w:t xml:space="preserve">          (623.260.959)</w:t>
            </w:r>
          </w:p>
        </w:tc>
        <w:tc>
          <w:tcPr>
            <w:tcW w:w="743" w:type="dxa"/>
            <w:tcBorders>
              <w:top w:val="nil"/>
              <w:left w:val="nil"/>
              <w:bottom w:val="nil"/>
              <w:right w:val="nil"/>
            </w:tcBorders>
            <w:shd w:val="clear" w:color="auto" w:fill="auto"/>
            <w:noWrap/>
            <w:vAlign w:val="center"/>
            <w:hideMark/>
          </w:tcPr>
          <w:p w14:paraId="52A40B12" w14:textId="77777777" w:rsidR="004133F5" w:rsidRDefault="004133F5">
            <w:pPr>
              <w:jc w:val="right"/>
              <w:rPr>
                <w:rFonts w:ascii="Calibri" w:hAnsi="Calibri" w:cs="Calibri"/>
                <w:color w:val="000000"/>
                <w:sz w:val="16"/>
                <w:szCs w:val="16"/>
              </w:rPr>
            </w:pPr>
          </w:p>
        </w:tc>
      </w:tr>
      <w:tr w:rsidR="004133F5" w14:paraId="34D8C2B0" w14:textId="77777777" w:rsidTr="004133F5">
        <w:trPr>
          <w:trHeight w:val="300"/>
        </w:trPr>
        <w:tc>
          <w:tcPr>
            <w:tcW w:w="3145" w:type="dxa"/>
            <w:tcBorders>
              <w:top w:val="nil"/>
              <w:left w:val="nil"/>
              <w:bottom w:val="nil"/>
              <w:right w:val="nil"/>
            </w:tcBorders>
            <w:shd w:val="clear" w:color="auto" w:fill="auto"/>
            <w:vAlign w:val="center"/>
            <w:hideMark/>
          </w:tcPr>
          <w:p w14:paraId="73802DE1" w14:textId="77777777" w:rsidR="004133F5" w:rsidRDefault="004133F5">
            <w:pPr>
              <w:rPr>
                <w:rFonts w:ascii="Calibri" w:hAnsi="Calibri" w:cs="Calibri"/>
                <w:color w:val="000000"/>
                <w:sz w:val="16"/>
                <w:szCs w:val="16"/>
              </w:rPr>
            </w:pPr>
            <w:r>
              <w:rPr>
                <w:rFonts w:ascii="Calibri" w:hAnsi="Calibri" w:cs="Calibri"/>
                <w:color w:val="000000"/>
                <w:sz w:val="16"/>
                <w:szCs w:val="16"/>
              </w:rPr>
              <w:t xml:space="preserve">     Pátio Porto Franco</w:t>
            </w:r>
          </w:p>
        </w:tc>
        <w:tc>
          <w:tcPr>
            <w:tcW w:w="1418" w:type="dxa"/>
            <w:tcBorders>
              <w:top w:val="nil"/>
              <w:left w:val="nil"/>
              <w:bottom w:val="nil"/>
              <w:right w:val="nil"/>
            </w:tcBorders>
            <w:shd w:val="clear" w:color="auto" w:fill="auto"/>
            <w:noWrap/>
            <w:vAlign w:val="center"/>
            <w:hideMark/>
          </w:tcPr>
          <w:p w14:paraId="176D10F2" w14:textId="3B5370B9" w:rsidR="004133F5" w:rsidRDefault="004133F5" w:rsidP="001B1772">
            <w:pPr>
              <w:jc w:val="right"/>
              <w:rPr>
                <w:rFonts w:ascii="Calibri" w:hAnsi="Calibri" w:cs="Calibri"/>
                <w:color w:val="000000"/>
                <w:sz w:val="16"/>
                <w:szCs w:val="16"/>
              </w:rPr>
            </w:pPr>
            <w:r>
              <w:rPr>
                <w:rFonts w:ascii="Calibri" w:hAnsi="Calibri" w:cs="Calibri"/>
                <w:color w:val="000000"/>
                <w:sz w:val="16"/>
                <w:szCs w:val="16"/>
              </w:rPr>
              <w:t xml:space="preserve">              (1.175.496)</w:t>
            </w:r>
          </w:p>
        </w:tc>
        <w:tc>
          <w:tcPr>
            <w:tcW w:w="1237" w:type="dxa"/>
            <w:tcBorders>
              <w:top w:val="nil"/>
              <w:left w:val="nil"/>
              <w:bottom w:val="nil"/>
              <w:right w:val="nil"/>
            </w:tcBorders>
            <w:shd w:val="clear" w:color="auto" w:fill="auto"/>
            <w:noWrap/>
            <w:vAlign w:val="center"/>
            <w:hideMark/>
          </w:tcPr>
          <w:p w14:paraId="4E2FBF4C" w14:textId="0B182C0C" w:rsidR="004133F5" w:rsidRDefault="004133F5" w:rsidP="001B1772">
            <w:pPr>
              <w:jc w:val="right"/>
              <w:rPr>
                <w:rFonts w:ascii="Calibri" w:hAnsi="Calibri" w:cs="Calibri"/>
                <w:color w:val="000000"/>
                <w:sz w:val="16"/>
                <w:szCs w:val="16"/>
              </w:rPr>
            </w:pPr>
            <w:r>
              <w:rPr>
                <w:rFonts w:ascii="Calibri" w:hAnsi="Calibri" w:cs="Calibri"/>
                <w:color w:val="000000"/>
                <w:sz w:val="16"/>
                <w:szCs w:val="16"/>
              </w:rPr>
              <w:t xml:space="preserve">             (180.846)</w:t>
            </w:r>
          </w:p>
        </w:tc>
        <w:tc>
          <w:tcPr>
            <w:tcW w:w="1128" w:type="dxa"/>
            <w:tcBorders>
              <w:top w:val="nil"/>
              <w:left w:val="nil"/>
              <w:bottom w:val="nil"/>
              <w:right w:val="nil"/>
            </w:tcBorders>
            <w:shd w:val="clear" w:color="auto" w:fill="auto"/>
            <w:noWrap/>
            <w:vAlign w:val="center"/>
            <w:hideMark/>
          </w:tcPr>
          <w:p w14:paraId="18CAA6F8" w14:textId="77777777" w:rsidR="004133F5" w:rsidRDefault="004133F5" w:rsidP="001B1772">
            <w:pPr>
              <w:jc w:val="right"/>
              <w:rPr>
                <w:rFonts w:ascii="Calibri" w:hAnsi="Calibri" w:cs="Calibri"/>
                <w:color w:val="000000"/>
                <w:sz w:val="16"/>
                <w:szCs w:val="16"/>
              </w:rPr>
            </w:pPr>
            <w:r>
              <w:rPr>
                <w:rFonts w:ascii="Calibri" w:hAnsi="Calibri" w:cs="Calibri"/>
                <w:color w:val="000000"/>
                <w:sz w:val="16"/>
                <w:szCs w:val="16"/>
              </w:rPr>
              <w:t xml:space="preserve">                             -   </w:t>
            </w:r>
          </w:p>
        </w:tc>
        <w:tc>
          <w:tcPr>
            <w:tcW w:w="1359" w:type="dxa"/>
            <w:tcBorders>
              <w:top w:val="nil"/>
              <w:left w:val="nil"/>
              <w:bottom w:val="nil"/>
              <w:right w:val="nil"/>
            </w:tcBorders>
            <w:shd w:val="clear" w:color="auto" w:fill="auto"/>
            <w:noWrap/>
            <w:vAlign w:val="center"/>
            <w:hideMark/>
          </w:tcPr>
          <w:p w14:paraId="31744233" w14:textId="77777777" w:rsidR="004133F5" w:rsidRDefault="004133F5" w:rsidP="001B1772">
            <w:pPr>
              <w:jc w:val="right"/>
              <w:rPr>
                <w:rFonts w:ascii="Calibri" w:hAnsi="Calibri" w:cs="Calibri"/>
                <w:color w:val="000000"/>
                <w:sz w:val="16"/>
                <w:szCs w:val="16"/>
              </w:rPr>
            </w:pPr>
            <w:r>
              <w:rPr>
                <w:rFonts w:ascii="Calibri" w:hAnsi="Calibri" w:cs="Calibri"/>
                <w:color w:val="000000"/>
                <w:sz w:val="16"/>
                <w:szCs w:val="16"/>
              </w:rPr>
              <w:t xml:space="preserve">                                   -   </w:t>
            </w:r>
          </w:p>
        </w:tc>
        <w:tc>
          <w:tcPr>
            <w:tcW w:w="1490" w:type="dxa"/>
            <w:tcBorders>
              <w:top w:val="nil"/>
              <w:left w:val="nil"/>
              <w:bottom w:val="nil"/>
              <w:right w:val="nil"/>
            </w:tcBorders>
            <w:shd w:val="clear" w:color="auto" w:fill="auto"/>
            <w:noWrap/>
            <w:vAlign w:val="center"/>
            <w:hideMark/>
          </w:tcPr>
          <w:p w14:paraId="541C6AA7" w14:textId="77777777" w:rsidR="004133F5" w:rsidRDefault="004133F5" w:rsidP="001B1772">
            <w:pPr>
              <w:jc w:val="right"/>
              <w:rPr>
                <w:rFonts w:ascii="Calibri" w:hAnsi="Calibri" w:cs="Calibri"/>
                <w:color w:val="000000"/>
                <w:sz w:val="16"/>
                <w:szCs w:val="16"/>
              </w:rPr>
            </w:pPr>
            <w:r>
              <w:rPr>
                <w:rFonts w:ascii="Calibri" w:hAnsi="Calibri" w:cs="Calibri"/>
                <w:color w:val="000000"/>
                <w:sz w:val="16"/>
                <w:szCs w:val="16"/>
              </w:rPr>
              <w:t xml:space="preserve">                (1.356.341)</w:t>
            </w:r>
          </w:p>
        </w:tc>
        <w:tc>
          <w:tcPr>
            <w:tcW w:w="743" w:type="dxa"/>
            <w:tcBorders>
              <w:top w:val="nil"/>
              <w:left w:val="nil"/>
              <w:bottom w:val="nil"/>
              <w:right w:val="nil"/>
            </w:tcBorders>
            <w:shd w:val="clear" w:color="auto" w:fill="auto"/>
            <w:noWrap/>
            <w:vAlign w:val="center"/>
            <w:hideMark/>
          </w:tcPr>
          <w:p w14:paraId="6134777C" w14:textId="77777777" w:rsidR="004133F5" w:rsidRDefault="004133F5">
            <w:pPr>
              <w:jc w:val="right"/>
              <w:rPr>
                <w:rFonts w:ascii="Calibri" w:hAnsi="Calibri" w:cs="Calibri"/>
                <w:color w:val="000000"/>
                <w:sz w:val="16"/>
                <w:szCs w:val="16"/>
              </w:rPr>
            </w:pPr>
          </w:p>
        </w:tc>
      </w:tr>
      <w:tr w:rsidR="004133F5" w14:paraId="74F3AD28" w14:textId="77777777" w:rsidTr="004133F5">
        <w:trPr>
          <w:trHeight w:val="300"/>
        </w:trPr>
        <w:tc>
          <w:tcPr>
            <w:tcW w:w="3145" w:type="dxa"/>
            <w:tcBorders>
              <w:top w:val="nil"/>
              <w:left w:val="nil"/>
              <w:bottom w:val="nil"/>
              <w:right w:val="nil"/>
            </w:tcBorders>
            <w:shd w:val="clear" w:color="auto" w:fill="auto"/>
            <w:noWrap/>
            <w:vAlign w:val="center"/>
            <w:hideMark/>
          </w:tcPr>
          <w:p w14:paraId="7AB1B054" w14:textId="77777777" w:rsidR="004133F5" w:rsidRDefault="004133F5">
            <w:pPr>
              <w:rPr>
                <w:rFonts w:ascii="Calibri" w:hAnsi="Calibri" w:cs="Calibri"/>
                <w:b/>
                <w:bCs/>
                <w:color w:val="000000"/>
                <w:sz w:val="16"/>
                <w:szCs w:val="16"/>
              </w:rPr>
            </w:pPr>
            <w:r>
              <w:rPr>
                <w:rFonts w:ascii="Calibri" w:hAnsi="Calibri" w:cs="Calibri"/>
                <w:b/>
                <w:bCs/>
                <w:color w:val="000000"/>
                <w:sz w:val="16"/>
                <w:szCs w:val="16"/>
              </w:rPr>
              <w:t>Depreciação Direito de Uso</w:t>
            </w:r>
          </w:p>
        </w:tc>
        <w:tc>
          <w:tcPr>
            <w:tcW w:w="1418" w:type="dxa"/>
            <w:tcBorders>
              <w:top w:val="nil"/>
              <w:left w:val="nil"/>
              <w:bottom w:val="nil"/>
              <w:right w:val="nil"/>
            </w:tcBorders>
            <w:shd w:val="clear" w:color="auto" w:fill="auto"/>
            <w:noWrap/>
            <w:vAlign w:val="center"/>
            <w:hideMark/>
          </w:tcPr>
          <w:p w14:paraId="0DC670EB" w14:textId="77777777" w:rsidR="004133F5" w:rsidRDefault="004133F5" w:rsidP="001B1772">
            <w:pPr>
              <w:jc w:val="right"/>
              <w:rPr>
                <w:rFonts w:ascii="Calibri" w:hAnsi="Calibri" w:cs="Calibri"/>
                <w:color w:val="000000"/>
                <w:sz w:val="16"/>
                <w:szCs w:val="16"/>
              </w:rPr>
            </w:pPr>
            <w:r>
              <w:rPr>
                <w:rFonts w:ascii="Calibri" w:hAnsi="Calibri" w:cs="Calibri"/>
                <w:color w:val="000000"/>
                <w:sz w:val="16"/>
                <w:szCs w:val="16"/>
              </w:rPr>
              <w:t xml:space="preserve">            (35.536.027)</w:t>
            </w:r>
          </w:p>
        </w:tc>
        <w:tc>
          <w:tcPr>
            <w:tcW w:w="1237" w:type="dxa"/>
            <w:tcBorders>
              <w:top w:val="nil"/>
              <w:left w:val="nil"/>
              <w:bottom w:val="nil"/>
              <w:right w:val="nil"/>
            </w:tcBorders>
            <w:shd w:val="clear" w:color="auto" w:fill="auto"/>
            <w:noWrap/>
            <w:vAlign w:val="center"/>
            <w:hideMark/>
          </w:tcPr>
          <w:p w14:paraId="10E69827" w14:textId="395E7CBC" w:rsidR="004133F5" w:rsidRDefault="004133F5" w:rsidP="001B1772">
            <w:pPr>
              <w:jc w:val="right"/>
              <w:rPr>
                <w:rFonts w:ascii="Calibri" w:hAnsi="Calibri" w:cs="Calibri"/>
                <w:color w:val="000000"/>
                <w:sz w:val="16"/>
                <w:szCs w:val="16"/>
              </w:rPr>
            </w:pPr>
            <w:r>
              <w:rPr>
                <w:rFonts w:ascii="Calibri" w:hAnsi="Calibri" w:cs="Calibri"/>
                <w:color w:val="000000"/>
                <w:sz w:val="16"/>
                <w:szCs w:val="16"/>
              </w:rPr>
              <w:t xml:space="preserve">             (848.855)</w:t>
            </w:r>
          </w:p>
        </w:tc>
        <w:tc>
          <w:tcPr>
            <w:tcW w:w="1128" w:type="dxa"/>
            <w:tcBorders>
              <w:top w:val="nil"/>
              <w:left w:val="nil"/>
              <w:bottom w:val="nil"/>
              <w:right w:val="nil"/>
            </w:tcBorders>
            <w:shd w:val="clear" w:color="auto" w:fill="auto"/>
            <w:noWrap/>
            <w:vAlign w:val="center"/>
            <w:hideMark/>
          </w:tcPr>
          <w:p w14:paraId="7967CD28" w14:textId="77777777" w:rsidR="004133F5" w:rsidRDefault="004133F5" w:rsidP="001B1772">
            <w:pPr>
              <w:jc w:val="right"/>
              <w:rPr>
                <w:rFonts w:ascii="Calibri" w:hAnsi="Calibri" w:cs="Calibri"/>
                <w:color w:val="000000"/>
                <w:sz w:val="16"/>
                <w:szCs w:val="16"/>
              </w:rPr>
            </w:pPr>
            <w:r>
              <w:rPr>
                <w:rFonts w:ascii="Calibri" w:hAnsi="Calibri" w:cs="Calibri"/>
                <w:color w:val="000000"/>
                <w:sz w:val="16"/>
                <w:szCs w:val="16"/>
              </w:rPr>
              <w:t xml:space="preserve">                             -   </w:t>
            </w:r>
          </w:p>
        </w:tc>
        <w:tc>
          <w:tcPr>
            <w:tcW w:w="1359" w:type="dxa"/>
            <w:tcBorders>
              <w:top w:val="nil"/>
              <w:left w:val="nil"/>
              <w:bottom w:val="nil"/>
              <w:right w:val="nil"/>
            </w:tcBorders>
            <w:shd w:val="clear" w:color="auto" w:fill="auto"/>
            <w:noWrap/>
            <w:vAlign w:val="center"/>
            <w:hideMark/>
          </w:tcPr>
          <w:p w14:paraId="1E367231" w14:textId="77777777" w:rsidR="004133F5" w:rsidRDefault="004133F5" w:rsidP="001B1772">
            <w:pPr>
              <w:jc w:val="right"/>
              <w:rPr>
                <w:rFonts w:ascii="Calibri" w:hAnsi="Calibri" w:cs="Calibri"/>
                <w:color w:val="000000"/>
                <w:sz w:val="16"/>
                <w:szCs w:val="16"/>
              </w:rPr>
            </w:pPr>
            <w:r>
              <w:rPr>
                <w:rFonts w:ascii="Calibri" w:hAnsi="Calibri" w:cs="Calibri"/>
                <w:color w:val="000000"/>
                <w:sz w:val="16"/>
                <w:szCs w:val="16"/>
              </w:rPr>
              <w:t xml:space="preserve">            35.160.374 </w:t>
            </w:r>
          </w:p>
        </w:tc>
        <w:tc>
          <w:tcPr>
            <w:tcW w:w="1490" w:type="dxa"/>
            <w:tcBorders>
              <w:top w:val="nil"/>
              <w:left w:val="nil"/>
              <w:bottom w:val="nil"/>
              <w:right w:val="nil"/>
            </w:tcBorders>
            <w:shd w:val="clear" w:color="auto" w:fill="auto"/>
            <w:noWrap/>
            <w:vAlign w:val="center"/>
            <w:hideMark/>
          </w:tcPr>
          <w:p w14:paraId="29C7829E" w14:textId="77777777" w:rsidR="004133F5" w:rsidRDefault="004133F5" w:rsidP="001B1772">
            <w:pPr>
              <w:jc w:val="right"/>
              <w:rPr>
                <w:rFonts w:ascii="Calibri" w:hAnsi="Calibri" w:cs="Calibri"/>
                <w:color w:val="000000"/>
                <w:sz w:val="16"/>
                <w:szCs w:val="16"/>
              </w:rPr>
            </w:pPr>
            <w:r>
              <w:rPr>
                <w:rFonts w:ascii="Calibri" w:hAnsi="Calibri" w:cs="Calibri"/>
                <w:color w:val="000000"/>
                <w:sz w:val="16"/>
                <w:szCs w:val="16"/>
              </w:rPr>
              <w:t xml:space="preserve">                (1.224.508)</w:t>
            </w:r>
          </w:p>
        </w:tc>
        <w:tc>
          <w:tcPr>
            <w:tcW w:w="743" w:type="dxa"/>
            <w:tcBorders>
              <w:top w:val="nil"/>
              <w:left w:val="nil"/>
              <w:bottom w:val="nil"/>
              <w:right w:val="nil"/>
            </w:tcBorders>
            <w:shd w:val="clear" w:color="auto" w:fill="auto"/>
            <w:noWrap/>
            <w:vAlign w:val="center"/>
            <w:hideMark/>
          </w:tcPr>
          <w:p w14:paraId="65EA9F71" w14:textId="77777777" w:rsidR="004133F5" w:rsidRDefault="004133F5">
            <w:pPr>
              <w:jc w:val="right"/>
              <w:rPr>
                <w:rFonts w:ascii="Calibri" w:hAnsi="Calibri" w:cs="Calibri"/>
                <w:color w:val="000000"/>
                <w:sz w:val="16"/>
                <w:szCs w:val="16"/>
              </w:rPr>
            </w:pPr>
          </w:p>
        </w:tc>
      </w:tr>
      <w:tr w:rsidR="004133F5" w14:paraId="6ECA2D5B" w14:textId="77777777" w:rsidTr="004133F5">
        <w:trPr>
          <w:trHeight w:val="300"/>
        </w:trPr>
        <w:tc>
          <w:tcPr>
            <w:tcW w:w="3145" w:type="dxa"/>
            <w:tcBorders>
              <w:top w:val="nil"/>
              <w:left w:val="nil"/>
              <w:bottom w:val="nil"/>
              <w:right w:val="nil"/>
            </w:tcBorders>
            <w:shd w:val="clear" w:color="auto" w:fill="auto"/>
            <w:noWrap/>
            <w:vAlign w:val="center"/>
            <w:hideMark/>
          </w:tcPr>
          <w:p w14:paraId="4346C214" w14:textId="77777777" w:rsidR="004133F5" w:rsidRDefault="004133F5">
            <w:pPr>
              <w:rPr>
                <w:rFonts w:ascii="Calibri" w:hAnsi="Calibri" w:cs="Calibri"/>
                <w:color w:val="000000"/>
                <w:sz w:val="16"/>
                <w:szCs w:val="16"/>
              </w:rPr>
            </w:pPr>
            <w:r>
              <w:rPr>
                <w:rFonts w:ascii="Calibri" w:hAnsi="Calibri" w:cs="Calibri"/>
                <w:color w:val="000000"/>
                <w:sz w:val="16"/>
                <w:szCs w:val="16"/>
              </w:rPr>
              <w:t xml:space="preserve">    Direito de Uso de Veículos</w:t>
            </w:r>
          </w:p>
        </w:tc>
        <w:tc>
          <w:tcPr>
            <w:tcW w:w="1418" w:type="dxa"/>
            <w:tcBorders>
              <w:top w:val="nil"/>
              <w:left w:val="nil"/>
              <w:bottom w:val="nil"/>
              <w:right w:val="nil"/>
            </w:tcBorders>
            <w:shd w:val="clear" w:color="auto" w:fill="auto"/>
            <w:noWrap/>
            <w:vAlign w:val="center"/>
            <w:hideMark/>
          </w:tcPr>
          <w:p w14:paraId="0C905E7F" w14:textId="248C7439" w:rsidR="004133F5" w:rsidRDefault="004133F5" w:rsidP="001B1772">
            <w:pPr>
              <w:jc w:val="right"/>
              <w:rPr>
                <w:rFonts w:ascii="Calibri" w:hAnsi="Calibri" w:cs="Calibri"/>
                <w:color w:val="000000"/>
                <w:sz w:val="16"/>
                <w:szCs w:val="16"/>
              </w:rPr>
            </w:pPr>
            <w:r>
              <w:rPr>
                <w:rFonts w:ascii="Calibri" w:hAnsi="Calibri" w:cs="Calibri"/>
                <w:color w:val="000000"/>
                <w:sz w:val="16"/>
                <w:szCs w:val="16"/>
              </w:rPr>
              <w:t xml:space="preserve">                  (979.500)</w:t>
            </w:r>
          </w:p>
        </w:tc>
        <w:tc>
          <w:tcPr>
            <w:tcW w:w="1237" w:type="dxa"/>
            <w:tcBorders>
              <w:top w:val="nil"/>
              <w:left w:val="nil"/>
              <w:bottom w:val="nil"/>
              <w:right w:val="nil"/>
            </w:tcBorders>
            <w:shd w:val="clear" w:color="auto" w:fill="auto"/>
            <w:noWrap/>
            <w:vAlign w:val="center"/>
            <w:hideMark/>
          </w:tcPr>
          <w:p w14:paraId="1985F0D3" w14:textId="6067BC95" w:rsidR="004133F5" w:rsidRDefault="004133F5" w:rsidP="001B1772">
            <w:pPr>
              <w:jc w:val="right"/>
              <w:rPr>
                <w:rFonts w:ascii="Calibri" w:hAnsi="Calibri" w:cs="Calibri"/>
                <w:color w:val="000000"/>
                <w:sz w:val="16"/>
                <w:szCs w:val="16"/>
              </w:rPr>
            </w:pPr>
            <w:r>
              <w:rPr>
                <w:rFonts w:ascii="Calibri" w:hAnsi="Calibri" w:cs="Calibri"/>
                <w:color w:val="000000"/>
                <w:sz w:val="16"/>
                <w:szCs w:val="16"/>
              </w:rPr>
              <w:t xml:space="preserve">               (74.347)</w:t>
            </w:r>
          </w:p>
        </w:tc>
        <w:tc>
          <w:tcPr>
            <w:tcW w:w="1128" w:type="dxa"/>
            <w:tcBorders>
              <w:top w:val="nil"/>
              <w:left w:val="nil"/>
              <w:bottom w:val="nil"/>
              <w:right w:val="nil"/>
            </w:tcBorders>
            <w:shd w:val="clear" w:color="auto" w:fill="auto"/>
            <w:noWrap/>
            <w:vAlign w:val="center"/>
            <w:hideMark/>
          </w:tcPr>
          <w:p w14:paraId="42749B74" w14:textId="77777777" w:rsidR="004133F5" w:rsidRDefault="004133F5" w:rsidP="001B1772">
            <w:pPr>
              <w:jc w:val="right"/>
              <w:rPr>
                <w:rFonts w:ascii="Calibri" w:hAnsi="Calibri" w:cs="Calibri"/>
                <w:color w:val="000000"/>
                <w:sz w:val="16"/>
                <w:szCs w:val="16"/>
              </w:rPr>
            </w:pPr>
            <w:r>
              <w:rPr>
                <w:rFonts w:ascii="Calibri" w:hAnsi="Calibri" w:cs="Calibri"/>
                <w:color w:val="000000"/>
                <w:sz w:val="16"/>
                <w:szCs w:val="16"/>
              </w:rPr>
              <w:t xml:space="preserve">                             -   </w:t>
            </w:r>
          </w:p>
        </w:tc>
        <w:tc>
          <w:tcPr>
            <w:tcW w:w="1359" w:type="dxa"/>
            <w:tcBorders>
              <w:top w:val="nil"/>
              <w:left w:val="nil"/>
              <w:bottom w:val="nil"/>
              <w:right w:val="nil"/>
            </w:tcBorders>
            <w:shd w:val="clear" w:color="auto" w:fill="auto"/>
            <w:noWrap/>
            <w:vAlign w:val="center"/>
            <w:hideMark/>
          </w:tcPr>
          <w:p w14:paraId="0E7C91F4" w14:textId="77777777" w:rsidR="004133F5" w:rsidRDefault="004133F5" w:rsidP="001B1772">
            <w:pPr>
              <w:jc w:val="right"/>
              <w:rPr>
                <w:rFonts w:ascii="Calibri" w:hAnsi="Calibri" w:cs="Calibri"/>
                <w:color w:val="000000"/>
                <w:sz w:val="16"/>
                <w:szCs w:val="16"/>
              </w:rPr>
            </w:pPr>
            <w:r>
              <w:rPr>
                <w:rFonts w:ascii="Calibri" w:hAnsi="Calibri" w:cs="Calibri"/>
                <w:color w:val="000000"/>
                <w:sz w:val="16"/>
                <w:szCs w:val="16"/>
              </w:rPr>
              <w:t xml:space="preserve">               1.053.847 </w:t>
            </w:r>
          </w:p>
        </w:tc>
        <w:tc>
          <w:tcPr>
            <w:tcW w:w="1490" w:type="dxa"/>
            <w:tcBorders>
              <w:top w:val="nil"/>
              <w:left w:val="nil"/>
              <w:bottom w:val="nil"/>
              <w:right w:val="nil"/>
            </w:tcBorders>
            <w:shd w:val="clear" w:color="auto" w:fill="auto"/>
            <w:noWrap/>
            <w:vAlign w:val="center"/>
            <w:hideMark/>
          </w:tcPr>
          <w:p w14:paraId="5BF7E4D4" w14:textId="0049A6B1" w:rsidR="004133F5" w:rsidRDefault="004133F5" w:rsidP="001B1772">
            <w:pPr>
              <w:jc w:val="right"/>
              <w:rPr>
                <w:rFonts w:ascii="Calibri" w:hAnsi="Calibri" w:cs="Calibri"/>
                <w:color w:val="000000"/>
                <w:sz w:val="16"/>
                <w:szCs w:val="16"/>
              </w:rPr>
            </w:pPr>
            <w:r>
              <w:rPr>
                <w:rFonts w:ascii="Calibri" w:hAnsi="Calibri" w:cs="Calibri"/>
                <w:color w:val="000000"/>
                <w:sz w:val="16"/>
                <w:szCs w:val="16"/>
              </w:rPr>
              <w:t xml:space="preserve">                                   -   </w:t>
            </w:r>
          </w:p>
        </w:tc>
        <w:tc>
          <w:tcPr>
            <w:tcW w:w="743" w:type="dxa"/>
            <w:tcBorders>
              <w:top w:val="nil"/>
              <w:left w:val="nil"/>
              <w:bottom w:val="nil"/>
              <w:right w:val="nil"/>
            </w:tcBorders>
            <w:shd w:val="clear" w:color="auto" w:fill="auto"/>
            <w:noWrap/>
            <w:vAlign w:val="center"/>
            <w:hideMark/>
          </w:tcPr>
          <w:p w14:paraId="501272C7" w14:textId="77777777" w:rsidR="004133F5" w:rsidRDefault="004133F5">
            <w:pPr>
              <w:jc w:val="right"/>
              <w:rPr>
                <w:rFonts w:ascii="Calibri" w:hAnsi="Calibri" w:cs="Calibri"/>
                <w:color w:val="000000"/>
                <w:sz w:val="16"/>
                <w:szCs w:val="16"/>
              </w:rPr>
            </w:pPr>
          </w:p>
        </w:tc>
      </w:tr>
      <w:tr w:rsidR="004133F5" w14:paraId="6E1FA522" w14:textId="77777777" w:rsidTr="004133F5">
        <w:trPr>
          <w:trHeight w:val="300"/>
        </w:trPr>
        <w:tc>
          <w:tcPr>
            <w:tcW w:w="3145" w:type="dxa"/>
            <w:tcBorders>
              <w:top w:val="nil"/>
              <w:left w:val="nil"/>
              <w:bottom w:val="nil"/>
              <w:right w:val="nil"/>
            </w:tcBorders>
            <w:shd w:val="clear" w:color="auto" w:fill="auto"/>
            <w:vAlign w:val="center"/>
            <w:hideMark/>
          </w:tcPr>
          <w:p w14:paraId="5D3AFFEE" w14:textId="77777777" w:rsidR="004133F5" w:rsidRDefault="004133F5">
            <w:pPr>
              <w:rPr>
                <w:rFonts w:ascii="Calibri" w:hAnsi="Calibri" w:cs="Calibri"/>
                <w:color w:val="000000"/>
                <w:sz w:val="16"/>
                <w:szCs w:val="16"/>
              </w:rPr>
            </w:pPr>
            <w:r>
              <w:rPr>
                <w:rFonts w:ascii="Calibri" w:hAnsi="Calibri" w:cs="Calibri"/>
                <w:color w:val="000000"/>
                <w:sz w:val="16"/>
                <w:szCs w:val="16"/>
              </w:rPr>
              <w:t xml:space="preserve">    Direito de Uso de Imóveis</w:t>
            </w:r>
          </w:p>
        </w:tc>
        <w:tc>
          <w:tcPr>
            <w:tcW w:w="1418" w:type="dxa"/>
            <w:tcBorders>
              <w:top w:val="nil"/>
              <w:left w:val="nil"/>
              <w:bottom w:val="nil"/>
              <w:right w:val="nil"/>
            </w:tcBorders>
            <w:shd w:val="clear" w:color="auto" w:fill="auto"/>
            <w:noWrap/>
            <w:vAlign w:val="center"/>
            <w:hideMark/>
          </w:tcPr>
          <w:p w14:paraId="3B7941AD" w14:textId="77777777" w:rsidR="004133F5" w:rsidRDefault="004133F5" w:rsidP="001B1772">
            <w:pPr>
              <w:jc w:val="right"/>
              <w:rPr>
                <w:rFonts w:ascii="Calibri" w:hAnsi="Calibri" w:cs="Calibri"/>
                <w:color w:val="000000"/>
                <w:sz w:val="16"/>
                <w:szCs w:val="16"/>
              </w:rPr>
            </w:pPr>
            <w:r>
              <w:rPr>
                <w:rFonts w:ascii="Calibri" w:hAnsi="Calibri" w:cs="Calibri"/>
                <w:color w:val="000000"/>
                <w:sz w:val="16"/>
                <w:szCs w:val="16"/>
              </w:rPr>
              <w:t xml:space="preserve">            (34.556.527)</w:t>
            </w:r>
          </w:p>
        </w:tc>
        <w:tc>
          <w:tcPr>
            <w:tcW w:w="1237" w:type="dxa"/>
            <w:tcBorders>
              <w:top w:val="nil"/>
              <w:left w:val="nil"/>
              <w:bottom w:val="nil"/>
              <w:right w:val="nil"/>
            </w:tcBorders>
            <w:shd w:val="clear" w:color="auto" w:fill="auto"/>
            <w:noWrap/>
            <w:vAlign w:val="center"/>
            <w:hideMark/>
          </w:tcPr>
          <w:p w14:paraId="35D9591F" w14:textId="06BA994B" w:rsidR="004133F5" w:rsidRDefault="004133F5" w:rsidP="001B1772">
            <w:pPr>
              <w:jc w:val="right"/>
              <w:rPr>
                <w:rFonts w:ascii="Calibri" w:hAnsi="Calibri" w:cs="Calibri"/>
                <w:color w:val="000000"/>
                <w:sz w:val="16"/>
                <w:szCs w:val="16"/>
              </w:rPr>
            </w:pPr>
            <w:r>
              <w:rPr>
                <w:rFonts w:ascii="Calibri" w:hAnsi="Calibri" w:cs="Calibri"/>
                <w:color w:val="000000"/>
                <w:sz w:val="16"/>
                <w:szCs w:val="16"/>
              </w:rPr>
              <w:t xml:space="preserve">             (774.508)</w:t>
            </w:r>
          </w:p>
        </w:tc>
        <w:tc>
          <w:tcPr>
            <w:tcW w:w="1128" w:type="dxa"/>
            <w:tcBorders>
              <w:top w:val="nil"/>
              <w:left w:val="nil"/>
              <w:bottom w:val="nil"/>
              <w:right w:val="nil"/>
            </w:tcBorders>
            <w:shd w:val="clear" w:color="auto" w:fill="auto"/>
            <w:noWrap/>
            <w:vAlign w:val="center"/>
            <w:hideMark/>
          </w:tcPr>
          <w:p w14:paraId="6E3CDAD7" w14:textId="77777777" w:rsidR="004133F5" w:rsidRDefault="004133F5" w:rsidP="001B1772">
            <w:pPr>
              <w:jc w:val="right"/>
              <w:rPr>
                <w:rFonts w:ascii="Calibri" w:hAnsi="Calibri" w:cs="Calibri"/>
                <w:color w:val="000000"/>
                <w:sz w:val="16"/>
                <w:szCs w:val="16"/>
              </w:rPr>
            </w:pPr>
            <w:r>
              <w:rPr>
                <w:rFonts w:ascii="Calibri" w:hAnsi="Calibri" w:cs="Calibri"/>
                <w:color w:val="000000"/>
                <w:sz w:val="16"/>
                <w:szCs w:val="16"/>
              </w:rPr>
              <w:t xml:space="preserve">                             -   </w:t>
            </w:r>
          </w:p>
        </w:tc>
        <w:tc>
          <w:tcPr>
            <w:tcW w:w="1359" w:type="dxa"/>
            <w:tcBorders>
              <w:top w:val="nil"/>
              <w:left w:val="nil"/>
              <w:bottom w:val="nil"/>
              <w:right w:val="nil"/>
            </w:tcBorders>
            <w:shd w:val="clear" w:color="auto" w:fill="auto"/>
            <w:noWrap/>
            <w:vAlign w:val="center"/>
            <w:hideMark/>
          </w:tcPr>
          <w:p w14:paraId="2FA46F7B" w14:textId="77777777" w:rsidR="004133F5" w:rsidRDefault="004133F5" w:rsidP="001B1772">
            <w:pPr>
              <w:jc w:val="right"/>
              <w:rPr>
                <w:rFonts w:ascii="Calibri" w:hAnsi="Calibri" w:cs="Calibri"/>
                <w:color w:val="000000"/>
                <w:sz w:val="16"/>
                <w:szCs w:val="16"/>
              </w:rPr>
            </w:pPr>
            <w:r>
              <w:rPr>
                <w:rFonts w:ascii="Calibri" w:hAnsi="Calibri" w:cs="Calibri"/>
                <w:color w:val="000000"/>
                <w:sz w:val="16"/>
                <w:szCs w:val="16"/>
              </w:rPr>
              <w:t xml:space="preserve">            34.106.527 </w:t>
            </w:r>
          </w:p>
        </w:tc>
        <w:tc>
          <w:tcPr>
            <w:tcW w:w="1490" w:type="dxa"/>
            <w:tcBorders>
              <w:top w:val="nil"/>
              <w:left w:val="nil"/>
              <w:bottom w:val="nil"/>
              <w:right w:val="nil"/>
            </w:tcBorders>
            <w:shd w:val="clear" w:color="auto" w:fill="auto"/>
            <w:noWrap/>
            <w:vAlign w:val="center"/>
            <w:hideMark/>
          </w:tcPr>
          <w:p w14:paraId="52558172" w14:textId="77777777" w:rsidR="004133F5" w:rsidRDefault="004133F5" w:rsidP="001B1772">
            <w:pPr>
              <w:jc w:val="right"/>
              <w:rPr>
                <w:rFonts w:ascii="Calibri" w:hAnsi="Calibri" w:cs="Calibri"/>
                <w:color w:val="000000"/>
                <w:sz w:val="16"/>
                <w:szCs w:val="16"/>
              </w:rPr>
            </w:pPr>
            <w:r>
              <w:rPr>
                <w:rFonts w:ascii="Calibri" w:hAnsi="Calibri" w:cs="Calibri"/>
                <w:color w:val="000000"/>
                <w:sz w:val="16"/>
                <w:szCs w:val="16"/>
              </w:rPr>
              <w:t xml:space="preserve">                (1.224.508)</w:t>
            </w:r>
          </w:p>
        </w:tc>
        <w:tc>
          <w:tcPr>
            <w:tcW w:w="743" w:type="dxa"/>
            <w:tcBorders>
              <w:top w:val="nil"/>
              <w:left w:val="nil"/>
              <w:bottom w:val="nil"/>
              <w:right w:val="nil"/>
            </w:tcBorders>
            <w:shd w:val="clear" w:color="auto" w:fill="auto"/>
            <w:noWrap/>
            <w:vAlign w:val="center"/>
            <w:hideMark/>
          </w:tcPr>
          <w:p w14:paraId="3553E25C" w14:textId="77777777" w:rsidR="004133F5" w:rsidRDefault="004133F5">
            <w:pPr>
              <w:jc w:val="right"/>
              <w:rPr>
                <w:rFonts w:ascii="Calibri" w:hAnsi="Calibri" w:cs="Calibri"/>
                <w:color w:val="000000"/>
                <w:sz w:val="16"/>
                <w:szCs w:val="16"/>
              </w:rPr>
            </w:pPr>
          </w:p>
        </w:tc>
      </w:tr>
      <w:tr w:rsidR="004133F5" w14:paraId="3C2348A9" w14:textId="77777777" w:rsidTr="004133F5">
        <w:trPr>
          <w:trHeight w:val="150"/>
        </w:trPr>
        <w:tc>
          <w:tcPr>
            <w:tcW w:w="3145" w:type="dxa"/>
            <w:tcBorders>
              <w:top w:val="single" w:sz="8" w:space="0" w:color="auto"/>
              <w:left w:val="nil"/>
              <w:bottom w:val="single" w:sz="8" w:space="0" w:color="auto"/>
              <w:right w:val="nil"/>
            </w:tcBorders>
            <w:shd w:val="clear" w:color="auto" w:fill="auto"/>
            <w:vAlign w:val="center"/>
            <w:hideMark/>
          </w:tcPr>
          <w:p w14:paraId="4F0EEEA7" w14:textId="77777777" w:rsidR="004133F5" w:rsidRDefault="004133F5">
            <w:pPr>
              <w:rPr>
                <w:rFonts w:ascii="Calibri" w:hAnsi="Calibri" w:cs="Calibri"/>
                <w:color w:val="000000"/>
                <w:sz w:val="16"/>
                <w:szCs w:val="16"/>
              </w:rPr>
            </w:pPr>
            <w:r>
              <w:rPr>
                <w:rFonts w:ascii="Calibri" w:hAnsi="Calibri" w:cs="Calibri"/>
                <w:color w:val="000000"/>
                <w:sz w:val="16"/>
                <w:szCs w:val="16"/>
              </w:rPr>
              <w:t> </w:t>
            </w:r>
          </w:p>
        </w:tc>
        <w:tc>
          <w:tcPr>
            <w:tcW w:w="1418" w:type="dxa"/>
            <w:tcBorders>
              <w:top w:val="single" w:sz="8" w:space="0" w:color="auto"/>
              <w:left w:val="nil"/>
              <w:bottom w:val="single" w:sz="8" w:space="0" w:color="auto"/>
              <w:right w:val="nil"/>
            </w:tcBorders>
            <w:shd w:val="clear" w:color="auto" w:fill="auto"/>
            <w:noWrap/>
            <w:vAlign w:val="center"/>
            <w:hideMark/>
          </w:tcPr>
          <w:p w14:paraId="0AE66CB0" w14:textId="77777777" w:rsidR="004133F5" w:rsidRDefault="004133F5" w:rsidP="001B1772">
            <w:pPr>
              <w:jc w:val="right"/>
              <w:rPr>
                <w:rFonts w:ascii="Calibri" w:hAnsi="Calibri" w:cs="Calibri"/>
                <w:color w:val="000000"/>
                <w:sz w:val="16"/>
                <w:szCs w:val="16"/>
              </w:rPr>
            </w:pPr>
            <w:r>
              <w:rPr>
                <w:rFonts w:ascii="Calibri" w:hAnsi="Calibri" w:cs="Calibri"/>
                <w:color w:val="000000"/>
                <w:sz w:val="16"/>
                <w:szCs w:val="16"/>
              </w:rPr>
              <w:t> </w:t>
            </w:r>
          </w:p>
        </w:tc>
        <w:tc>
          <w:tcPr>
            <w:tcW w:w="1237" w:type="dxa"/>
            <w:tcBorders>
              <w:top w:val="single" w:sz="8" w:space="0" w:color="auto"/>
              <w:left w:val="nil"/>
              <w:bottom w:val="single" w:sz="8" w:space="0" w:color="auto"/>
              <w:right w:val="nil"/>
            </w:tcBorders>
            <w:shd w:val="clear" w:color="auto" w:fill="auto"/>
            <w:noWrap/>
            <w:vAlign w:val="center"/>
            <w:hideMark/>
          </w:tcPr>
          <w:p w14:paraId="44E4649E" w14:textId="77777777" w:rsidR="004133F5" w:rsidRDefault="004133F5" w:rsidP="001B1772">
            <w:pPr>
              <w:jc w:val="right"/>
              <w:rPr>
                <w:rFonts w:ascii="Calibri" w:hAnsi="Calibri" w:cs="Calibri"/>
                <w:color w:val="000000"/>
                <w:sz w:val="16"/>
                <w:szCs w:val="16"/>
              </w:rPr>
            </w:pPr>
            <w:r>
              <w:rPr>
                <w:rFonts w:ascii="Calibri" w:hAnsi="Calibri" w:cs="Calibri"/>
                <w:color w:val="000000"/>
                <w:sz w:val="16"/>
                <w:szCs w:val="16"/>
              </w:rPr>
              <w:t> </w:t>
            </w:r>
          </w:p>
        </w:tc>
        <w:tc>
          <w:tcPr>
            <w:tcW w:w="1128" w:type="dxa"/>
            <w:tcBorders>
              <w:top w:val="single" w:sz="8" w:space="0" w:color="auto"/>
              <w:left w:val="nil"/>
              <w:bottom w:val="single" w:sz="8" w:space="0" w:color="auto"/>
              <w:right w:val="nil"/>
            </w:tcBorders>
            <w:shd w:val="clear" w:color="auto" w:fill="auto"/>
            <w:noWrap/>
            <w:vAlign w:val="center"/>
            <w:hideMark/>
          </w:tcPr>
          <w:p w14:paraId="08F4E296" w14:textId="77777777" w:rsidR="004133F5" w:rsidRDefault="004133F5" w:rsidP="001B1772">
            <w:pPr>
              <w:jc w:val="right"/>
              <w:rPr>
                <w:rFonts w:ascii="Calibri" w:hAnsi="Calibri" w:cs="Calibri"/>
                <w:color w:val="000000"/>
                <w:sz w:val="16"/>
                <w:szCs w:val="16"/>
              </w:rPr>
            </w:pPr>
            <w:r>
              <w:rPr>
                <w:rFonts w:ascii="Calibri" w:hAnsi="Calibri" w:cs="Calibri"/>
                <w:color w:val="000000"/>
                <w:sz w:val="16"/>
                <w:szCs w:val="16"/>
              </w:rPr>
              <w:t> </w:t>
            </w:r>
          </w:p>
        </w:tc>
        <w:tc>
          <w:tcPr>
            <w:tcW w:w="1359" w:type="dxa"/>
            <w:tcBorders>
              <w:top w:val="single" w:sz="8" w:space="0" w:color="auto"/>
              <w:left w:val="nil"/>
              <w:bottom w:val="single" w:sz="8" w:space="0" w:color="auto"/>
              <w:right w:val="nil"/>
            </w:tcBorders>
            <w:shd w:val="clear" w:color="auto" w:fill="auto"/>
            <w:noWrap/>
            <w:vAlign w:val="center"/>
            <w:hideMark/>
          </w:tcPr>
          <w:p w14:paraId="35A53829" w14:textId="77777777" w:rsidR="004133F5" w:rsidRDefault="004133F5" w:rsidP="001B1772">
            <w:pPr>
              <w:jc w:val="right"/>
              <w:rPr>
                <w:rFonts w:ascii="Calibri" w:hAnsi="Calibri" w:cs="Calibri"/>
                <w:color w:val="000000"/>
                <w:sz w:val="16"/>
                <w:szCs w:val="16"/>
              </w:rPr>
            </w:pPr>
            <w:r>
              <w:rPr>
                <w:rFonts w:ascii="Calibri" w:hAnsi="Calibri" w:cs="Calibri"/>
                <w:color w:val="000000"/>
                <w:sz w:val="16"/>
                <w:szCs w:val="16"/>
              </w:rPr>
              <w:t> </w:t>
            </w:r>
          </w:p>
        </w:tc>
        <w:tc>
          <w:tcPr>
            <w:tcW w:w="1490" w:type="dxa"/>
            <w:tcBorders>
              <w:top w:val="single" w:sz="8" w:space="0" w:color="auto"/>
              <w:left w:val="nil"/>
              <w:bottom w:val="single" w:sz="8" w:space="0" w:color="auto"/>
              <w:right w:val="nil"/>
            </w:tcBorders>
            <w:shd w:val="clear" w:color="auto" w:fill="auto"/>
            <w:noWrap/>
            <w:vAlign w:val="center"/>
            <w:hideMark/>
          </w:tcPr>
          <w:p w14:paraId="1E68420E" w14:textId="77777777" w:rsidR="004133F5" w:rsidRDefault="004133F5" w:rsidP="001B1772">
            <w:pPr>
              <w:jc w:val="right"/>
              <w:rPr>
                <w:rFonts w:ascii="Calibri" w:hAnsi="Calibri" w:cs="Calibri"/>
                <w:color w:val="000000"/>
                <w:sz w:val="16"/>
                <w:szCs w:val="16"/>
              </w:rPr>
            </w:pPr>
            <w:r>
              <w:rPr>
                <w:rFonts w:ascii="Calibri" w:hAnsi="Calibri" w:cs="Calibri"/>
                <w:color w:val="000000"/>
                <w:sz w:val="16"/>
                <w:szCs w:val="16"/>
              </w:rPr>
              <w:t> </w:t>
            </w:r>
          </w:p>
        </w:tc>
        <w:tc>
          <w:tcPr>
            <w:tcW w:w="743" w:type="dxa"/>
            <w:tcBorders>
              <w:top w:val="single" w:sz="8" w:space="0" w:color="auto"/>
              <w:left w:val="nil"/>
              <w:bottom w:val="single" w:sz="8" w:space="0" w:color="auto"/>
              <w:right w:val="nil"/>
            </w:tcBorders>
            <w:shd w:val="clear" w:color="auto" w:fill="auto"/>
            <w:noWrap/>
            <w:vAlign w:val="center"/>
            <w:hideMark/>
          </w:tcPr>
          <w:p w14:paraId="20BADFAA" w14:textId="77777777" w:rsidR="004133F5" w:rsidRDefault="004133F5">
            <w:pPr>
              <w:jc w:val="center"/>
              <w:rPr>
                <w:rFonts w:ascii="Calibri" w:hAnsi="Calibri" w:cs="Calibri"/>
                <w:color w:val="000000"/>
                <w:sz w:val="16"/>
                <w:szCs w:val="16"/>
              </w:rPr>
            </w:pPr>
            <w:r>
              <w:rPr>
                <w:rFonts w:ascii="Calibri" w:hAnsi="Calibri" w:cs="Calibri"/>
                <w:color w:val="000000"/>
                <w:sz w:val="16"/>
                <w:szCs w:val="16"/>
              </w:rPr>
              <w:t> </w:t>
            </w:r>
          </w:p>
        </w:tc>
      </w:tr>
      <w:tr w:rsidR="004133F5" w14:paraId="00075C41" w14:textId="77777777" w:rsidTr="004133F5">
        <w:trPr>
          <w:trHeight w:val="315"/>
        </w:trPr>
        <w:tc>
          <w:tcPr>
            <w:tcW w:w="3145" w:type="dxa"/>
            <w:tcBorders>
              <w:top w:val="nil"/>
              <w:left w:val="nil"/>
              <w:bottom w:val="single" w:sz="8" w:space="0" w:color="auto"/>
              <w:right w:val="nil"/>
            </w:tcBorders>
            <w:shd w:val="clear" w:color="auto" w:fill="auto"/>
            <w:noWrap/>
            <w:vAlign w:val="center"/>
            <w:hideMark/>
          </w:tcPr>
          <w:p w14:paraId="30A7554F" w14:textId="77777777" w:rsidR="004133F5" w:rsidRDefault="004133F5">
            <w:pPr>
              <w:rPr>
                <w:rFonts w:ascii="Calibri" w:hAnsi="Calibri" w:cs="Calibri"/>
                <w:b/>
                <w:bCs/>
                <w:color w:val="000000"/>
                <w:sz w:val="16"/>
                <w:szCs w:val="16"/>
              </w:rPr>
            </w:pPr>
            <w:r>
              <w:rPr>
                <w:rFonts w:ascii="Calibri" w:hAnsi="Calibri" w:cs="Calibri"/>
                <w:b/>
                <w:bCs/>
                <w:color w:val="000000"/>
                <w:sz w:val="16"/>
                <w:szCs w:val="16"/>
              </w:rPr>
              <w:t>Total Líquido (7) =1+ 2+3+4+5+6</w:t>
            </w:r>
          </w:p>
        </w:tc>
        <w:tc>
          <w:tcPr>
            <w:tcW w:w="1418" w:type="dxa"/>
            <w:tcBorders>
              <w:top w:val="nil"/>
              <w:left w:val="nil"/>
              <w:bottom w:val="single" w:sz="8" w:space="0" w:color="auto"/>
              <w:right w:val="nil"/>
            </w:tcBorders>
            <w:shd w:val="clear" w:color="auto" w:fill="auto"/>
            <w:noWrap/>
            <w:vAlign w:val="center"/>
            <w:hideMark/>
          </w:tcPr>
          <w:p w14:paraId="1E809057" w14:textId="77777777" w:rsidR="004133F5" w:rsidRDefault="004133F5" w:rsidP="001B1772">
            <w:pPr>
              <w:jc w:val="right"/>
              <w:rPr>
                <w:rFonts w:ascii="Calibri" w:hAnsi="Calibri" w:cs="Calibri"/>
                <w:b/>
                <w:bCs/>
                <w:color w:val="000000"/>
                <w:sz w:val="16"/>
                <w:szCs w:val="16"/>
              </w:rPr>
            </w:pPr>
            <w:r>
              <w:rPr>
                <w:rFonts w:ascii="Calibri" w:hAnsi="Calibri" w:cs="Calibri"/>
                <w:b/>
                <w:bCs/>
                <w:color w:val="000000"/>
                <w:sz w:val="16"/>
                <w:szCs w:val="16"/>
              </w:rPr>
              <w:t xml:space="preserve">      3.284.926.864 </w:t>
            </w:r>
          </w:p>
        </w:tc>
        <w:tc>
          <w:tcPr>
            <w:tcW w:w="1237" w:type="dxa"/>
            <w:tcBorders>
              <w:top w:val="nil"/>
              <w:left w:val="nil"/>
              <w:bottom w:val="single" w:sz="8" w:space="0" w:color="auto"/>
              <w:right w:val="nil"/>
            </w:tcBorders>
            <w:shd w:val="clear" w:color="auto" w:fill="auto"/>
            <w:noWrap/>
            <w:vAlign w:val="center"/>
            <w:hideMark/>
          </w:tcPr>
          <w:p w14:paraId="452E2EE0" w14:textId="77777777" w:rsidR="004133F5" w:rsidRDefault="004133F5" w:rsidP="001B1772">
            <w:pPr>
              <w:jc w:val="right"/>
              <w:rPr>
                <w:rFonts w:ascii="Calibri" w:hAnsi="Calibri" w:cs="Calibri"/>
                <w:b/>
                <w:bCs/>
                <w:color w:val="000000"/>
                <w:sz w:val="16"/>
                <w:szCs w:val="16"/>
              </w:rPr>
            </w:pPr>
            <w:r>
              <w:rPr>
                <w:rFonts w:ascii="Calibri" w:hAnsi="Calibri" w:cs="Calibri"/>
                <w:b/>
                <w:bCs/>
                <w:color w:val="000000"/>
                <w:sz w:val="16"/>
                <w:szCs w:val="16"/>
              </w:rPr>
              <w:t xml:space="preserve">     287.153.281 </w:t>
            </w:r>
          </w:p>
        </w:tc>
        <w:tc>
          <w:tcPr>
            <w:tcW w:w="1128" w:type="dxa"/>
            <w:tcBorders>
              <w:top w:val="nil"/>
              <w:left w:val="nil"/>
              <w:bottom w:val="single" w:sz="8" w:space="0" w:color="auto"/>
              <w:right w:val="nil"/>
            </w:tcBorders>
            <w:shd w:val="clear" w:color="auto" w:fill="auto"/>
            <w:noWrap/>
            <w:vAlign w:val="center"/>
            <w:hideMark/>
          </w:tcPr>
          <w:p w14:paraId="17C915FA" w14:textId="3F977AB5" w:rsidR="004133F5" w:rsidRDefault="004133F5" w:rsidP="001B1772">
            <w:pPr>
              <w:jc w:val="right"/>
              <w:rPr>
                <w:rFonts w:ascii="Calibri" w:hAnsi="Calibri" w:cs="Calibri"/>
                <w:b/>
                <w:bCs/>
                <w:color w:val="000000"/>
                <w:sz w:val="16"/>
                <w:szCs w:val="16"/>
              </w:rPr>
            </w:pPr>
            <w:r>
              <w:rPr>
                <w:rFonts w:ascii="Calibri" w:hAnsi="Calibri" w:cs="Calibri"/>
                <w:b/>
                <w:bCs/>
                <w:color w:val="000000"/>
                <w:sz w:val="16"/>
                <w:szCs w:val="16"/>
              </w:rPr>
              <w:t xml:space="preserve">      (4.093.099)</w:t>
            </w:r>
          </w:p>
        </w:tc>
        <w:tc>
          <w:tcPr>
            <w:tcW w:w="1359" w:type="dxa"/>
            <w:tcBorders>
              <w:top w:val="nil"/>
              <w:left w:val="nil"/>
              <w:bottom w:val="single" w:sz="8" w:space="0" w:color="auto"/>
              <w:right w:val="nil"/>
            </w:tcBorders>
            <w:shd w:val="clear" w:color="auto" w:fill="auto"/>
            <w:noWrap/>
            <w:vAlign w:val="center"/>
            <w:hideMark/>
          </w:tcPr>
          <w:p w14:paraId="185CE00E" w14:textId="314B4EE4" w:rsidR="004133F5" w:rsidRDefault="004133F5" w:rsidP="001B1772">
            <w:pPr>
              <w:jc w:val="right"/>
              <w:rPr>
                <w:rFonts w:ascii="Calibri" w:hAnsi="Calibri" w:cs="Calibri"/>
                <w:b/>
                <w:bCs/>
                <w:color w:val="000000"/>
                <w:sz w:val="16"/>
                <w:szCs w:val="16"/>
              </w:rPr>
            </w:pPr>
            <w:r>
              <w:rPr>
                <w:rFonts w:ascii="Calibri" w:hAnsi="Calibri" w:cs="Calibri"/>
                <w:b/>
                <w:bCs/>
                <w:color w:val="000000"/>
                <w:sz w:val="16"/>
                <w:szCs w:val="16"/>
              </w:rPr>
              <w:t xml:space="preserve">            (6.385.760)</w:t>
            </w:r>
          </w:p>
        </w:tc>
        <w:tc>
          <w:tcPr>
            <w:tcW w:w="1490" w:type="dxa"/>
            <w:tcBorders>
              <w:top w:val="nil"/>
              <w:left w:val="nil"/>
              <w:bottom w:val="single" w:sz="8" w:space="0" w:color="auto"/>
              <w:right w:val="nil"/>
            </w:tcBorders>
            <w:shd w:val="clear" w:color="auto" w:fill="auto"/>
            <w:noWrap/>
            <w:vAlign w:val="center"/>
            <w:hideMark/>
          </w:tcPr>
          <w:p w14:paraId="3E0C3075" w14:textId="77777777" w:rsidR="004133F5" w:rsidRDefault="004133F5" w:rsidP="001B1772">
            <w:pPr>
              <w:jc w:val="right"/>
              <w:rPr>
                <w:rFonts w:ascii="Calibri" w:hAnsi="Calibri" w:cs="Calibri"/>
                <w:b/>
                <w:bCs/>
                <w:color w:val="000000"/>
                <w:sz w:val="16"/>
                <w:szCs w:val="16"/>
              </w:rPr>
            </w:pPr>
            <w:r>
              <w:rPr>
                <w:rFonts w:ascii="Calibri" w:hAnsi="Calibri" w:cs="Calibri"/>
                <w:b/>
                <w:bCs/>
                <w:color w:val="000000"/>
                <w:sz w:val="16"/>
                <w:szCs w:val="16"/>
              </w:rPr>
              <w:t xml:space="preserve">        3.561.601.284 </w:t>
            </w:r>
          </w:p>
        </w:tc>
        <w:tc>
          <w:tcPr>
            <w:tcW w:w="743" w:type="dxa"/>
            <w:tcBorders>
              <w:top w:val="nil"/>
              <w:left w:val="nil"/>
              <w:bottom w:val="single" w:sz="8" w:space="0" w:color="auto"/>
              <w:right w:val="nil"/>
            </w:tcBorders>
            <w:shd w:val="clear" w:color="auto" w:fill="auto"/>
            <w:noWrap/>
            <w:vAlign w:val="center"/>
            <w:hideMark/>
          </w:tcPr>
          <w:p w14:paraId="74ABDB42" w14:textId="77777777" w:rsidR="004133F5" w:rsidRDefault="004133F5">
            <w:pPr>
              <w:rPr>
                <w:rFonts w:ascii="Calibri" w:hAnsi="Calibri" w:cs="Calibri"/>
                <w:b/>
                <w:bCs/>
                <w:color w:val="000000"/>
                <w:sz w:val="16"/>
                <w:szCs w:val="16"/>
              </w:rPr>
            </w:pPr>
            <w:r>
              <w:rPr>
                <w:rFonts w:ascii="Calibri" w:hAnsi="Calibri" w:cs="Calibri"/>
                <w:b/>
                <w:bCs/>
                <w:color w:val="000000"/>
                <w:sz w:val="16"/>
                <w:szCs w:val="16"/>
              </w:rPr>
              <w:t xml:space="preserve"> </w:t>
            </w:r>
          </w:p>
        </w:tc>
      </w:tr>
      <w:tr w:rsidR="004133F5" w14:paraId="7D9F941C" w14:textId="77777777" w:rsidTr="004133F5">
        <w:trPr>
          <w:trHeight w:val="105"/>
        </w:trPr>
        <w:tc>
          <w:tcPr>
            <w:tcW w:w="3145" w:type="dxa"/>
            <w:tcBorders>
              <w:top w:val="nil"/>
              <w:left w:val="nil"/>
              <w:bottom w:val="nil"/>
              <w:right w:val="nil"/>
            </w:tcBorders>
            <w:shd w:val="clear" w:color="auto" w:fill="auto"/>
            <w:noWrap/>
            <w:vAlign w:val="bottom"/>
            <w:hideMark/>
          </w:tcPr>
          <w:p w14:paraId="356AE508" w14:textId="77777777" w:rsidR="004133F5" w:rsidRDefault="004133F5">
            <w:pPr>
              <w:rPr>
                <w:rFonts w:ascii="Calibri" w:hAnsi="Calibri" w:cs="Calibri"/>
                <w:b/>
                <w:bCs/>
                <w:color w:val="000000"/>
                <w:sz w:val="16"/>
                <w:szCs w:val="16"/>
              </w:rPr>
            </w:pPr>
          </w:p>
        </w:tc>
        <w:tc>
          <w:tcPr>
            <w:tcW w:w="1418" w:type="dxa"/>
            <w:tcBorders>
              <w:top w:val="nil"/>
              <w:left w:val="nil"/>
              <w:bottom w:val="nil"/>
              <w:right w:val="nil"/>
            </w:tcBorders>
            <w:shd w:val="clear" w:color="auto" w:fill="auto"/>
            <w:noWrap/>
            <w:vAlign w:val="bottom"/>
            <w:hideMark/>
          </w:tcPr>
          <w:p w14:paraId="60E13F52" w14:textId="77777777" w:rsidR="004133F5" w:rsidRDefault="004133F5" w:rsidP="001B1772">
            <w:pPr>
              <w:jc w:val="right"/>
              <w:rPr>
                <w:sz w:val="20"/>
                <w:szCs w:val="20"/>
              </w:rPr>
            </w:pPr>
          </w:p>
        </w:tc>
        <w:tc>
          <w:tcPr>
            <w:tcW w:w="1237" w:type="dxa"/>
            <w:tcBorders>
              <w:top w:val="nil"/>
              <w:left w:val="nil"/>
              <w:bottom w:val="nil"/>
              <w:right w:val="nil"/>
            </w:tcBorders>
            <w:shd w:val="clear" w:color="auto" w:fill="auto"/>
            <w:noWrap/>
            <w:vAlign w:val="bottom"/>
            <w:hideMark/>
          </w:tcPr>
          <w:p w14:paraId="3C4704FB" w14:textId="77777777" w:rsidR="004133F5" w:rsidRDefault="004133F5" w:rsidP="001B1772">
            <w:pPr>
              <w:jc w:val="right"/>
              <w:rPr>
                <w:sz w:val="20"/>
                <w:szCs w:val="20"/>
              </w:rPr>
            </w:pPr>
          </w:p>
        </w:tc>
        <w:tc>
          <w:tcPr>
            <w:tcW w:w="1128" w:type="dxa"/>
            <w:tcBorders>
              <w:top w:val="nil"/>
              <w:left w:val="nil"/>
              <w:bottom w:val="nil"/>
              <w:right w:val="nil"/>
            </w:tcBorders>
            <w:shd w:val="clear" w:color="auto" w:fill="auto"/>
            <w:noWrap/>
            <w:vAlign w:val="bottom"/>
            <w:hideMark/>
          </w:tcPr>
          <w:p w14:paraId="0B96E302" w14:textId="77777777" w:rsidR="004133F5" w:rsidRDefault="004133F5" w:rsidP="001B1772">
            <w:pPr>
              <w:jc w:val="right"/>
              <w:rPr>
                <w:sz w:val="20"/>
                <w:szCs w:val="20"/>
              </w:rPr>
            </w:pPr>
          </w:p>
        </w:tc>
        <w:tc>
          <w:tcPr>
            <w:tcW w:w="1359" w:type="dxa"/>
            <w:tcBorders>
              <w:top w:val="nil"/>
              <w:left w:val="nil"/>
              <w:bottom w:val="nil"/>
              <w:right w:val="nil"/>
            </w:tcBorders>
            <w:shd w:val="clear" w:color="auto" w:fill="auto"/>
            <w:noWrap/>
            <w:vAlign w:val="bottom"/>
            <w:hideMark/>
          </w:tcPr>
          <w:p w14:paraId="368F84B1" w14:textId="77777777" w:rsidR="004133F5" w:rsidRDefault="004133F5" w:rsidP="001B1772">
            <w:pPr>
              <w:jc w:val="right"/>
              <w:rPr>
                <w:sz w:val="20"/>
                <w:szCs w:val="20"/>
              </w:rPr>
            </w:pPr>
          </w:p>
        </w:tc>
        <w:tc>
          <w:tcPr>
            <w:tcW w:w="1490" w:type="dxa"/>
            <w:tcBorders>
              <w:top w:val="nil"/>
              <w:left w:val="nil"/>
              <w:bottom w:val="nil"/>
              <w:right w:val="nil"/>
            </w:tcBorders>
            <w:shd w:val="clear" w:color="auto" w:fill="auto"/>
            <w:noWrap/>
            <w:vAlign w:val="bottom"/>
            <w:hideMark/>
          </w:tcPr>
          <w:p w14:paraId="3AE24049" w14:textId="77777777" w:rsidR="004133F5" w:rsidRDefault="004133F5" w:rsidP="001B1772">
            <w:pPr>
              <w:jc w:val="right"/>
              <w:rPr>
                <w:sz w:val="20"/>
                <w:szCs w:val="20"/>
              </w:rPr>
            </w:pPr>
          </w:p>
        </w:tc>
        <w:tc>
          <w:tcPr>
            <w:tcW w:w="743" w:type="dxa"/>
            <w:tcBorders>
              <w:top w:val="nil"/>
              <w:left w:val="nil"/>
              <w:bottom w:val="nil"/>
              <w:right w:val="nil"/>
            </w:tcBorders>
            <w:shd w:val="clear" w:color="auto" w:fill="auto"/>
            <w:noWrap/>
            <w:vAlign w:val="bottom"/>
            <w:hideMark/>
          </w:tcPr>
          <w:p w14:paraId="14C8FD06" w14:textId="77777777" w:rsidR="004133F5" w:rsidRDefault="004133F5">
            <w:pPr>
              <w:rPr>
                <w:sz w:val="20"/>
                <w:szCs w:val="20"/>
              </w:rPr>
            </w:pPr>
          </w:p>
        </w:tc>
      </w:tr>
      <w:tr w:rsidR="004133F5" w14:paraId="40A27A71" w14:textId="77777777" w:rsidTr="004133F5">
        <w:trPr>
          <w:trHeight w:val="465"/>
        </w:trPr>
        <w:tc>
          <w:tcPr>
            <w:tcW w:w="3145" w:type="dxa"/>
            <w:tcBorders>
              <w:top w:val="nil"/>
              <w:left w:val="nil"/>
              <w:bottom w:val="single" w:sz="8" w:space="0" w:color="auto"/>
              <w:right w:val="nil"/>
            </w:tcBorders>
            <w:shd w:val="clear" w:color="auto" w:fill="auto"/>
            <w:vAlign w:val="center"/>
            <w:hideMark/>
          </w:tcPr>
          <w:p w14:paraId="6E01FA91" w14:textId="77777777" w:rsidR="004133F5" w:rsidRDefault="004133F5">
            <w:pPr>
              <w:rPr>
                <w:rFonts w:ascii="Calibri" w:hAnsi="Calibri" w:cs="Calibri"/>
                <w:b/>
                <w:bCs/>
                <w:color w:val="000000"/>
                <w:sz w:val="16"/>
                <w:szCs w:val="16"/>
              </w:rPr>
            </w:pPr>
            <w:r>
              <w:rPr>
                <w:rFonts w:ascii="Calibri" w:hAnsi="Calibri" w:cs="Calibri"/>
                <w:b/>
                <w:bCs/>
                <w:color w:val="000000"/>
                <w:sz w:val="16"/>
                <w:szCs w:val="16"/>
              </w:rPr>
              <w:t>IMOBILIZADO CONSOLIDADO</w:t>
            </w:r>
          </w:p>
        </w:tc>
        <w:tc>
          <w:tcPr>
            <w:tcW w:w="1418" w:type="dxa"/>
            <w:tcBorders>
              <w:top w:val="nil"/>
              <w:left w:val="nil"/>
              <w:bottom w:val="single" w:sz="8" w:space="0" w:color="auto"/>
              <w:right w:val="nil"/>
            </w:tcBorders>
            <w:shd w:val="clear" w:color="auto" w:fill="auto"/>
            <w:vAlign w:val="center"/>
            <w:hideMark/>
          </w:tcPr>
          <w:p w14:paraId="5CF68B61" w14:textId="77777777" w:rsidR="004133F5" w:rsidRDefault="004133F5" w:rsidP="001B1772">
            <w:pPr>
              <w:jc w:val="right"/>
              <w:rPr>
                <w:rFonts w:ascii="Calibri" w:hAnsi="Calibri" w:cs="Calibri"/>
                <w:b/>
                <w:bCs/>
                <w:color w:val="000000"/>
                <w:sz w:val="16"/>
                <w:szCs w:val="16"/>
              </w:rPr>
            </w:pPr>
            <w:r>
              <w:rPr>
                <w:rFonts w:ascii="Calibri" w:hAnsi="Calibri" w:cs="Calibri"/>
                <w:b/>
                <w:bCs/>
                <w:color w:val="000000"/>
                <w:sz w:val="16"/>
                <w:szCs w:val="16"/>
              </w:rPr>
              <w:t>SALDO EM 31/12/2021</w:t>
            </w:r>
          </w:p>
        </w:tc>
        <w:tc>
          <w:tcPr>
            <w:tcW w:w="1237" w:type="dxa"/>
            <w:tcBorders>
              <w:top w:val="nil"/>
              <w:left w:val="nil"/>
              <w:bottom w:val="single" w:sz="8" w:space="0" w:color="auto"/>
              <w:right w:val="nil"/>
            </w:tcBorders>
            <w:shd w:val="clear" w:color="auto" w:fill="auto"/>
            <w:vAlign w:val="center"/>
            <w:hideMark/>
          </w:tcPr>
          <w:p w14:paraId="794DE812" w14:textId="77777777" w:rsidR="004133F5" w:rsidRDefault="004133F5" w:rsidP="001B1772">
            <w:pPr>
              <w:jc w:val="right"/>
              <w:rPr>
                <w:rFonts w:ascii="Calibri" w:hAnsi="Calibri" w:cs="Calibri"/>
                <w:b/>
                <w:bCs/>
                <w:color w:val="000000"/>
                <w:sz w:val="16"/>
                <w:szCs w:val="16"/>
              </w:rPr>
            </w:pPr>
            <w:r>
              <w:rPr>
                <w:rFonts w:ascii="Calibri" w:hAnsi="Calibri" w:cs="Calibri"/>
                <w:b/>
                <w:bCs/>
                <w:color w:val="000000"/>
                <w:sz w:val="16"/>
                <w:szCs w:val="16"/>
              </w:rPr>
              <w:t>ENTRADAS</w:t>
            </w:r>
          </w:p>
        </w:tc>
        <w:tc>
          <w:tcPr>
            <w:tcW w:w="1128" w:type="dxa"/>
            <w:tcBorders>
              <w:top w:val="nil"/>
              <w:left w:val="nil"/>
              <w:bottom w:val="single" w:sz="8" w:space="0" w:color="auto"/>
              <w:right w:val="nil"/>
            </w:tcBorders>
            <w:shd w:val="clear" w:color="auto" w:fill="auto"/>
            <w:vAlign w:val="center"/>
            <w:hideMark/>
          </w:tcPr>
          <w:p w14:paraId="3CCCE098" w14:textId="77777777" w:rsidR="004133F5" w:rsidRDefault="004133F5" w:rsidP="001B1772">
            <w:pPr>
              <w:jc w:val="right"/>
              <w:rPr>
                <w:rFonts w:ascii="Calibri" w:hAnsi="Calibri" w:cs="Calibri"/>
                <w:b/>
                <w:bCs/>
                <w:color w:val="000000"/>
                <w:sz w:val="16"/>
                <w:szCs w:val="16"/>
              </w:rPr>
            </w:pPr>
            <w:r>
              <w:rPr>
                <w:rFonts w:ascii="Calibri" w:hAnsi="Calibri" w:cs="Calibri"/>
                <w:b/>
                <w:bCs/>
                <w:color w:val="000000"/>
                <w:sz w:val="16"/>
                <w:szCs w:val="16"/>
              </w:rPr>
              <w:t>BAIXAS</w:t>
            </w:r>
          </w:p>
        </w:tc>
        <w:tc>
          <w:tcPr>
            <w:tcW w:w="1359" w:type="dxa"/>
            <w:tcBorders>
              <w:top w:val="nil"/>
              <w:left w:val="nil"/>
              <w:bottom w:val="single" w:sz="8" w:space="0" w:color="auto"/>
              <w:right w:val="nil"/>
            </w:tcBorders>
            <w:shd w:val="clear" w:color="auto" w:fill="auto"/>
            <w:vAlign w:val="center"/>
            <w:hideMark/>
          </w:tcPr>
          <w:p w14:paraId="1AD0E9FC" w14:textId="77777777" w:rsidR="004133F5" w:rsidRDefault="004133F5" w:rsidP="001B1772">
            <w:pPr>
              <w:jc w:val="right"/>
              <w:rPr>
                <w:rFonts w:ascii="Calibri" w:hAnsi="Calibri" w:cs="Calibri"/>
                <w:b/>
                <w:bCs/>
                <w:color w:val="000000"/>
                <w:sz w:val="16"/>
                <w:szCs w:val="16"/>
              </w:rPr>
            </w:pPr>
            <w:r>
              <w:rPr>
                <w:rFonts w:ascii="Calibri" w:hAnsi="Calibri" w:cs="Calibri"/>
                <w:b/>
                <w:bCs/>
                <w:color w:val="000000"/>
                <w:sz w:val="16"/>
                <w:szCs w:val="16"/>
              </w:rPr>
              <w:t>TRANSF.</w:t>
            </w:r>
          </w:p>
        </w:tc>
        <w:tc>
          <w:tcPr>
            <w:tcW w:w="1490" w:type="dxa"/>
            <w:tcBorders>
              <w:top w:val="nil"/>
              <w:left w:val="nil"/>
              <w:bottom w:val="single" w:sz="8" w:space="0" w:color="auto"/>
              <w:right w:val="nil"/>
            </w:tcBorders>
            <w:shd w:val="clear" w:color="auto" w:fill="auto"/>
            <w:vAlign w:val="center"/>
            <w:hideMark/>
          </w:tcPr>
          <w:p w14:paraId="5BAD15F4" w14:textId="77777777" w:rsidR="004133F5" w:rsidRDefault="004133F5" w:rsidP="001B1772">
            <w:pPr>
              <w:jc w:val="right"/>
              <w:rPr>
                <w:rFonts w:ascii="Calibri" w:hAnsi="Calibri" w:cs="Calibri"/>
                <w:b/>
                <w:bCs/>
                <w:color w:val="000000"/>
                <w:sz w:val="16"/>
                <w:szCs w:val="16"/>
              </w:rPr>
            </w:pPr>
            <w:r>
              <w:rPr>
                <w:rFonts w:ascii="Calibri" w:hAnsi="Calibri" w:cs="Calibri"/>
                <w:b/>
                <w:bCs/>
                <w:color w:val="000000"/>
                <w:sz w:val="16"/>
                <w:szCs w:val="16"/>
              </w:rPr>
              <w:t>SALDO EM 30/06/2022</w:t>
            </w:r>
          </w:p>
        </w:tc>
        <w:tc>
          <w:tcPr>
            <w:tcW w:w="743" w:type="dxa"/>
            <w:tcBorders>
              <w:top w:val="nil"/>
              <w:left w:val="nil"/>
              <w:bottom w:val="single" w:sz="8" w:space="0" w:color="auto"/>
              <w:right w:val="nil"/>
            </w:tcBorders>
            <w:shd w:val="clear" w:color="auto" w:fill="auto"/>
            <w:vAlign w:val="center"/>
            <w:hideMark/>
          </w:tcPr>
          <w:p w14:paraId="1A300E54" w14:textId="77777777" w:rsidR="004133F5" w:rsidRDefault="004133F5">
            <w:pPr>
              <w:jc w:val="right"/>
              <w:rPr>
                <w:rFonts w:ascii="Calibri" w:hAnsi="Calibri" w:cs="Calibri"/>
                <w:b/>
                <w:bCs/>
                <w:color w:val="000000"/>
                <w:sz w:val="16"/>
                <w:szCs w:val="16"/>
              </w:rPr>
            </w:pPr>
            <w:r>
              <w:rPr>
                <w:rFonts w:ascii="Calibri" w:hAnsi="Calibri" w:cs="Calibri"/>
                <w:b/>
                <w:bCs/>
                <w:color w:val="000000"/>
                <w:sz w:val="16"/>
                <w:szCs w:val="16"/>
              </w:rPr>
              <w:t> </w:t>
            </w:r>
          </w:p>
        </w:tc>
      </w:tr>
      <w:tr w:rsidR="004133F5" w14:paraId="4E8E51CD" w14:textId="77777777" w:rsidTr="004133F5">
        <w:trPr>
          <w:trHeight w:val="300"/>
        </w:trPr>
        <w:tc>
          <w:tcPr>
            <w:tcW w:w="3145" w:type="dxa"/>
            <w:tcBorders>
              <w:top w:val="nil"/>
              <w:left w:val="nil"/>
              <w:bottom w:val="nil"/>
              <w:right w:val="nil"/>
            </w:tcBorders>
            <w:shd w:val="clear" w:color="auto" w:fill="auto"/>
            <w:noWrap/>
            <w:vAlign w:val="center"/>
            <w:hideMark/>
          </w:tcPr>
          <w:p w14:paraId="3440174B" w14:textId="77777777" w:rsidR="004133F5" w:rsidRDefault="004133F5">
            <w:pPr>
              <w:rPr>
                <w:rFonts w:ascii="Calibri" w:hAnsi="Calibri" w:cs="Calibri"/>
                <w:color w:val="000000"/>
                <w:sz w:val="16"/>
                <w:szCs w:val="16"/>
              </w:rPr>
            </w:pPr>
            <w:r>
              <w:rPr>
                <w:rFonts w:ascii="Calibri" w:hAnsi="Calibri" w:cs="Calibri"/>
                <w:color w:val="000000"/>
                <w:sz w:val="16"/>
                <w:szCs w:val="16"/>
              </w:rPr>
              <w:t>Total Bens Móveis (1)</w:t>
            </w:r>
          </w:p>
        </w:tc>
        <w:tc>
          <w:tcPr>
            <w:tcW w:w="1418" w:type="dxa"/>
            <w:tcBorders>
              <w:top w:val="nil"/>
              <w:left w:val="nil"/>
              <w:bottom w:val="nil"/>
              <w:right w:val="nil"/>
            </w:tcBorders>
            <w:shd w:val="clear" w:color="auto" w:fill="auto"/>
            <w:noWrap/>
            <w:vAlign w:val="center"/>
            <w:hideMark/>
          </w:tcPr>
          <w:p w14:paraId="19CA74B6" w14:textId="77777777" w:rsidR="004133F5" w:rsidRDefault="004133F5" w:rsidP="001B1772">
            <w:pPr>
              <w:jc w:val="right"/>
              <w:rPr>
                <w:rFonts w:ascii="Calibri" w:hAnsi="Calibri" w:cs="Calibri"/>
                <w:color w:val="000000"/>
                <w:sz w:val="16"/>
                <w:szCs w:val="16"/>
              </w:rPr>
            </w:pPr>
            <w:r>
              <w:rPr>
                <w:rFonts w:ascii="Calibri" w:hAnsi="Calibri" w:cs="Calibri"/>
                <w:color w:val="000000"/>
                <w:sz w:val="16"/>
                <w:szCs w:val="16"/>
              </w:rPr>
              <w:t xml:space="preserve">              38.726.226 </w:t>
            </w:r>
          </w:p>
        </w:tc>
        <w:tc>
          <w:tcPr>
            <w:tcW w:w="1237" w:type="dxa"/>
            <w:tcBorders>
              <w:top w:val="nil"/>
              <w:left w:val="nil"/>
              <w:bottom w:val="nil"/>
              <w:right w:val="nil"/>
            </w:tcBorders>
            <w:shd w:val="clear" w:color="auto" w:fill="auto"/>
            <w:noWrap/>
            <w:vAlign w:val="center"/>
            <w:hideMark/>
          </w:tcPr>
          <w:p w14:paraId="06EC2324" w14:textId="311E5234" w:rsidR="004133F5" w:rsidRDefault="004133F5" w:rsidP="001B1772">
            <w:pPr>
              <w:jc w:val="right"/>
              <w:rPr>
                <w:rFonts w:ascii="Calibri" w:hAnsi="Calibri" w:cs="Calibri"/>
                <w:color w:val="000000"/>
                <w:sz w:val="16"/>
                <w:szCs w:val="16"/>
              </w:rPr>
            </w:pPr>
            <w:r>
              <w:rPr>
                <w:rFonts w:ascii="Calibri" w:hAnsi="Calibri" w:cs="Calibri"/>
                <w:color w:val="000000"/>
                <w:sz w:val="16"/>
                <w:szCs w:val="16"/>
              </w:rPr>
              <w:t xml:space="preserve">                  65.185 </w:t>
            </w:r>
          </w:p>
        </w:tc>
        <w:tc>
          <w:tcPr>
            <w:tcW w:w="1128" w:type="dxa"/>
            <w:tcBorders>
              <w:top w:val="nil"/>
              <w:left w:val="nil"/>
              <w:bottom w:val="nil"/>
              <w:right w:val="nil"/>
            </w:tcBorders>
            <w:shd w:val="clear" w:color="auto" w:fill="auto"/>
            <w:noWrap/>
            <w:vAlign w:val="center"/>
            <w:hideMark/>
          </w:tcPr>
          <w:p w14:paraId="2C0CD852" w14:textId="77777777" w:rsidR="004133F5" w:rsidRDefault="004133F5" w:rsidP="001B1772">
            <w:pPr>
              <w:jc w:val="right"/>
              <w:rPr>
                <w:rFonts w:ascii="Calibri" w:hAnsi="Calibri" w:cs="Calibri"/>
                <w:color w:val="000000"/>
                <w:sz w:val="16"/>
                <w:szCs w:val="16"/>
              </w:rPr>
            </w:pPr>
            <w:r>
              <w:rPr>
                <w:rFonts w:ascii="Calibri" w:hAnsi="Calibri" w:cs="Calibri"/>
                <w:color w:val="000000"/>
                <w:sz w:val="16"/>
                <w:szCs w:val="16"/>
              </w:rPr>
              <w:t xml:space="preserve">                             -   </w:t>
            </w:r>
          </w:p>
        </w:tc>
        <w:tc>
          <w:tcPr>
            <w:tcW w:w="1359" w:type="dxa"/>
            <w:tcBorders>
              <w:top w:val="nil"/>
              <w:left w:val="nil"/>
              <w:bottom w:val="nil"/>
              <w:right w:val="nil"/>
            </w:tcBorders>
            <w:shd w:val="clear" w:color="auto" w:fill="auto"/>
            <w:noWrap/>
            <w:vAlign w:val="center"/>
            <w:hideMark/>
          </w:tcPr>
          <w:p w14:paraId="03D39D21" w14:textId="77777777" w:rsidR="004133F5" w:rsidRDefault="004133F5" w:rsidP="001B1772">
            <w:pPr>
              <w:jc w:val="right"/>
              <w:rPr>
                <w:rFonts w:ascii="Calibri" w:hAnsi="Calibri" w:cs="Calibri"/>
                <w:color w:val="000000"/>
                <w:sz w:val="16"/>
                <w:szCs w:val="16"/>
              </w:rPr>
            </w:pPr>
            <w:r>
              <w:rPr>
                <w:rFonts w:ascii="Calibri" w:hAnsi="Calibri" w:cs="Calibri"/>
                <w:color w:val="000000"/>
                <w:sz w:val="16"/>
                <w:szCs w:val="16"/>
              </w:rPr>
              <w:t xml:space="preserve">                   484.735 </w:t>
            </w:r>
          </w:p>
        </w:tc>
        <w:tc>
          <w:tcPr>
            <w:tcW w:w="1490" w:type="dxa"/>
            <w:tcBorders>
              <w:top w:val="nil"/>
              <w:left w:val="nil"/>
              <w:bottom w:val="nil"/>
              <w:right w:val="nil"/>
            </w:tcBorders>
            <w:shd w:val="clear" w:color="auto" w:fill="auto"/>
            <w:noWrap/>
            <w:vAlign w:val="center"/>
            <w:hideMark/>
          </w:tcPr>
          <w:p w14:paraId="683FBE92" w14:textId="77777777" w:rsidR="004133F5" w:rsidRDefault="004133F5" w:rsidP="001B1772">
            <w:pPr>
              <w:jc w:val="right"/>
              <w:rPr>
                <w:rFonts w:ascii="Calibri" w:hAnsi="Calibri" w:cs="Calibri"/>
                <w:color w:val="000000"/>
                <w:sz w:val="16"/>
                <w:szCs w:val="16"/>
              </w:rPr>
            </w:pPr>
            <w:r>
              <w:rPr>
                <w:rFonts w:ascii="Calibri" w:hAnsi="Calibri" w:cs="Calibri"/>
                <w:color w:val="000000"/>
                <w:sz w:val="16"/>
                <w:szCs w:val="16"/>
              </w:rPr>
              <w:t xml:space="preserve">               39.276.147 </w:t>
            </w:r>
          </w:p>
        </w:tc>
        <w:tc>
          <w:tcPr>
            <w:tcW w:w="743" w:type="dxa"/>
            <w:tcBorders>
              <w:top w:val="nil"/>
              <w:left w:val="nil"/>
              <w:bottom w:val="nil"/>
              <w:right w:val="nil"/>
            </w:tcBorders>
            <w:shd w:val="clear" w:color="auto" w:fill="auto"/>
            <w:noWrap/>
            <w:vAlign w:val="bottom"/>
            <w:hideMark/>
          </w:tcPr>
          <w:p w14:paraId="707EE118" w14:textId="77777777" w:rsidR="004133F5" w:rsidRDefault="004133F5">
            <w:pPr>
              <w:jc w:val="right"/>
              <w:rPr>
                <w:rFonts w:ascii="Calibri" w:hAnsi="Calibri" w:cs="Calibri"/>
                <w:color w:val="000000"/>
                <w:sz w:val="16"/>
                <w:szCs w:val="16"/>
              </w:rPr>
            </w:pPr>
          </w:p>
        </w:tc>
      </w:tr>
      <w:tr w:rsidR="004133F5" w14:paraId="136AF8DC" w14:textId="77777777" w:rsidTr="004133F5">
        <w:trPr>
          <w:trHeight w:val="300"/>
        </w:trPr>
        <w:tc>
          <w:tcPr>
            <w:tcW w:w="3145" w:type="dxa"/>
            <w:tcBorders>
              <w:top w:val="nil"/>
              <w:left w:val="nil"/>
              <w:bottom w:val="nil"/>
              <w:right w:val="nil"/>
            </w:tcBorders>
            <w:shd w:val="clear" w:color="auto" w:fill="auto"/>
            <w:noWrap/>
            <w:vAlign w:val="center"/>
            <w:hideMark/>
          </w:tcPr>
          <w:p w14:paraId="44E4F785" w14:textId="77777777" w:rsidR="004133F5" w:rsidRDefault="004133F5">
            <w:pPr>
              <w:rPr>
                <w:rFonts w:ascii="Calibri" w:hAnsi="Calibri" w:cs="Calibri"/>
                <w:color w:val="000000"/>
                <w:sz w:val="16"/>
                <w:szCs w:val="16"/>
              </w:rPr>
            </w:pPr>
            <w:r>
              <w:rPr>
                <w:rFonts w:ascii="Calibri" w:hAnsi="Calibri" w:cs="Calibri"/>
                <w:color w:val="000000"/>
                <w:sz w:val="16"/>
                <w:szCs w:val="16"/>
              </w:rPr>
              <w:t>Total Bens Imóveis (2)</w:t>
            </w:r>
          </w:p>
        </w:tc>
        <w:tc>
          <w:tcPr>
            <w:tcW w:w="1418" w:type="dxa"/>
            <w:tcBorders>
              <w:top w:val="nil"/>
              <w:left w:val="nil"/>
              <w:bottom w:val="nil"/>
              <w:right w:val="nil"/>
            </w:tcBorders>
            <w:shd w:val="clear" w:color="auto" w:fill="auto"/>
            <w:noWrap/>
            <w:vAlign w:val="center"/>
            <w:hideMark/>
          </w:tcPr>
          <w:p w14:paraId="1EF87F30" w14:textId="77777777" w:rsidR="004133F5" w:rsidRDefault="004133F5" w:rsidP="001B1772">
            <w:pPr>
              <w:jc w:val="right"/>
              <w:rPr>
                <w:rFonts w:ascii="Calibri" w:hAnsi="Calibri" w:cs="Calibri"/>
                <w:color w:val="000000"/>
                <w:sz w:val="16"/>
                <w:szCs w:val="16"/>
              </w:rPr>
            </w:pPr>
            <w:r>
              <w:rPr>
                <w:rFonts w:ascii="Calibri" w:hAnsi="Calibri" w:cs="Calibri"/>
                <w:color w:val="000000"/>
                <w:sz w:val="16"/>
                <w:szCs w:val="16"/>
              </w:rPr>
              <w:t xml:space="preserve">   18.756.132.691 </w:t>
            </w:r>
          </w:p>
        </w:tc>
        <w:tc>
          <w:tcPr>
            <w:tcW w:w="1237" w:type="dxa"/>
            <w:tcBorders>
              <w:top w:val="nil"/>
              <w:left w:val="nil"/>
              <w:bottom w:val="nil"/>
              <w:right w:val="nil"/>
            </w:tcBorders>
            <w:shd w:val="clear" w:color="auto" w:fill="auto"/>
            <w:noWrap/>
            <w:vAlign w:val="center"/>
            <w:hideMark/>
          </w:tcPr>
          <w:p w14:paraId="3E340E0F" w14:textId="6F981129" w:rsidR="004133F5" w:rsidRDefault="004133F5" w:rsidP="001B1772">
            <w:pPr>
              <w:jc w:val="right"/>
              <w:rPr>
                <w:rFonts w:ascii="Calibri" w:hAnsi="Calibri" w:cs="Calibri"/>
                <w:color w:val="000000"/>
                <w:sz w:val="16"/>
                <w:szCs w:val="16"/>
              </w:rPr>
            </w:pPr>
            <w:r>
              <w:rPr>
                <w:rFonts w:ascii="Calibri" w:hAnsi="Calibri" w:cs="Calibri"/>
                <w:color w:val="000000"/>
                <w:sz w:val="16"/>
                <w:szCs w:val="16"/>
              </w:rPr>
              <w:t xml:space="preserve">     </w:t>
            </w:r>
            <w:r w:rsidR="005A6DDC">
              <w:rPr>
                <w:rFonts w:ascii="Calibri" w:hAnsi="Calibri" w:cs="Calibri"/>
                <w:color w:val="000000"/>
                <w:sz w:val="16"/>
                <w:szCs w:val="16"/>
              </w:rPr>
              <w:t>309.903.726</w:t>
            </w:r>
            <w:r>
              <w:rPr>
                <w:rFonts w:ascii="Calibri" w:hAnsi="Calibri" w:cs="Calibri"/>
                <w:color w:val="000000"/>
                <w:sz w:val="16"/>
                <w:szCs w:val="16"/>
              </w:rPr>
              <w:t xml:space="preserve"> </w:t>
            </w:r>
          </w:p>
        </w:tc>
        <w:tc>
          <w:tcPr>
            <w:tcW w:w="1128" w:type="dxa"/>
            <w:tcBorders>
              <w:top w:val="nil"/>
              <w:left w:val="nil"/>
              <w:bottom w:val="nil"/>
              <w:right w:val="nil"/>
            </w:tcBorders>
            <w:shd w:val="clear" w:color="auto" w:fill="auto"/>
            <w:noWrap/>
            <w:vAlign w:val="center"/>
            <w:hideMark/>
          </w:tcPr>
          <w:p w14:paraId="6E0C2313" w14:textId="2162469C" w:rsidR="004133F5" w:rsidRDefault="004133F5" w:rsidP="001B1772">
            <w:pPr>
              <w:jc w:val="right"/>
              <w:rPr>
                <w:rFonts w:ascii="Calibri" w:hAnsi="Calibri" w:cs="Calibri"/>
                <w:color w:val="000000"/>
                <w:sz w:val="16"/>
                <w:szCs w:val="16"/>
              </w:rPr>
            </w:pPr>
            <w:r>
              <w:rPr>
                <w:rFonts w:ascii="Calibri" w:hAnsi="Calibri" w:cs="Calibri"/>
                <w:color w:val="000000"/>
                <w:sz w:val="16"/>
                <w:szCs w:val="16"/>
              </w:rPr>
              <w:t xml:space="preserve">          (165.019)</w:t>
            </w:r>
          </w:p>
        </w:tc>
        <w:tc>
          <w:tcPr>
            <w:tcW w:w="1359" w:type="dxa"/>
            <w:tcBorders>
              <w:top w:val="nil"/>
              <w:left w:val="nil"/>
              <w:bottom w:val="nil"/>
              <w:right w:val="nil"/>
            </w:tcBorders>
            <w:shd w:val="clear" w:color="auto" w:fill="auto"/>
            <w:noWrap/>
            <w:vAlign w:val="center"/>
            <w:hideMark/>
          </w:tcPr>
          <w:p w14:paraId="62AA70A2" w14:textId="523B813F" w:rsidR="004133F5" w:rsidRDefault="004133F5" w:rsidP="001B1772">
            <w:pPr>
              <w:jc w:val="right"/>
              <w:rPr>
                <w:rFonts w:ascii="Calibri" w:hAnsi="Calibri" w:cs="Calibri"/>
                <w:color w:val="000000"/>
                <w:sz w:val="16"/>
                <w:szCs w:val="16"/>
              </w:rPr>
            </w:pPr>
            <w:r>
              <w:rPr>
                <w:rFonts w:ascii="Calibri" w:hAnsi="Calibri" w:cs="Calibri"/>
                <w:color w:val="000000"/>
                <w:sz w:val="16"/>
                <w:szCs w:val="16"/>
              </w:rPr>
              <w:t xml:space="preserve">                (484.735)</w:t>
            </w:r>
          </w:p>
        </w:tc>
        <w:tc>
          <w:tcPr>
            <w:tcW w:w="1490" w:type="dxa"/>
            <w:tcBorders>
              <w:top w:val="nil"/>
              <w:left w:val="nil"/>
              <w:bottom w:val="nil"/>
              <w:right w:val="nil"/>
            </w:tcBorders>
            <w:shd w:val="clear" w:color="auto" w:fill="auto"/>
            <w:noWrap/>
            <w:vAlign w:val="center"/>
            <w:hideMark/>
          </w:tcPr>
          <w:p w14:paraId="3FAFE3DF" w14:textId="0FCEB031" w:rsidR="004133F5" w:rsidRDefault="004133F5" w:rsidP="001B1772">
            <w:pPr>
              <w:jc w:val="right"/>
              <w:rPr>
                <w:rFonts w:ascii="Calibri" w:hAnsi="Calibri" w:cs="Calibri"/>
                <w:color w:val="000000"/>
                <w:sz w:val="16"/>
                <w:szCs w:val="16"/>
              </w:rPr>
            </w:pPr>
            <w:r>
              <w:rPr>
                <w:rFonts w:ascii="Calibri" w:hAnsi="Calibri" w:cs="Calibri"/>
                <w:color w:val="000000"/>
                <w:sz w:val="16"/>
                <w:szCs w:val="16"/>
              </w:rPr>
              <w:t xml:space="preserve">     19.0</w:t>
            </w:r>
            <w:r w:rsidR="005A6DDC">
              <w:rPr>
                <w:rFonts w:ascii="Calibri" w:hAnsi="Calibri" w:cs="Calibri"/>
                <w:color w:val="000000"/>
                <w:sz w:val="16"/>
                <w:szCs w:val="16"/>
              </w:rPr>
              <w:t>65</w:t>
            </w:r>
            <w:r>
              <w:rPr>
                <w:rFonts w:ascii="Calibri" w:hAnsi="Calibri" w:cs="Calibri"/>
                <w:color w:val="000000"/>
                <w:sz w:val="16"/>
                <w:szCs w:val="16"/>
              </w:rPr>
              <w:t>.</w:t>
            </w:r>
            <w:r w:rsidR="005A6DDC">
              <w:rPr>
                <w:rFonts w:ascii="Calibri" w:hAnsi="Calibri" w:cs="Calibri"/>
                <w:color w:val="000000"/>
                <w:sz w:val="16"/>
                <w:szCs w:val="16"/>
              </w:rPr>
              <w:t>386</w:t>
            </w:r>
            <w:r>
              <w:rPr>
                <w:rFonts w:ascii="Calibri" w:hAnsi="Calibri" w:cs="Calibri"/>
                <w:color w:val="000000"/>
                <w:sz w:val="16"/>
                <w:szCs w:val="16"/>
              </w:rPr>
              <w:t>.</w:t>
            </w:r>
            <w:r w:rsidR="005A6DDC">
              <w:rPr>
                <w:rFonts w:ascii="Calibri" w:hAnsi="Calibri" w:cs="Calibri"/>
                <w:color w:val="000000"/>
                <w:sz w:val="16"/>
                <w:szCs w:val="16"/>
              </w:rPr>
              <w:t>663</w:t>
            </w:r>
            <w:r>
              <w:rPr>
                <w:rFonts w:ascii="Calibri" w:hAnsi="Calibri" w:cs="Calibri"/>
                <w:color w:val="000000"/>
                <w:sz w:val="16"/>
                <w:szCs w:val="16"/>
              </w:rPr>
              <w:t xml:space="preserve"> </w:t>
            </w:r>
          </w:p>
        </w:tc>
        <w:tc>
          <w:tcPr>
            <w:tcW w:w="743" w:type="dxa"/>
            <w:tcBorders>
              <w:top w:val="nil"/>
              <w:left w:val="nil"/>
              <w:bottom w:val="nil"/>
              <w:right w:val="nil"/>
            </w:tcBorders>
            <w:shd w:val="clear" w:color="auto" w:fill="auto"/>
            <w:noWrap/>
            <w:vAlign w:val="bottom"/>
            <w:hideMark/>
          </w:tcPr>
          <w:p w14:paraId="59C5C6DD" w14:textId="77777777" w:rsidR="004133F5" w:rsidRDefault="004133F5">
            <w:pPr>
              <w:jc w:val="right"/>
              <w:rPr>
                <w:rFonts w:ascii="Calibri" w:hAnsi="Calibri" w:cs="Calibri"/>
                <w:color w:val="000000"/>
                <w:sz w:val="16"/>
                <w:szCs w:val="16"/>
              </w:rPr>
            </w:pPr>
          </w:p>
        </w:tc>
      </w:tr>
      <w:tr w:rsidR="004133F5" w14:paraId="76CD1641" w14:textId="77777777" w:rsidTr="004133F5">
        <w:trPr>
          <w:trHeight w:val="300"/>
        </w:trPr>
        <w:tc>
          <w:tcPr>
            <w:tcW w:w="3145" w:type="dxa"/>
            <w:tcBorders>
              <w:top w:val="nil"/>
              <w:left w:val="nil"/>
              <w:bottom w:val="nil"/>
              <w:right w:val="nil"/>
            </w:tcBorders>
            <w:shd w:val="clear" w:color="auto" w:fill="auto"/>
            <w:noWrap/>
            <w:vAlign w:val="center"/>
            <w:hideMark/>
          </w:tcPr>
          <w:p w14:paraId="09D9CAF8" w14:textId="77777777" w:rsidR="004133F5" w:rsidRDefault="004133F5">
            <w:pPr>
              <w:rPr>
                <w:rFonts w:ascii="Calibri" w:hAnsi="Calibri" w:cs="Calibri"/>
                <w:color w:val="000000"/>
                <w:sz w:val="16"/>
                <w:szCs w:val="16"/>
              </w:rPr>
            </w:pPr>
            <w:r>
              <w:rPr>
                <w:rFonts w:ascii="Calibri" w:hAnsi="Calibri" w:cs="Calibri"/>
                <w:color w:val="000000"/>
                <w:sz w:val="16"/>
                <w:szCs w:val="16"/>
              </w:rPr>
              <w:t>Total Direito de Uso (3)</w:t>
            </w:r>
          </w:p>
        </w:tc>
        <w:tc>
          <w:tcPr>
            <w:tcW w:w="1418" w:type="dxa"/>
            <w:tcBorders>
              <w:top w:val="nil"/>
              <w:left w:val="nil"/>
              <w:bottom w:val="nil"/>
              <w:right w:val="nil"/>
            </w:tcBorders>
            <w:shd w:val="clear" w:color="auto" w:fill="auto"/>
            <w:noWrap/>
            <w:vAlign w:val="center"/>
            <w:hideMark/>
          </w:tcPr>
          <w:p w14:paraId="034C44AB" w14:textId="77777777" w:rsidR="004133F5" w:rsidRDefault="004133F5" w:rsidP="001B1772">
            <w:pPr>
              <w:jc w:val="right"/>
              <w:rPr>
                <w:rFonts w:ascii="Calibri" w:hAnsi="Calibri" w:cs="Calibri"/>
                <w:color w:val="000000"/>
                <w:sz w:val="16"/>
                <w:szCs w:val="16"/>
              </w:rPr>
            </w:pPr>
            <w:r>
              <w:rPr>
                <w:rFonts w:ascii="Calibri" w:hAnsi="Calibri" w:cs="Calibri"/>
                <w:color w:val="000000"/>
                <w:sz w:val="16"/>
                <w:szCs w:val="16"/>
              </w:rPr>
              <w:t xml:space="preserve">              57.207.327 </w:t>
            </w:r>
          </w:p>
        </w:tc>
        <w:tc>
          <w:tcPr>
            <w:tcW w:w="1237" w:type="dxa"/>
            <w:tcBorders>
              <w:top w:val="nil"/>
              <w:left w:val="nil"/>
              <w:bottom w:val="nil"/>
              <w:right w:val="nil"/>
            </w:tcBorders>
            <w:shd w:val="clear" w:color="auto" w:fill="auto"/>
            <w:noWrap/>
            <w:vAlign w:val="center"/>
            <w:hideMark/>
          </w:tcPr>
          <w:p w14:paraId="1FF30CEB" w14:textId="77777777" w:rsidR="004133F5" w:rsidRDefault="004133F5" w:rsidP="001B1772">
            <w:pPr>
              <w:jc w:val="right"/>
              <w:rPr>
                <w:rFonts w:ascii="Calibri" w:hAnsi="Calibri" w:cs="Calibri"/>
                <w:color w:val="000000"/>
                <w:sz w:val="16"/>
                <w:szCs w:val="16"/>
              </w:rPr>
            </w:pPr>
            <w:r>
              <w:rPr>
                <w:rFonts w:ascii="Calibri" w:hAnsi="Calibri" w:cs="Calibri"/>
                <w:color w:val="000000"/>
                <w:sz w:val="16"/>
                <w:szCs w:val="16"/>
              </w:rPr>
              <w:t xml:space="preserve">           2.387.514 </w:t>
            </w:r>
          </w:p>
        </w:tc>
        <w:tc>
          <w:tcPr>
            <w:tcW w:w="1128" w:type="dxa"/>
            <w:tcBorders>
              <w:top w:val="nil"/>
              <w:left w:val="nil"/>
              <w:bottom w:val="nil"/>
              <w:right w:val="nil"/>
            </w:tcBorders>
            <w:shd w:val="clear" w:color="auto" w:fill="auto"/>
            <w:noWrap/>
            <w:vAlign w:val="center"/>
            <w:hideMark/>
          </w:tcPr>
          <w:p w14:paraId="4A436113" w14:textId="7F7AB442" w:rsidR="004133F5" w:rsidRDefault="004133F5" w:rsidP="001B1772">
            <w:pPr>
              <w:jc w:val="right"/>
              <w:rPr>
                <w:rFonts w:ascii="Calibri" w:hAnsi="Calibri" w:cs="Calibri"/>
                <w:color w:val="000000"/>
                <w:sz w:val="16"/>
                <w:szCs w:val="16"/>
              </w:rPr>
            </w:pPr>
            <w:r>
              <w:rPr>
                <w:rFonts w:ascii="Calibri" w:hAnsi="Calibri" w:cs="Calibri"/>
                <w:color w:val="000000"/>
                <w:sz w:val="16"/>
                <w:szCs w:val="16"/>
              </w:rPr>
              <w:t xml:space="preserve">      (4.093.099)</w:t>
            </w:r>
          </w:p>
        </w:tc>
        <w:tc>
          <w:tcPr>
            <w:tcW w:w="1359" w:type="dxa"/>
            <w:tcBorders>
              <w:top w:val="nil"/>
              <w:left w:val="nil"/>
              <w:bottom w:val="nil"/>
              <w:right w:val="nil"/>
            </w:tcBorders>
            <w:shd w:val="clear" w:color="auto" w:fill="auto"/>
            <w:noWrap/>
            <w:vAlign w:val="center"/>
            <w:hideMark/>
          </w:tcPr>
          <w:p w14:paraId="15EFEE3F" w14:textId="77777777" w:rsidR="004133F5" w:rsidRDefault="004133F5" w:rsidP="001B1772">
            <w:pPr>
              <w:jc w:val="right"/>
              <w:rPr>
                <w:rFonts w:ascii="Calibri" w:hAnsi="Calibri" w:cs="Calibri"/>
                <w:color w:val="000000"/>
                <w:sz w:val="16"/>
                <w:szCs w:val="16"/>
              </w:rPr>
            </w:pPr>
            <w:r>
              <w:rPr>
                <w:rFonts w:ascii="Calibri" w:hAnsi="Calibri" w:cs="Calibri"/>
                <w:color w:val="000000"/>
                <w:sz w:val="16"/>
                <w:szCs w:val="16"/>
              </w:rPr>
              <w:t xml:space="preserve">          (41.546.135)</w:t>
            </w:r>
          </w:p>
        </w:tc>
        <w:tc>
          <w:tcPr>
            <w:tcW w:w="1490" w:type="dxa"/>
            <w:tcBorders>
              <w:top w:val="nil"/>
              <w:left w:val="nil"/>
              <w:bottom w:val="nil"/>
              <w:right w:val="nil"/>
            </w:tcBorders>
            <w:shd w:val="clear" w:color="auto" w:fill="auto"/>
            <w:noWrap/>
            <w:vAlign w:val="center"/>
            <w:hideMark/>
          </w:tcPr>
          <w:p w14:paraId="3093A048" w14:textId="77777777" w:rsidR="004133F5" w:rsidRDefault="004133F5" w:rsidP="001B1772">
            <w:pPr>
              <w:jc w:val="right"/>
              <w:rPr>
                <w:rFonts w:ascii="Calibri" w:hAnsi="Calibri" w:cs="Calibri"/>
                <w:color w:val="000000"/>
                <w:sz w:val="16"/>
                <w:szCs w:val="16"/>
              </w:rPr>
            </w:pPr>
            <w:r>
              <w:rPr>
                <w:rFonts w:ascii="Calibri" w:hAnsi="Calibri" w:cs="Calibri"/>
                <w:color w:val="000000"/>
                <w:sz w:val="16"/>
                <w:szCs w:val="16"/>
              </w:rPr>
              <w:t xml:space="preserve">               13.955.607 </w:t>
            </w:r>
          </w:p>
        </w:tc>
        <w:tc>
          <w:tcPr>
            <w:tcW w:w="743" w:type="dxa"/>
            <w:tcBorders>
              <w:top w:val="nil"/>
              <w:left w:val="nil"/>
              <w:bottom w:val="nil"/>
              <w:right w:val="nil"/>
            </w:tcBorders>
            <w:shd w:val="clear" w:color="auto" w:fill="auto"/>
            <w:noWrap/>
            <w:vAlign w:val="bottom"/>
            <w:hideMark/>
          </w:tcPr>
          <w:p w14:paraId="2A78C93E" w14:textId="77777777" w:rsidR="004133F5" w:rsidRDefault="004133F5">
            <w:pPr>
              <w:jc w:val="right"/>
              <w:rPr>
                <w:rFonts w:ascii="Calibri" w:hAnsi="Calibri" w:cs="Calibri"/>
                <w:color w:val="000000"/>
                <w:sz w:val="16"/>
                <w:szCs w:val="16"/>
              </w:rPr>
            </w:pPr>
          </w:p>
        </w:tc>
      </w:tr>
      <w:tr w:rsidR="004133F5" w14:paraId="1AD919C6" w14:textId="77777777" w:rsidTr="004133F5">
        <w:trPr>
          <w:trHeight w:val="300"/>
        </w:trPr>
        <w:tc>
          <w:tcPr>
            <w:tcW w:w="3145" w:type="dxa"/>
            <w:tcBorders>
              <w:top w:val="nil"/>
              <w:left w:val="nil"/>
              <w:bottom w:val="nil"/>
              <w:right w:val="nil"/>
            </w:tcBorders>
            <w:shd w:val="clear" w:color="auto" w:fill="auto"/>
            <w:noWrap/>
            <w:vAlign w:val="center"/>
            <w:hideMark/>
          </w:tcPr>
          <w:p w14:paraId="34DBA770" w14:textId="77777777" w:rsidR="004133F5" w:rsidRDefault="004133F5">
            <w:pPr>
              <w:rPr>
                <w:rFonts w:ascii="Calibri" w:hAnsi="Calibri" w:cs="Calibri"/>
                <w:color w:val="000000"/>
                <w:sz w:val="16"/>
                <w:szCs w:val="16"/>
              </w:rPr>
            </w:pPr>
            <w:r>
              <w:rPr>
                <w:rFonts w:ascii="Calibri" w:hAnsi="Calibri" w:cs="Calibri"/>
                <w:color w:val="000000"/>
                <w:sz w:val="16"/>
                <w:szCs w:val="16"/>
              </w:rPr>
              <w:t>(Redução ao Valor Recuperável - FNS) (4)</w:t>
            </w:r>
          </w:p>
        </w:tc>
        <w:tc>
          <w:tcPr>
            <w:tcW w:w="1418" w:type="dxa"/>
            <w:tcBorders>
              <w:top w:val="nil"/>
              <w:left w:val="nil"/>
              <w:bottom w:val="nil"/>
              <w:right w:val="nil"/>
            </w:tcBorders>
            <w:shd w:val="clear" w:color="auto" w:fill="auto"/>
            <w:noWrap/>
            <w:vAlign w:val="center"/>
            <w:hideMark/>
          </w:tcPr>
          <w:p w14:paraId="69B335D9" w14:textId="77777777" w:rsidR="004133F5" w:rsidRDefault="004133F5" w:rsidP="001B1772">
            <w:pPr>
              <w:jc w:val="right"/>
              <w:rPr>
                <w:rFonts w:ascii="Calibri" w:hAnsi="Calibri" w:cs="Calibri"/>
                <w:color w:val="000000"/>
                <w:sz w:val="16"/>
                <w:szCs w:val="16"/>
              </w:rPr>
            </w:pPr>
            <w:r>
              <w:rPr>
                <w:rFonts w:ascii="Calibri" w:hAnsi="Calibri" w:cs="Calibri"/>
                <w:color w:val="000000"/>
                <w:sz w:val="16"/>
                <w:szCs w:val="16"/>
              </w:rPr>
              <w:t xml:space="preserve"> (11.364.641.405)</w:t>
            </w:r>
          </w:p>
        </w:tc>
        <w:tc>
          <w:tcPr>
            <w:tcW w:w="1237" w:type="dxa"/>
            <w:tcBorders>
              <w:top w:val="nil"/>
              <w:left w:val="nil"/>
              <w:bottom w:val="nil"/>
              <w:right w:val="nil"/>
            </w:tcBorders>
            <w:shd w:val="clear" w:color="auto" w:fill="auto"/>
            <w:noWrap/>
            <w:vAlign w:val="center"/>
            <w:hideMark/>
          </w:tcPr>
          <w:p w14:paraId="1B25AE96" w14:textId="77777777" w:rsidR="004133F5" w:rsidRDefault="004133F5" w:rsidP="001B1772">
            <w:pPr>
              <w:jc w:val="right"/>
              <w:rPr>
                <w:rFonts w:ascii="Calibri" w:hAnsi="Calibri" w:cs="Calibri"/>
                <w:color w:val="000000"/>
                <w:sz w:val="16"/>
                <w:szCs w:val="16"/>
              </w:rPr>
            </w:pPr>
            <w:r>
              <w:rPr>
                <w:rFonts w:ascii="Calibri" w:hAnsi="Calibri" w:cs="Calibri"/>
                <w:color w:val="000000"/>
                <w:sz w:val="16"/>
                <w:szCs w:val="16"/>
              </w:rPr>
              <w:t xml:space="preserve">                                -   </w:t>
            </w:r>
          </w:p>
        </w:tc>
        <w:tc>
          <w:tcPr>
            <w:tcW w:w="1128" w:type="dxa"/>
            <w:tcBorders>
              <w:top w:val="nil"/>
              <w:left w:val="nil"/>
              <w:bottom w:val="nil"/>
              <w:right w:val="nil"/>
            </w:tcBorders>
            <w:shd w:val="clear" w:color="auto" w:fill="auto"/>
            <w:noWrap/>
            <w:vAlign w:val="center"/>
            <w:hideMark/>
          </w:tcPr>
          <w:p w14:paraId="0FA7616C" w14:textId="77777777" w:rsidR="004133F5" w:rsidRDefault="004133F5" w:rsidP="001B1772">
            <w:pPr>
              <w:jc w:val="right"/>
              <w:rPr>
                <w:rFonts w:ascii="Calibri" w:hAnsi="Calibri" w:cs="Calibri"/>
                <w:color w:val="000000"/>
                <w:sz w:val="16"/>
                <w:szCs w:val="16"/>
              </w:rPr>
            </w:pPr>
            <w:r>
              <w:rPr>
                <w:rFonts w:ascii="Calibri" w:hAnsi="Calibri" w:cs="Calibri"/>
                <w:color w:val="000000"/>
                <w:sz w:val="16"/>
                <w:szCs w:val="16"/>
              </w:rPr>
              <w:t xml:space="preserve">                             -   </w:t>
            </w:r>
          </w:p>
        </w:tc>
        <w:tc>
          <w:tcPr>
            <w:tcW w:w="1359" w:type="dxa"/>
            <w:tcBorders>
              <w:top w:val="nil"/>
              <w:left w:val="nil"/>
              <w:bottom w:val="nil"/>
              <w:right w:val="nil"/>
            </w:tcBorders>
            <w:shd w:val="clear" w:color="auto" w:fill="auto"/>
            <w:noWrap/>
            <w:vAlign w:val="center"/>
            <w:hideMark/>
          </w:tcPr>
          <w:p w14:paraId="2351372A" w14:textId="77777777" w:rsidR="004133F5" w:rsidRDefault="004133F5" w:rsidP="001B1772">
            <w:pPr>
              <w:jc w:val="right"/>
              <w:rPr>
                <w:rFonts w:ascii="Calibri" w:hAnsi="Calibri" w:cs="Calibri"/>
                <w:color w:val="000000"/>
                <w:sz w:val="16"/>
                <w:szCs w:val="16"/>
              </w:rPr>
            </w:pPr>
            <w:r>
              <w:rPr>
                <w:rFonts w:ascii="Calibri" w:hAnsi="Calibri" w:cs="Calibri"/>
                <w:color w:val="000000"/>
                <w:sz w:val="16"/>
                <w:szCs w:val="16"/>
              </w:rPr>
              <w:t xml:space="preserve">                                   -   </w:t>
            </w:r>
          </w:p>
        </w:tc>
        <w:tc>
          <w:tcPr>
            <w:tcW w:w="1490" w:type="dxa"/>
            <w:tcBorders>
              <w:top w:val="nil"/>
              <w:left w:val="nil"/>
              <w:bottom w:val="nil"/>
              <w:right w:val="nil"/>
            </w:tcBorders>
            <w:shd w:val="clear" w:color="auto" w:fill="auto"/>
            <w:noWrap/>
            <w:vAlign w:val="center"/>
            <w:hideMark/>
          </w:tcPr>
          <w:p w14:paraId="7DBE124E" w14:textId="77777777" w:rsidR="004133F5" w:rsidRDefault="004133F5" w:rsidP="001B1772">
            <w:pPr>
              <w:jc w:val="right"/>
              <w:rPr>
                <w:rFonts w:ascii="Calibri" w:hAnsi="Calibri" w:cs="Calibri"/>
                <w:color w:val="000000"/>
                <w:sz w:val="16"/>
                <w:szCs w:val="16"/>
              </w:rPr>
            </w:pPr>
            <w:r>
              <w:rPr>
                <w:rFonts w:ascii="Calibri" w:hAnsi="Calibri" w:cs="Calibri"/>
                <w:color w:val="000000"/>
                <w:sz w:val="16"/>
                <w:szCs w:val="16"/>
              </w:rPr>
              <w:t xml:space="preserve">   (11.364.641.405)</w:t>
            </w:r>
          </w:p>
        </w:tc>
        <w:tc>
          <w:tcPr>
            <w:tcW w:w="743" w:type="dxa"/>
            <w:tcBorders>
              <w:top w:val="nil"/>
              <w:left w:val="nil"/>
              <w:bottom w:val="nil"/>
              <w:right w:val="nil"/>
            </w:tcBorders>
            <w:shd w:val="clear" w:color="auto" w:fill="auto"/>
            <w:noWrap/>
            <w:vAlign w:val="bottom"/>
            <w:hideMark/>
          </w:tcPr>
          <w:p w14:paraId="7FD1488C" w14:textId="77777777" w:rsidR="004133F5" w:rsidRDefault="004133F5">
            <w:pPr>
              <w:jc w:val="right"/>
              <w:rPr>
                <w:rFonts w:ascii="Calibri" w:hAnsi="Calibri" w:cs="Calibri"/>
                <w:color w:val="000000"/>
                <w:sz w:val="16"/>
                <w:szCs w:val="16"/>
              </w:rPr>
            </w:pPr>
          </w:p>
        </w:tc>
      </w:tr>
      <w:tr w:rsidR="004133F5" w14:paraId="24CFAF7B" w14:textId="77777777" w:rsidTr="004133F5">
        <w:trPr>
          <w:trHeight w:val="300"/>
        </w:trPr>
        <w:tc>
          <w:tcPr>
            <w:tcW w:w="3145" w:type="dxa"/>
            <w:tcBorders>
              <w:top w:val="nil"/>
              <w:left w:val="nil"/>
              <w:bottom w:val="nil"/>
              <w:right w:val="nil"/>
            </w:tcBorders>
            <w:shd w:val="clear" w:color="auto" w:fill="auto"/>
            <w:noWrap/>
            <w:vAlign w:val="center"/>
            <w:hideMark/>
          </w:tcPr>
          <w:p w14:paraId="15BE7E99" w14:textId="77777777" w:rsidR="004133F5" w:rsidRDefault="004133F5">
            <w:pPr>
              <w:rPr>
                <w:rFonts w:ascii="Calibri" w:hAnsi="Calibri" w:cs="Calibri"/>
                <w:color w:val="000000"/>
                <w:sz w:val="16"/>
                <w:szCs w:val="16"/>
              </w:rPr>
            </w:pPr>
            <w:r>
              <w:rPr>
                <w:rFonts w:ascii="Calibri" w:hAnsi="Calibri" w:cs="Calibri"/>
                <w:color w:val="000000"/>
                <w:sz w:val="16"/>
                <w:szCs w:val="16"/>
              </w:rPr>
              <w:lastRenderedPageBreak/>
              <w:t>(Redução ao Valor Recuperável - FIOL I) (5)</w:t>
            </w:r>
          </w:p>
        </w:tc>
        <w:tc>
          <w:tcPr>
            <w:tcW w:w="1418" w:type="dxa"/>
            <w:tcBorders>
              <w:top w:val="nil"/>
              <w:left w:val="nil"/>
              <w:bottom w:val="nil"/>
              <w:right w:val="nil"/>
            </w:tcBorders>
            <w:shd w:val="clear" w:color="auto" w:fill="auto"/>
            <w:noWrap/>
            <w:vAlign w:val="center"/>
            <w:hideMark/>
          </w:tcPr>
          <w:p w14:paraId="480B79DD" w14:textId="77777777" w:rsidR="004133F5" w:rsidRDefault="004133F5" w:rsidP="001B1772">
            <w:pPr>
              <w:jc w:val="right"/>
              <w:rPr>
                <w:rFonts w:ascii="Calibri" w:hAnsi="Calibri" w:cs="Calibri"/>
                <w:color w:val="000000"/>
                <w:sz w:val="16"/>
                <w:szCs w:val="16"/>
              </w:rPr>
            </w:pPr>
            <w:r>
              <w:rPr>
                <w:rFonts w:ascii="Calibri" w:hAnsi="Calibri" w:cs="Calibri"/>
                <w:color w:val="000000"/>
                <w:sz w:val="16"/>
                <w:szCs w:val="16"/>
              </w:rPr>
              <w:t xml:space="preserve">    (3.217.521.279)</w:t>
            </w:r>
          </w:p>
        </w:tc>
        <w:tc>
          <w:tcPr>
            <w:tcW w:w="1237" w:type="dxa"/>
            <w:tcBorders>
              <w:top w:val="nil"/>
              <w:left w:val="nil"/>
              <w:bottom w:val="nil"/>
              <w:right w:val="nil"/>
            </w:tcBorders>
            <w:shd w:val="clear" w:color="auto" w:fill="auto"/>
            <w:noWrap/>
            <w:vAlign w:val="center"/>
            <w:hideMark/>
          </w:tcPr>
          <w:p w14:paraId="7B4EFBA8" w14:textId="77777777" w:rsidR="004133F5" w:rsidRDefault="004133F5" w:rsidP="001B1772">
            <w:pPr>
              <w:jc w:val="right"/>
              <w:rPr>
                <w:rFonts w:ascii="Calibri" w:hAnsi="Calibri" w:cs="Calibri"/>
                <w:color w:val="000000"/>
                <w:sz w:val="16"/>
                <w:szCs w:val="16"/>
              </w:rPr>
            </w:pPr>
            <w:r>
              <w:rPr>
                <w:rFonts w:ascii="Calibri" w:hAnsi="Calibri" w:cs="Calibri"/>
                <w:color w:val="000000"/>
                <w:sz w:val="16"/>
                <w:szCs w:val="16"/>
              </w:rPr>
              <w:t xml:space="preserve">                                -   </w:t>
            </w:r>
          </w:p>
        </w:tc>
        <w:tc>
          <w:tcPr>
            <w:tcW w:w="1128" w:type="dxa"/>
            <w:tcBorders>
              <w:top w:val="nil"/>
              <w:left w:val="nil"/>
              <w:bottom w:val="nil"/>
              <w:right w:val="nil"/>
            </w:tcBorders>
            <w:shd w:val="clear" w:color="auto" w:fill="auto"/>
            <w:noWrap/>
            <w:vAlign w:val="center"/>
            <w:hideMark/>
          </w:tcPr>
          <w:p w14:paraId="20195D36" w14:textId="77777777" w:rsidR="004133F5" w:rsidRDefault="004133F5" w:rsidP="001B1772">
            <w:pPr>
              <w:jc w:val="right"/>
              <w:rPr>
                <w:rFonts w:ascii="Calibri" w:hAnsi="Calibri" w:cs="Calibri"/>
                <w:color w:val="000000"/>
                <w:sz w:val="16"/>
                <w:szCs w:val="16"/>
              </w:rPr>
            </w:pPr>
            <w:r>
              <w:rPr>
                <w:rFonts w:ascii="Calibri" w:hAnsi="Calibri" w:cs="Calibri"/>
                <w:color w:val="000000"/>
                <w:sz w:val="16"/>
                <w:szCs w:val="16"/>
              </w:rPr>
              <w:t xml:space="preserve">                             -   </w:t>
            </w:r>
          </w:p>
        </w:tc>
        <w:tc>
          <w:tcPr>
            <w:tcW w:w="1359" w:type="dxa"/>
            <w:tcBorders>
              <w:top w:val="nil"/>
              <w:left w:val="nil"/>
              <w:bottom w:val="nil"/>
              <w:right w:val="nil"/>
            </w:tcBorders>
            <w:shd w:val="clear" w:color="auto" w:fill="auto"/>
            <w:noWrap/>
            <w:vAlign w:val="center"/>
            <w:hideMark/>
          </w:tcPr>
          <w:p w14:paraId="081999CB" w14:textId="77777777" w:rsidR="004133F5" w:rsidRDefault="004133F5" w:rsidP="001B1772">
            <w:pPr>
              <w:jc w:val="right"/>
              <w:rPr>
                <w:rFonts w:ascii="Calibri" w:hAnsi="Calibri" w:cs="Calibri"/>
                <w:color w:val="000000"/>
                <w:sz w:val="16"/>
                <w:szCs w:val="16"/>
              </w:rPr>
            </w:pPr>
            <w:r>
              <w:rPr>
                <w:rFonts w:ascii="Calibri" w:hAnsi="Calibri" w:cs="Calibri"/>
                <w:color w:val="000000"/>
                <w:sz w:val="16"/>
                <w:szCs w:val="16"/>
              </w:rPr>
              <w:t xml:space="preserve">                                   -   </w:t>
            </w:r>
          </w:p>
        </w:tc>
        <w:tc>
          <w:tcPr>
            <w:tcW w:w="1490" w:type="dxa"/>
            <w:tcBorders>
              <w:top w:val="nil"/>
              <w:left w:val="nil"/>
              <w:bottom w:val="nil"/>
              <w:right w:val="nil"/>
            </w:tcBorders>
            <w:shd w:val="clear" w:color="auto" w:fill="auto"/>
            <w:noWrap/>
            <w:vAlign w:val="center"/>
            <w:hideMark/>
          </w:tcPr>
          <w:p w14:paraId="592DA490" w14:textId="77777777" w:rsidR="004133F5" w:rsidRDefault="004133F5" w:rsidP="001B1772">
            <w:pPr>
              <w:jc w:val="right"/>
              <w:rPr>
                <w:rFonts w:ascii="Calibri" w:hAnsi="Calibri" w:cs="Calibri"/>
                <w:color w:val="000000"/>
                <w:sz w:val="16"/>
                <w:szCs w:val="16"/>
              </w:rPr>
            </w:pPr>
            <w:r>
              <w:rPr>
                <w:rFonts w:ascii="Calibri" w:hAnsi="Calibri" w:cs="Calibri"/>
                <w:color w:val="000000"/>
                <w:sz w:val="16"/>
                <w:szCs w:val="16"/>
              </w:rPr>
              <w:t xml:space="preserve">      (3.217.521.279)</w:t>
            </w:r>
          </w:p>
        </w:tc>
        <w:tc>
          <w:tcPr>
            <w:tcW w:w="743" w:type="dxa"/>
            <w:tcBorders>
              <w:top w:val="nil"/>
              <w:left w:val="nil"/>
              <w:bottom w:val="nil"/>
              <w:right w:val="nil"/>
            </w:tcBorders>
            <w:shd w:val="clear" w:color="auto" w:fill="auto"/>
            <w:noWrap/>
            <w:vAlign w:val="bottom"/>
            <w:hideMark/>
          </w:tcPr>
          <w:p w14:paraId="470EFB68" w14:textId="77777777" w:rsidR="004133F5" w:rsidRDefault="004133F5">
            <w:pPr>
              <w:jc w:val="right"/>
              <w:rPr>
                <w:rFonts w:ascii="Calibri" w:hAnsi="Calibri" w:cs="Calibri"/>
                <w:color w:val="000000"/>
                <w:sz w:val="16"/>
                <w:szCs w:val="16"/>
              </w:rPr>
            </w:pPr>
          </w:p>
        </w:tc>
      </w:tr>
      <w:tr w:rsidR="004133F5" w14:paraId="1260A6EF" w14:textId="77777777" w:rsidTr="004133F5">
        <w:trPr>
          <w:trHeight w:val="315"/>
        </w:trPr>
        <w:tc>
          <w:tcPr>
            <w:tcW w:w="3145" w:type="dxa"/>
            <w:tcBorders>
              <w:top w:val="nil"/>
              <w:left w:val="nil"/>
              <w:bottom w:val="nil"/>
              <w:right w:val="nil"/>
            </w:tcBorders>
            <w:shd w:val="clear" w:color="auto" w:fill="auto"/>
            <w:noWrap/>
            <w:vAlign w:val="center"/>
            <w:hideMark/>
          </w:tcPr>
          <w:p w14:paraId="4E8BCE56" w14:textId="77777777" w:rsidR="004133F5" w:rsidRDefault="004133F5">
            <w:pPr>
              <w:rPr>
                <w:rFonts w:ascii="Calibri" w:hAnsi="Calibri" w:cs="Calibri"/>
                <w:color w:val="000000"/>
                <w:sz w:val="16"/>
                <w:szCs w:val="16"/>
              </w:rPr>
            </w:pPr>
            <w:r>
              <w:rPr>
                <w:rFonts w:ascii="Calibri" w:hAnsi="Calibri" w:cs="Calibri"/>
                <w:color w:val="000000"/>
                <w:sz w:val="16"/>
                <w:szCs w:val="16"/>
              </w:rPr>
              <w:t xml:space="preserve">Depreciação Acumulada (6) </w:t>
            </w:r>
          </w:p>
        </w:tc>
        <w:tc>
          <w:tcPr>
            <w:tcW w:w="1418" w:type="dxa"/>
            <w:tcBorders>
              <w:top w:val="nil"/>
              <w:left w:val="nil"/>
              <w:bottom w:val="nil"/>
              <w:right w:val="nil"/>
            </w:tcBorders>
            <w:shd w:val="clear" w:color="auto" w:fill="auto"/>
            <w:noWrap/>
            <w:vAlign w:val="center"/>
            <w:hideMark/>
          </w:tcPr>
          <w:p w14:paraId="64778C1C" w14:textId="77777777" w:rsidR="004133F5" w:rsidRDefault="004133F5" w:rsidP="001B1772">
            <w:pPr>
              <w:jc w:val="right"/>
              <w:rPr>
                <w:rFonts w:ascii="Calibri" w:hAnsi="Calibri" w:cs="Calibri"/>
                <w:color w:val="000000"/>
                <w:sz w:val="16"/>
                <w:szCs w:val="16"/>
              </w:rPr>
            </w:pPr>
            <w:r>
              <w:rPr>
                <w:rFonts w:ascii="Calibri" w:hAnsi="Calibri" w:cs="Calibri"/>
                <w:color w:val="000000"/>
                <w:sz w:val="16"/>
                <w:szCs w:val="16"/>
              </w:rPr>
              <w:t xml:space="preserve">         (984.976.696)</w:t>
            </w:r>
          </w:p>
        </w:tc>
        <w:tc>
          <w:tcPr>
            <w:tcW w:w="1237" w:type="dxa"/>
            <w:tcBorders>
              <w:top w:val="nil"/>
              <w:left w:val="nil"/>
              <w:bottom w:val="nil"/>
              <w:right w:val="nil"/>
            </w:tcBorders>
            <w:shd w:val="clear" w:color="auto" w:fill="auto"/>
            <w:noWrap/>
            <w:vAlign w:val="center"/>
            <w:hideMark/>
          </w:tcPr>
          <w:p w14:paraId="59470A54" w14:textId="77777777" w:rsidR="004133F5" w:rsidRDefault="004133F5" w:rsidP="001B1772">
            <w:pPr>
              <w:jc w:val="right"/>
              <w:rPr>
                <w:rFonts w:ascii="Calibri" w:hAnsi="Calibri" w:cs="Calibri"/>
                <w:color w:val="000000"/>
                <w:sz w:val="16"/>
                <w:szCs w:val="16"/>
              </w:rPr>
            </w:pPr>
            <w:r>
              <w:rPr>
                <w:rFonts w:ascii="Calibri" w:hAnsi="Calibri" w:cs="Calibri"/>
                <w:color w:val="000000"/>
                <w:sz w:val="16"/>
                <w:szCs w:val="16"/>
              </w:rPr>
              <w:t xml:space="preserve">         (3.038.291)</w:t>
            </w:r>
          </w:p>
        </w:tc>
        <w:tc>
          <w:tcPr>
            <w:tcW w:w="1128" w:type="dxa"/>
            <w:tcBorders>
              <w:top w:val="nil"/>
              <w:left w:val="nil"/>
              <w:bottom w:val="nil"/>
              <w:right w:val="nil"/>
            </w:tcBorders>
            <w:shd w:val="clear" w:color="auto" w:fill="auto"/>
            <w:noWrap/>
            <w:vAlign w:val="center"/>
            <w:hideMark/>
          </w:tcPr>
          <w:p w14:paraId="15641189" w14:textId="73445267" w:rsidR="004133F5" w:rsidRDefault="004133F5" w:rsidP="001B1772">
            <w:pPr>
              <w:jc w:val="right"/>
              <w:rPr>
                <w:rFonts w:ascii="Calibri" w:hAnsi="Calibri" w:cs="Calibri"/>
                <w:color w:val="000000"/>
                <w:sz w:val="16"/>
                <w:szCs w:val="16"/>
              </w:rPr>
            </w:pPr>
            <w:r>
              <w:rPr>
                <w:rFonts w:ascii="Calibri" w:hAnsi="Calibri" w:cs="Calibri"/>
                <w:color w:val="000000"/>
                <w:sz w:val="16"/>
                <w:szCs w:val="16"/>
              </w:rPr>
              <w:t xml:space="preserve">            165.019 </w:t>
            </w:r>
          </w:p>
        </w:tc>
        <w:tc>
          <w:tcPr>
            <w:tcW w:w="1359" w:type="dxa"/>
            <w:tcBorders>
              <w:top w:val="nil"/>
              <w:left w:val="nil"/>
              <w:bottom w:val="nil"/>
              <w:right w:val="nil"/>
            </w:tcBorders>
            <w:shd w:val="clear" w:color="auto" w:fill="auto"/>
            <w:noWrap/>
            <w:vAlign w:val="center"/>
            <w:hideMark/>
          </w:tcPr>
          <w:p w14:paraId="3B016027" w14:textId="77777777" w:rsidR="004133F5" w:rsidRDefault="004133F5" w:rsidP="001B1772">
            <w:pPr>
              <w:jc w:val="right"/>
              <w:rPr>
                <w:rFonts w:ascii="Calibri" w:hAnsi="Calibri" w:cs="Calibri"/>
                <w:color w:val="000000"/>
                <w:sz w:val="16"/>
                <w:szCs w:val="16"/>
              </w:rPr>
            </w:pPr>
            <w:r>
              <w:rPr>
                <w:rFonts w:ascii="Calibri" w:hAnsi="Calibri" w:cs="Calibri"/>
                <w:color w:val="000000"/>
                <w:sz w:val="16"/>
                <w:szCs w:val="16"/>
              </w:rPr>
              <w:t xml:space="preserve">            35.160.374 </w:t>
            </w:r>
          </w:p>
        </w:tc>
        <w:tc>
          <w:tcPr>
            <w:tcW w:w="1490" w:type="dxa"/>
            <w:tcBorders>
              <w:top w:val="nil"/>
              <w:left w:val="nil"/>
              <w:bottom w:val="nil"/>
              <w:right w:val="nil"/>
            </w:tcBorders>
            <w:shd w:val="clear" w:color="auto" w:fill="auto"/>
            <w:noWrap/>
            <w:vAlign w:val="center"/>
            <w:hideMark/>
          </w:tcPr>
          <w:p w14:paraId="3ED29887" w14:textId="77777777" w:rsidR="004133F5" w:rsidRDefault="004133F5" w:rsidP="001B1772">
            <w:pPr>
              <w:jc w:val="right"/>
              <w:rPr>
                <w:rFonts w:ascii="Calibri" w:hAnsi="Calibri" w:cs="Calibri"/>
                <w:color w:val="000000"/>
                <w:sz w:val="16"/>
                <w:szCs w:val="16"/>
              </w:rPr>
            </w:pPr>
            <w:r>
              <w:rPr>
                <w:rFonts w:ascii="Calibri" w:hAnsi="Calibri" w:cs="Calibri"/>
                <w:color w:val="000000"/>
                <w:sz w:val="16"/>
                <w:szCs w:val="16"/>
              </w:rPr>
              <w:t xml:space="preserve">          (952.689.594)</w:t>
            </w:r>
          </w:p>
        </w:tc>
        <w:tc>
          <w:tcPr>
            <w:tcW w:w="743" w:type="dxa"/>
            <w:tcBorders>
              <w:top w:val="nil"/>
              <w:left w:val="nil"/>
              <w:bottom w:val="nil"/>
              <w:right w:val="nil"/>
            </w:tcBorders>
            <w:shd w:val="clear" w:color="auto" w:fill="auto"/>
            <w:noWrap/>
            <w:vAlign w:val="center"/>
            <w:hideMark/>
          </w:tcPr>
          <w:p w14:paraId="30323D26" w14:textId="77777777" w:rsidR="004133F5" w:rsidRDefault="004133F5">
            <w:pPr>
              <w:rPr>
                <w:rFonts w:ascii="Calibri" w:hAnsi="Calibri" w:cs="Calibri"/>
                <w:color w:val="000000"/>
                <w:sz w:val="16"/>
                <w:szCs w:val="16"/>
              </w:rPr>
            </w:pPr>
            <w:r>
              <w:rPr>
                <w:rFonts w:ascii="Calibri" w:hAnsi="Calibri" w:cs="Calibri"/>
                <w:color w:val="000000"/>
                <w:sz w:val="16"/>
                <w:szCs w:val="16"/>
              </w:rPr>
              <w:t xml:space="preserve"> </w:t>
            </w:r>
          </w:p>
        </w:tc>
      </w:tr>
      <w:tr w:rsidR="004133F5" w14:paraId="733C5330" w14:textId="77777777" w:rsidTr="004133F5">
        <w:trPr>
          <w:trHeight w:val="315"/>
        </w:trPr>
        <w:tc>
          <w:tcPr>
            <w:tcW w:w="3145" w:type="dxa"/>
            <w:tcBorders>
              <w:top w:val="single" w:sz="8" w:space="0" w:color="auto"/>
              <w:left w:val="nil"/>
              <w:bottom w:val="single" w:sz="8" w:space="0" w:color="auto"/>
              <w:right w:val="nil"/>
            </w:tcBorders>
            <w:shd w:val="clear" w:color="auto" w:fill="auto"/>
            <w:noWrap/>
            <w:vAlign w:val="center"/>
            <w:hideMark/>
          </w:tcPr>
          <w:p w14:paraId="20F0E748" w14:textId="77777777" w:rsidR="004133F5" w:rsidRDefault="004133F5">
            <w:pPr>
              <w:rPr>
                <w:rFonts w:ascii="Calibri" w:hAnsi="Calibri" w:cs="Calibri"/>
                <w:b/>
                <w:bCs/>
                <w:color w:val="000000"/>
                <w:sz w:val="16"/>
                <w:szCs w:val="16"/>
              </w:rPr>
            </w:pPr>
            <w:r>
              <w:rPr>
                <w:rFonts w:ascii="Calibri" w:hAnsi="Calibri" w:cs="Calibri"/>
                <w:b/>
                <w:bCs/>
                <w:color w:val="000000"/>
                <w:sz w:val="16"/>
                <w:szCs w:val="16"/>
              </w:rPr>
              <w:t xml:space="preserve">TOTAL DO IMOBILIZADO </w:t>
            </w:r>
          </w:p>
        </w:tc>
        <w:tc>
          <w:tcPr>
            <w:tcW w:w="1418" w:type="dxa"/>
            <w:tcBorders>
              <w:top w:val="single" w:sz="8" w:space="0" w:color="auto"/>
              <w:left w:val="nil"/>
              <w:bottom w:val="single" w:sz="8" w:space="0" w:color="auto"/>
              <w:right w:val="nil"/>
            </w:tcBorders>
            <w:shd w:val="clear" w:color="auto" w:fill="auto"/>
            <w:noWrap/>
            <w:vAlign w:val="center"/>
            <w:hideMark/>
          </w:tcPr>
          <w:p w14:paraId="54E5816F" w14:textId="77777777" w:rsidR="004133F5" w:rsidRDefault="004133F5" w:rsidP="001B1772">
            <w:pPr>
              <w:jc w:val="right"/>
              <w:rPr>
                <w:rFonts w:ascii="Calibri" w:hAnsi="Calibri" w:cs="Calibri"/>
                <w:b/>
                <w:bCs/>
                <w:color w:val="000000"/>
                <w:sz w:val="16"/>
                <w:szCs w:val="16"/>
              </w:rPr>
            </w:pPr>
            <w:r>
              <w:rPr>
                <w:rFonts w:ascii="Calibri" w:hAnsi="Calibri" w:cs="Calibri"/>
                <w:b/>
                <w:bCs/>
                <w:color w:val="000000"/>
                <w:sz w:val="16"/>
                <w:szCs w:val="16"/>
              </w:rPr>
              <w:t xml:space="preserve">      3.284.926.864 </w:t>
            </w:r>
          </w:p>
        </w:tc>
        <w:tc>
          <w:tcPr>
            <w:tcW w:w="1237" w:type="dxa"/>
            <w:tcBorders>
              <w:top w:val="single" w:sz="8" w:space="0" w:color="auto"/>
              <w:left w:val="nil"/>
              <w:bottom w:val="single" w:sz="8" w:space="0" w:color="auto"/>
              <w:right w:val="nil"/>
            </w:tcBorders>
            <w:shd w:val="clear" w:color="auto" w:fill="auto"/>
            <w:noWrap/>
            <w:vAlign w:val="center"/>
            <w:hideMark/>
          </w:tcPr>
          <w:p w14:paraId="03A355B8" w14:textId="0335E1A0" w:rsidR="004133F5" w:rsidRDefault="004133F5" w:rsidP="001B1772">
            <w:pPr>
              <w:jc w:val="right"/>
              <w:rPr>
                <w:rFonts w:ascii="Calibri" w:hAnsi="Calibri" w:cs="Calibri"/>
                <w:b/>
                <w:bCs/>
                <w:color w:val="000000"/>
                <w:sz w:val="16"/>
                <w:szCs w:val="16"/>
              </w:rPr>
            </w:pPr>
            <w:r>
              <w:rPr>
                <w:rFonts w:ascii="Calibri" w:hAnsi="Calibri" w:cs="Calibri"/>
                <w:b/>
                <w:bCs/>
                <w:color w:val="000000"/>
                <w:sz w:val="16"/>
                <w:szCs w:val="16"/>
              </w:rPr>
              <w:t xml:space="preserve">     </w:t>
            </w:r>
            <w:r w:rsidR="005A6DDC">
              <w:rPr>
                <w:rFonts w:ascii="Calibri" w:hAnsi="Calibri" w:cs="Calibri"/>
                <w:b/>
                <w:bCs/>
                <w:color w:val="000000"/>
                <w:sz w:val="16"/>
                <w:szCs w:val="16"/>
              </w:rPr>
              <w:t>309.318.135</w:t>
            </w:r>
            <w:r>
              <w:rPr>
                <w:rFonts w:ascii="Calibri" w:hAnsi="Calibri" w:cs="Calibri"/>
                <w:b/>
                <w:bCs/>
                <w:color w:val="000000"/>
                <w:sz w:val="16"/>
                <w:szCs w:val="16"/>
              </w:rPr>
              <w:t xml:space="preserve"> </w:t>
            </w:r>
          </w:p>
        </w:tc>
        <w:tc>
          <w:tcPr>
            <w:tcW w:w="1128" w:type="dxa"/>
            <w:tcBorders>
              <w:top w:val="single" w:sz="8" w:space="0" w:color="auto"/>
              <w:left w:val="nil"/>
              <w:bottom w:val="single" w:sz="8" w:space="0" w:color="auto"/>
              <w:right w:val="nil"/>
            </w:tcBorders>
            <w:shd w:val="clear" w:color="auto" w:fill="auto"/>
            <w:noWrap/>
            <w:vAlign w:val="center"/>
            <w:hideMark/>
          </w:tcPr>
          <w:p w14:paraId="2C1C37E1" w14:textId="1501EDAF" w:rsidR="004133F5" w:rsidRDefault="004133F5" w:rsidP="001B1772">
            <w:pPr>
              <w:jc w:val="right"/>
              <w:rPr>
                <w:rFonts w:ascii="Calibri" w:hAnsi="Calibri" w:cs="Calibri"/>
                <w:b/>
                <w:bCs/>
                <w:color w:val="000000"/>
                <w:sz w:val="16"/>
                <w:szCs w:val="16"/>
              </w:rPr>
            </w:pPr>
            <w:r>
              <w:rPr>
                <w:rFonts w:ascii="Calibri" w:hAnsi="Calibri" w:cs="Calibri"/>
                <w:b/>
                <w:bCs/>
                <w:color w:val="000000"/>
                <w:sz w:val="16"/>
                <w:szCs w:val="16"/>
              </w:rPr>
              <w:t xml:space="preserve">      (4.093.099)</w:t>
            </w:r>
          </w:p>
        </w:tc>
        <w:tc>
          <w:tcPr>
            <w:tcW w:w="1359" w:type="dxa"/>
            <w:tcBorders>
              <w:top w:val="single" w:sz="8" w:space="0" w:color="auto"/>
              <w:left w:val="nil"/>
              <w:bottom w:val="single" w:sz="8" w:space="0" w:color="auto"/>
              <w:right w:val="nil"/>
            </w:tcBorders>
            <w:shd w:val="clear" w:color="auto" w:fill="auto"/>
            <w:noWrap/>
            <w:vAlign w:val="center"/>
            <w:hideMark/>
          </w:tcPr>
          <w:p w14:paraId="519889E1" w14:textId="06081783" w:rsidR="004133F5" w:rsidRDefault="004133F5" w:rsidP="001B1772">
            <w:pPr>
              <w:jc w:val="right"/>
              <w:rPr>
                <w:rFonts w:ascii="Calibri" w:hAnsi="Calibri" w:cs="Calibri"/>
                <w:b/>
                <w:bCs/>
                <w:color w:val="000000"/>
                <w:sz w:val="16"/>
                <w:szCs w:val="16"/>
              </w:rPr>
            </w:pPr>
            <w:r>
              <w:rPr>
                <w:rFonts w:ascii="Calibri" w:hAnsi="Calibri" w:cs="Calibri"/>
                <w:b/>
                <w:bCs/>
                <w:color w:val="000000"/>
                <w:sz w:val="16"/>
                <w:szCs w:val="16"/>
              </w:rPr>
              <w:t xml:space="preserve">            (6.385.760)</w:t>
            </w:r>
          </w:p>
        </w:tc>
        <w:tc>
          <w:tcPr>
            <w:tcW w:w="1490" w:type="dxa"/>
            <w:tcBorders>
              <w:top w:val="single" w:sz="8" w:space="0" w:color="auto"/>
              <w:left w:val="nil"/>
              <w:bottom w:val="single" w:sz="8" w:space="0" w:color="auto"/>
              <w:right w:val="nil"/>
            </w:tcBorders>
            <w:shd w:val="clear" w:color="auto" w:fill="auto"/>
            <w:noWrap/>
            <w:vAlign w:val="center"/>
            <w:hideMark/>
          </w:tcPr>
          <w:p w14:paraId="63EE6017" w14:textId="214E7C29" w:rsidR="004133F5" w:rsidRDefault="004133F5" w:rsidP="001B1772">
            <w:pPr>
              <w:jc w:val="right"/>
              <w:rPr>
                <w:rFonts w:ascii="Calibri" w:hAnsi="Calibri" w:cs="Calibri"/>
                <w:b/>
                <w:bCs/>
                <w:color w:val="000000"/>
                <w:sz w:val="16"/>
                <w:szCs w:val="16"/>
              </w:rPr>
            </w:pPr>
            <w:r>
              <w:rPr>
                <w:rFonts w:ascii="Calibri" w:hAnsi="Calibri" w:cs="Calibri"/>
                <w:b/>
                <w:bCs/>
                <w:color w:val="000000"/>
                <w:sz w:val="16"/>
                <w:szCs w:val="16"/>
              </w:rPr>
              <w:t xml:space="preserve">        3.5</w:t>
            </w:r>
            <w:r w:rsidR="004C10F5">
              <w:rPr>
                <w:rFonts w:ascii="Calibri" w:hAnsi="Calibri" w:cs="Calibri"/>
                <w:b/>
                <w:bCs/>
                <w:color w:val="000000"/>
                <w:sz w:val="16"/>
                <w:szCs w:val="16"/>
              </w:rPr>
              <w:t>83</w:t>
            </w:r>
            <w:r>
              <w:rPr>
                <w:rFonts w:ascii="Calibri" w:hAnsi="Calibri" w:cs="Calibri"/>
                <w:b/>
                <w:bCs/>
                <w:color w:val="000000"/>
                <w:sz w:val="16"/>
                <w:szCs w:val="16"/>
              </w:rPr>
              <w:t>.</w:t>
            </w:r>
            <w:r w:rsidR="004C10F5">
              <w:rPr>
                <w:rFonts w:ascii="Calibri" w:hAnsi="Calibri" w:cs="Calibri"/>
                <w:b/>
                <w:bCs/>
                <w:color w:val="000000"/>
                <w:sz w:val="16"/>
                <w:szCs w:val="16"/>
              </w:rPr>
              <w:t>766</w:t>
            </w:r>
            <w:r>
              <w:rPr>
                <w:rFonts w:ascii="Calibri" w:hAnsi="Calibri" w:cs="Calibri"/>
                <w:b/>
                <w:bCs/>
                <w:color w:val="000000"/>
                <w:sz w:val="16"/>
                <w:szCs w:val="16"/>
              </w:rPr>
              <w:t>.</w:t>
            </w:r>
            <w:r w:rsidR="004C10F5">
              <w:rPr>
                <w:rFonts w:ascii="Calibri" w:hAnsi="Calibri" w:cs="Calibri"/>
                <w:b/>
                <w:bCs/>
                <w:color w:val="000000"/>
                <w:sz w:val="16"/>
                <w:szCs w:val="16"/>
              </w:rPr>
              <w:t>139</w:t>
            </w:r>
            <w:r>
              <w:rPr>
                <w:rFonts w:ascii="Calibri" w:hAnsi="Calibri" w:cs="Calibri"/>
                <w:b/>
                <w:bCs/>
                <w:color w:val="000000"/>
                <w:sz w:val="16"/>
                <w:szCs w:val="16"/>
              </w:rPr>
              <w:t xml:space="preserve"> </w:t>
            </w:r>
          </w:p>
        </w:tc>
        <w:tc>
          <w:tcPr>
            <w:tcW w:w="743" w:type="dxa"/>
            <w:tcBorders>
              <w:top w:val="single" w:sz="8" w:space="0" w:color="auto"/>
              <w:left w:val="nil"/>
              <w:bottom w:val="single" w:sz="8" w:space="0" w:color="auto"/>
              <w:right w:val="nil"/>
            </w:tcBorders>
            <w:shd w:val="clear" w:color="auto" w:fill="auto"/>
            <w:noWrap/>
            <w:vAlign w:val="center"/>
            <w:hideMark/>
          </w:tcPr>
          <w:p w14:paraId="4AE94D03" w14:textId="77777777" w:rsidR="004133F5" w:rsidRDefault="004133F5">
            <w:pPr>
              <w:jc w:val="right"/>
              <w:rPr>
                <w:rFonts w:ascii="Calibri" w:hAnsi="Calibri" w:cs="Calibri"/>
                <w:b/>
                <w:bCs/>
                <w:color w:val="000000"/>
                <w:sz w:val="16"/>
                <w:szCs w:val="16"/>
              </w:rPr>
            </w:pPr>
            <w:r>
              <w:rPr>
                <w:rFonts w:ascii="Calibri" w:hAnsi="Calibri" w:cs="Calibri"/>
                <w:b/>
                <w:bCs/>
                <w:color w:val="000000"/>
                <w:sz w:val="16"/>
                <w:szCs w:val="16"/>
              </w:rPr>
              <w:t> </w:t>
            </w:r>
          </w:p>
        </w:tc>
      </w:tr>
    </w:tbl>
    <w:p w14:paraId="39899948" w14:textId="7CEE4103" w:rsidR="00C07BEB" w:rsidRPr="002E2B5B" w:rsidRDefault="00C07BEB" w:rsidP="000B3A75">
      <w:pPr>
        <w:numPr>
          <w:ilvl w:val="0"/>
          <w:numId w:val="15"/>
        </w:numPr>
        <w:spacing w:before="120" w:after="120"/>
        <w:ind w:left="714" w:right="57" w:hanging="357"/>
        <w:jc w:val="both"/>
        <w:rPr>
          <w:rFonts w:ascii="Calibri" w:hAnsi="Calibri" w:cs="Calibri"/>
          <w:sz w:val="22"/>
          <w:szCs w:val="22"/>
        </w:rPr>
      </w:pPr>
      <w:r w:rsidRPr="002E2B5B">
        <w:rPr>
          <w:rFonts w:ascii="Calibri" w:hAnsi="Calibri" w:cs="Calibri"/>
          <w:sz w:val="22"/>
          <w:szCs w:val="22"/>
        </w:rPr>
        <w:t xml:space="preserve">Os bens corpóreos </w:t>
      </w:r>
      <w:r w:rsidR="00054CE1" w:rsidRPr="002E2B5B">
        <w:rPr>
          <w:rFonts w:ascii="Calibri" w:hAnsi="Calibri" w:cs="Calibri"/>
          <w:sz w:val="22"/>
          <w:szCs w:val="22"/>
        </w:rPr>
        <w:t xml:space="preserve">são </w:t>
      </w:r>
      <w:r w:rsidRPr="002E2B5B">
        <w:rPr>
          <w:rFonts w:ascii="Calibri" w:hAnsi="Calibri" w:cs="Calibri"/>
          <w:sz w:val="22"/>
          <w:szCs w:val="22"/>
        </w:rPr>
        <w:t>reconhecid</w:t>
      </w:r>
      <w:r w:rsidR="00054CE1" w:rsidRPr="002E2B5B">
        <w:rPr>
          <w:rFonts w:ascii="Calibri" w:hAnsi="Calibri" w:cs="Calibri"/>
          <w:sz w:val="22"/>
          <w:szCs w:val="22"/>
        </w:rPr>
        <w:t>o</w:t>
      </w:r>
      <w:r w:rsidRPr="002E2B5B">
        <w:rPr>
          <w:rFonts w:ascii="Calibri" w:hAnsi="Calibri" w:cs="Calibri"/>
          <w:sz w:val="22"/>
          <w:szCs w:val="22"/>
        </w:rPr>
        <w:t xml:space="preserve">s pelo registro original do bem. </w:t>
      </w:r>
      <w:r w:rsidR="00505049" w:rsidRPr="002E2B5B">
        <w:rPr>
          <w:rFonts w:ascii="Calibri" w:hAnsi="Calibri" w:cs="Calibri"/>
          <w:sz w:val="22"/>
          <w:szCs w:val="22"/>
        </w:rPr>
        <w:t xml:space="preserve">Devido ao desgaste e </w:t>
      </w:r>
      <w:r w:rsidRPr="002E2B5B">
        <w:rPr>
          <w:rFonts w:ascii="Calibri" w:hAnsi="Calibri" w:cs="Calibri"/>
          <w:sz w:val="22"/>
          <w:szCs w:val="22"/>
        </w:rPr>
        <w:t>a obsolescência</w:t>
      </w:r>
      <w:r w:rsidR="00A40B2C" w:rsidRPr="002E2B5B">
        <w:rPr>
          <w:rFonts w:ascii="Calibri" w:hAnsi="Calibri" w:cs="Calibri"/>
          <w:sz w:val="22"/>
          <w:szCs w:val="22"/>
        </w:rPr>
        <w:t xml:space="preserve"> desses bens</w:t>
      </w:r>
      <w:r w:rsidRPr="002E2B5B">
        <w:rPr>
          <w:rFonts w:ascii="Calibri" w:hAnsi="Calibri" w:cs="Calibri"/>
          <w:sz w:val="22"/>
          <w:szCs w:val="22"/>
        </w:rPr>
        <w:t xml:space="preserve"> ao longo do tempo, exigem-se o reconhecimento da despesa em virtude da depreciação calculada por meio do método linear, em função de taxas estabelecidas e do tempo de vida útil, fixadas por espécies de bens</w:t>
      </w:r>
      <w:r w:rsidR="00054CE1" w:rsidRPr="002E2B5B">
        <w:rPr>
          <w:rFonts w:ascii="Calibri" w:hAnsi="Calibri" w:cs="Calibri"/>
          <w:sz w:val="22"/>
          <w:szCs w:val="22"/>
        </w:rPr>
        <w:t>;</w:t>
      </w:r>
    </w:p>
    <w:p w14:paraId="6ECA2F7A" w14:textId="77777777" w:rsidR="00D54B55" w:rsidRPr="002E2B5B" w:rsidRDefault="00D54B55" w:rsidP="00937ED9">
      <w:pPr>
        <w:pStyle w:val="NormalWeb"/>
        <w:numPr>
          <w:ilvl w:val="0"/>
          <w:numId w:val="15"/>
        </w:numPr>
        <w:spacing w:before="0" w:beforeAutospacing="0" w:after="120" w:afterAutospacing="0"/>
        <w:jc w:val="both"/>
        <w:rPr>
          <w:rFonts w:ascii="Calibri" w:hAnsi="Calibri" w:cs="Calibri"/>
          <w:sz w:val="22"/>
          <w:szCs w:val="22"/>
        </w:rPr>
      </w:pPr>
      <w:r w:rsidRPr="002E2B5B">
        <w:rPr>
          <w:rFonts w:ascii="Calibri" w:hAnsi="Calibri" w:cs="Calibri"/>
          <w:sz w:val="22"/>
          <w:szCs w:val="22"/>
        </w:rPr>
        <w:t>As ferrovias construídas foram depreciadas retroativamente pela tabela fisco até 31 de dezembro de 2016, a partir dessa data foi utilizada a tabela da ANTT, conforme Resolução ANTT N° 4540, de 19 de dezembro de 2014</w:t>
      </w:r>
      <w:r w:rsidR="00054CE1" w:rsidRPr="002E2B5B">
        <w:rPr>
          <w:rFonts w:ascii="Calibri" w:hAnsi="Calibri" w:cs="Calibri"/>
          <w:sz w:val="22"/>
          <w:szCs w:val="22"/>
        </w:rPr>
        <w:t>;</w:t>
      </w:r>
    </w:p>
    <w:p w14:paraId="5D8C50BB" w14:textId="77777777" w:rsidR="00D54B55" w:rsidRPr="002E2B5B" w:rsidRDefault="00D54B55" w:rsidP="00937ED9">
      <w:pPr>
        <w:pStyle w:val="NormalWeb"/>
        <w:numPr>
          <w:ilvl w:val="0"/>
          <w:numId w:val="15"/>
        </w:numPr>
        <w:spacing w:before="0" w:beforeAutospacing="0" w:after="120" w:afterAutospacing="0"/>
        <w:jc w:val="both"/>
        <w:rPr>
          <w:rFonts w:ascii="Calibri" w:hAnsi="Calibri" w:cs="Calibri"/>
          <w:sz w:val="22"/>
          <w:szCs w:val="22"/>
        </w:rPr>
      </w:pPr>
      <w:r w:rsidRPr="002E2B5B">
        <w:rPr>
          <w:rFonts w:ascii="Calibri" w:hAnsi="Calibri" w:cs="Calibri"/>
          <w:sz w:val="22"/>
          <w:szCs w:val="22"/>
        </w:rPr>
        <w:t>Anualmente, é realizado o inventário dos bens móveis da VALEC e verificado in loco as condições de uso dos bens. Os bens que se apresentam como inservíveis são reparados, doados ou baixados do sistema patrimonial bem como da contabilidade</w:t>
      </w:r>
      <w:r w:rsidR="00054CE1" w:rsidRPr="002E2B5B">
        <w:rPr>
          <w:rFonts w:ascii="Calibri" w:hAnsi="Calibri" w:cs="Calibri"/>
          <w:sz w:val="22"/>
          <w:szCs w:val="22"/>
        </w:rPr>
        <w:t>;</w:t>
      </w:r>
    </w:p>
    <w:p w14:paraId="7E756F2F" w14:textId="5C13BEFF" w:rsidR="007D5C15" w:rsidRPr="00D6403B" w:rsidRDefault="00D54B55" w:rsidP="00D6403B">
      <w:pPr>
        <w:pStyle w:val="NormalWeb"/>
        <w:numPr>
          <w:ilvl w:val="0"/>
          <w:numId w:val="15"/>
        </w:numPr>
        <w:spacing w:before="0" w:beforeAutospacing="0" w:after="120" w:afterAutospacing="0"/>
        <w:jc w:val="both"/>
        <w:rPr>
          <w:rFonts w:ascii="Calibri" w:hAnsi="Calibri" w:cs="Calibri"/>
          <w:sz w:val="22"/>
          <w:szCs w:val="22"/>
        </w:rPr>
      </w:pPr>
      <w:r w:rsidRPr="002E2B5B">
        <w:rPr>
          <w:rFonts w:ascii="Calibri" w:hAnsi="Calibri" w:cs="Calibri"/>
          <w:sz w:val="22"/>
          <w:szCs w:val="22"/>
        </w:rPr>
        <w:t>Os Ativos Imobilizados da VALEC são registrados em um sistema informatizado que permite controlar sequencialmente os bens móveis</w:t>
      </w:r>
      <w:r w:rsidR="00B54457" w:rsidRPr="002E2B5B">
        <w:rPr>
          <w:rFonts w:ascii="Calibri" w:hAnsi="Calibri" w:cs="Calibri"/>
          <w:sz w:val="22"/>
          <w:szCs w:val="22"/>
        </w:rPr>
        <w:t>,</w:t>
      </w:r>
      <w:r w:rsidRPr="002E2B5B">
        <w:rPr>
          <w:rFonts w:ascii="Calibri" w:hAnsi="Calibri" w:cs="Calibri"/>
          <w:sz w:val="22"/>
          <w:szCs w:val="22"/>
        </w:rPr>
        <w:t xml:space="preserve"> gerando relatórios por localidade ou descrição do bem e são depreciados periodicamente</w:t>
      </w:r>
      <w:r w:rsidR="00054CE1" w:rsidRPr="002E2B5B">
        <w:rPr>
          <w:rFonts w:ascii="Calibri" w:hAnsi="Calibri" w:cs="Calibri"/>
          <w:sz w:val="22"/>
          <w:szCs w:val="22"/>
        </w:rPr>
        <w:t>;</w:t>
      </w:r>
    </w:p>
    <w:p w14:paraId="45E3A76A" w14:textId="0C5D55C8" w:rsidR="000C54C6" w:rsidRPr="002E2B5B" w:rsidRDefault="00954EAC" w:rsidP="00937ED9">
      <w:pPr>
        <w:pStyle w:val="NormalWeb"/>
        <w:numPr>
          <w:ilvl w:val="0"/>
          <w:numId w:val="15"/>
        </w:numPr>
        <w:spacing w:before="0" w:beforeAutospacing="0" w:after="120" w:afterAutospacing="0"/>
        <w:jc w:val="both"/>
        <w:rPr>
          <w:rFonts w:ascii="Calibri" w:hAnsi="Calibri" w:cs="Calibri"/>
          <w:sz w:val="22"/>
          <w:szCs w:val="22"/>
        </w:rPr>
      </w:pPr>
      <w:r>
        <w:rPr>
          <w:rFonts w:ascii="Calibri" w:hAnsi="Calibri" w:cs="Calibri"/>
          <w:sz w:val="22"/>
          <w:szCs w:val="22"/>
        </w:rPr>
        <w:t>No</w:t>
      </w:r>
      <w:r w:rsidR="00F3256C">
        <w:rPr>
          <w:rFonts w:ascii="Calibri" w:hAnsi="Calibri" w:cs="Calibri"/>
          <w:sz w:val="22"/>
          <w:szCs w:val="22"/>
        </w:rPr>
        <w:t xml:space="preserve"> exercício de 2022, até o 2</w:t>
      </w:r>
      <w:r w:rsidR="00993F2B">
        <w:rPr>
          <w:rFonts w:ascii="Calibri" w:hAnsi="Calibri" w:cs="Calibri"/>
          <w:sz w:val="22"/>
          <w:szCs w:val="22"/>
        </w:rPr>
        <w:t>º trimestre,</w:t>
      </w:r>
      <w:r w:rsidR="00D6403B">
        <w:rPr>
          <w:rFonts w:ascii="Calibri" w:hAnsi="Calibri" w:cs="Calibri"/>
          <w:sz w:val="22"/>
          <w:szCs w:val="22"/>
        </w:rPr>
        <w:t xml:space="preserve"> fo</w:t>
      </w:r>
      <w:r w:rsidR="00D6403B" w:rsidRPr="007D5C15">
        <w:rPr>
          <w:rFonts w:ascii="Calibri" w:hAnsi="Calibri" w:cs="Calibri"/>
          <w:sz w:val="22"/>
          <w:szCs w:val="22"/>
        </w:rPr>
        <w:t xml:space="preserve">ram adquiridos </w:t>
      </w:r>
      <w:r w:rsidR="00993F2B" w:rsidRPr="000C54C6">
        <w:rPr>
          <w:rFonts w:ascii="Calibri" w:hAnsi="Calibri" w:cs="Calibri"/>
          <w:sz w:val="22"/>
          <w:szCs w:val="22"/>
        </w:rPr>
        <w:t>Equipamentos de TI e Comunicação</w:t>
      </w:r>
      <w:r w:rsidR="00993F2B" w:rsidRPr="007D5C15">
        <w:rPr>
          <w:rFonts w:ascii="Calibri" w:hAnsi="Calibri" w:cs="Calibri"/>
          <w:sz w:val="22"/>
          <w:szCs w:val="22"/>
        </w:rPr>
        <w:t xml:space="preserve"> </w:t>
      </w:r>
      <w:r w:rsidR="00D6403B" w:rsidRPr="007D5C15">
        <w:rPr>
          <w:rFonts w:ascii="Calibri" w:hAnsi="Calibri" w:cs="Calibri"/>
          <w:sz w:val="22"/>
          <w:szCs w:val="22"/>
        </w:rPr>
        <w:t xml:space="preserve">no valor de R$ </w:t>
      </w:r>
      <w:r w:rsidR="00993F2B">
        <w:rPr>
          <w:rFonts w:ascii="Calibri" w:hAnsi="Calibri" w:cs="Calibri"/>
          <w:sz w:val="22"/>
          <w:szCs w:val="22"/>
        </w:rPr>
        <w:t>16</w:t>
      </w:r>
      <w:r w:rsidR="00D6403B">
        <w:rPr>
          <w:rFonts w:ascii="Calibri" w:hAnsi="Calibri" w:cs="Calibri"/>
          <w:sz w:val="22"/>
          <w:szCs w:val="22"/>
        </w:rPr>
        <w:t xml:space="preserve"> mil</w:t>
      </w:r>
      <w:r w:rsidR="00993F2B">
        <w:rPr>
          <w:rFonts w:ascii="Calibri" w:hAnsi="Calibri" w:cs="Calibri"/>
          <w:sz w:val="22"/>
          <w:szCs w:val="22"/>
        </w:rPr>
        <w:t xml:space="preserve">, bem como </w:t>
      </w:r>
      <w:r w:rsidR="00993F2B" w:rsidRPr="00993F2B">
        <w:rPr>
          <w:rFonts w:ascii="Calibri" w:hAnsi="Calibri" w:cs="Calibri"/>
          <w:sz w:val="22"/>
          <w:szCs w:val="22"/>
        </w:rPr>
        <w:t>Máquinas e Utensílios de Escritório no valor de R$ 48</w:t>
      </w:r>
      <w:r w:rsidR="00993F2B">
        <w:rPr>
          <w:rFonts w:ascii="Calibri" w:hAnsi="Calibri" w:cs="Calibri"/>
          <w:sz w:val="22"/>
          <w:szCs w:val="22"/>
        </w:rPr>
        <w:t xml:space="preserve"> mil</w:t>
      </w:r>
      <w:r w:rsidR="00D6403B">
        <w:rPr>
          <w:rFonts w:ascii="Calibri" w:hAnsi="Calibri" w:cs="Calibri"/>
          <w:sz w:val="22"/>
          <w:szCs w:val="22"/>
        </w:rPr>
        <w:t>;</w:t>
      </w:r>
    </w:p>
    <w:p w14:paraId="58F8E691" w14:textId="5CAB7A37" w:rsidR="00954EAC" w:rsidRDefault="00054CE1" w:rsidP="00937ED9">
      <w:pPr>
        <w:pStyle w:val="NormalWeb"/>
        <w:numPr>
          <w:ilvl w:val="0"/>
          <w:numId w:val="15"/>
        </w:numPr>
        <w:spacing w:before="0" w:beforeAutospacing="0" w:after="120" w:afterAutospacing="0"/>
        <w:jc w:val="both"/>
        <w:rPr>
          <w:rFonts w:ascii="Calibri" w:hAnsi="Calibri" w:cs="Calibri"/>
          <w:sz w:val="22"/>
          <w:szCs w:val="22"/>
        </w:rPr>
      </w:pPr>
      <w:r w:rsidRPr="002E2B5B">
        <w:rPr>
          <w:rFonts w:ascii="Calibri" w:hAnsi="Calibri" w:cs="Calibri"/>
          <w:sz w:val="22"/>
          <w:szCs w:val="22"/>
        </w:rPr>
        <w:t xml:space="preserve">A provisão para “Redução ao valor Recuperável – Móveis” no valor de R$ </w:t>
      </w:r>
      <w:r w:rsidR="00954EAC">
        <w:rPr>
          <w:rFonts w:ascii="Calibri" w:hAnsi="Calibri" w:cs="Calibri"/>
          <w:sz w:val="22"/>
          <w:szCs w:val="22"/>
        </w:rPr>
        <w:t>3</w:t>
      </w:r>
      <w:r w:rsidR="00262FF9">
        <w:rPr>
          <w:rFonts w:ascii="Calibri" w:hAnsi="Calibri" w:cs="Calibri"/>
          <w:sz w:val="22"/>
          <w:szCs w:val="22"/>
        </w:rPr>
        <w:t>5 mil</w:t>
      </w:r>
      <w:r w:rsidRPr="002E2B5B">
        <w:rPr>
          <w:rFonts w:ascii="Calibri" w:hAnsi="Calibri" w:cs="Calibri"/>
          <w:sz w:val="22"/>
          <w:szCs w:val="22"/>
        </w:rPr>
        <w:t xml:space="preserve"> se refere</w:t>
      </w:r>
      <w:r w:rsidR="00954EAC">
        <w:rPr>
          <w:rFonts w:ascii="Calibri" w:hAnsi="Calibri" w:cs="Calibri"/>
          <w:sz w:val="22"/>
          <w:szCs w:val="22"/>
        </w:rPr>
        <w:t>:</w:t>
      </w:r>
    </w:p>
    <w:p w14:paraId="77F5F211" w14:textId="2250091B" w:rsidR="00954EAC" w:rsidRPr="006D5458" w:rsidRDefault="00954EAC" w:rsidP="006D5458">
      <w:pPr>
        <w:pStyle w:val="NormalWeb"/>
        <w:numPr>
          <w:ilvl w:val="1"/>
          <w:numId w:val="15"/>
        </w:numPr>
        <w:spacing w:before="0" w:beforeAutospacing="0" w:after="120" w:afterAutospacing="0"/>
        <w:jc w:val="both"/>
        <w:rPr>
          <w:rFonts w:ascii="Calibri" w:hAnsi="Calibri" w:cs="Calibri"/>
          <w:sz w:val="22"/>
          <w:szCs w:val="22"/>
        </w:rPr>
      </w:pPr>
      <w:r>
        <w:rPr>
          <w:rFonts w:ascii="Calibri" w:hAnsi="Calibri" w:cs="Calibri"/>
          <w:sz w:val="22"/>
          <w:szCs w:val="22"/>
        </w:rPr>
        <w:t>A</w:t>
      </w:r>
      <w:r w:rsidR="00054CE1" w:rsidRPr="002E2B5B">
        <w:rPr>
          <w:rFonts w:ascii="Calibri" w:hAnsi="Calibri" w:cs="Calibri"/>
          <w:sz w:val="22"/>
          <w:szCs w:val="22"/>
        </w:rPr>
        <w:t xml:space="preserve">o valor contábil de 292 bens patrimoniais </w:t>
      </w:r>
      <w:r w:rsidR="00054CE1" w:rsidRPr="006D5458">
        <w:rPr>
          <w:rFonts w:ascii="Calibri" w:hAnsi="Calibri" w:cs="Calibri"/>
          <w:sz w:val="22"/>
          <w:szCs w:val="22"/>
        </w:rPr>
        <w:t>furtados ou extraviados, mas que se encontram com o processo administrativo de sindicância em andamento, conforme Laudo expedido pela Gerência de Patrimônio em 04 de março de 2021 (Laudo de Avaliação nº 1/2021/GEPAT/SUADM/VALEC - referente aos bens móveis em 31 de dezembro de 2019)</w:t>
      </w:r>
      <w:r w:rsidRPr="006D5458">
        <w:rPr>
          <w:rFonts w:ascii="Calibri" w:hAnsi="Calibri" w:cs="Calibri"/>
          <w:sz w:val="22"/>
          <w:szCs w:val="22"/>
        </w:rPr>
        <w:t>, totalizando R$ 17 mil.</w:t>
      </w:r>
      <w:r w:rsidR="00054CE1" w:rsidRPr="006D5458">
        <w:rPr>
          <w:rFonts w:ascii="Calibri" w:hAnsi="Calibri" w:cs="Calibri"/>
          <w:sz w:val="22"/>
          <w:szCs w:val="22"/>
        </w:rPr>
        <w:t xml:space="preserve"> Ao final da instrução processual, com a devida autorização da Diretoria Executiva, esses bens serão efetivamente baixados do patrimônio da VALEC;</w:t>
      </w:r>
      <w:r w:rsidR="00BF5A4D" w:rsidRPr="006D5458">
        <w:rPr>
          <w:rFonts w:ascii="Calibri" w:hAnsi="Calibri" w:cs="Calibri"/>
          <w:sz w:val="22"/>
          <w:szCs w:val="22"/>
        </w:rPr>
        <w:t xml:space="preserve"> e</w:t>
      </w:r>
    </w:p>
    <w:p w14:paraId="1C370210" w14:textId="28FC3DEA" w:rsidR="00054CE1" w:rsidRPr="002E2B5B" w:rsidRDefault="00954EAC" w:rsidP="00937ED9">
      <w:pPr>
        <w:pStyle w:val="NormalWeb"/>
        <w:numPr>
          <w:ilvl w:val="1"/>
          <w:numId w:val="15"/>
        </w:numPr>
        <w:spacing w:before="0" w:beforeAutospacing="0" w:after="120" w:afterAutospacing="0"/>
        <w:jc w:val="both"/>
        <w:rPr>
          <w:rFonts w:ascii="Calibri" w:hAnsi="Calibri" w:cs="Calibri"/>
          <w:sz w:val="22"/>
          <w:szCs w:val="22"/>
        </w:rPr>
      </w:pPr>
      <w:r>
        <w:rPr>
          <w:rFonts w:ascii="Calibri" w:hAnsi="Calibri" w:cs="Calibri"/>
          <w:sz w:val="22"/>
          <w:szCs w:val="22"/>
        </w:rPr>
        <w:t xml:space="preserve">Ao </w:t>
      </w:r>
      <w:r w:rsidRPr="00954EAC">
        <w:rPr>
          <w:rFonts w:ascii="Calibri" w:hAnsi="Calibri" w:cs="Calibri"/>
          <w:sz w:val="22"/>
          <w:szCs w:val="22"/>
        </w:rPr>
        <w:t>valor contábil de bens móveis que foram doados no exercício de 2021,</w:t>
      </w:r>
      <w:r>
        <w:rPr>
          <w:rFonts w:ascii="Calibri" w:hAnsi="Calibri" w:cs="Calibri"/>
          <w:sz w:val="22"/>
          <w:szCs w:val="22"/>
        </w:rPr>
        <w:t xml:space="preserve"> totalizando </w:t>
      </w:r>
      <w:r w:rsidR="00BF5A4D">
        <w:rPr>
          <w:rFonts w:ascii="Calibri" w:hAnsi="Calibri" w:cs="Calibri"/>
          <w:sz w:val="22"/>
          <w:szCs w:val="22"/>
        </w:rPr>
        <w:t>R$ 1</w:t>
      </w:r>
      <w:r w:rsidR="006D5458">
        <w:rPr>
          <w:rFonts w:ascii="Calibri" w:hAnsi="Calibri" w:cs="Calibri"/>
          <w:sz w:val="22"/>
          <w:szCs w:val="22"/>
        </w:rPr>
        <w:t>8</w:t>
      </w:r>
      <w:r w:rsidR="00BF5A4D">
        <w:rPr>
          <w:rFonts w:ascii="Calibri" w:hAnsi="Calibri" w:cs="Calibri"/>
          <w:sz w:val="22"/>
          <w:szCs w:val="22"/>
        </w:rPr>
        <w:t xml:space="preserve"> mil,</w:t>
      </w:r>
      <w:r w:rsidRPr="00954EAC">
        <w:rPr>
          <w:rFonts w:ascii="Calibri" w:hAnsi="Calibri" w:cs="Calibri"/>
          <w:sz w:val="22"/>
          <w:szCs w:val="22"/>
        </w:rPr>
        <w:t xml:space="preserve"> mas que, por questões de regularização de documentos do recebedor, encontram-se pendentes de assinatura do termo de doação, conforme Processo SEI nº 51402.106738/2021-21.</w:t>
      </w:r>
    </w:p>
    <w:p w14:paraId="0556DBE9" w14:textId="6840E9A1" w:rsidR="009856AD" w:rsidRPr="002E2B5B" w:rsidRDefault="009856AD" w:rsidP="00937ED9">
      <w:pPr>
        <w:pStyle w:val="NormalWeb"/>
        <w:numPr>
          <w:ilvl w:val="0"/>
          <w:numId w:val="15"/>
        </w:numPr>
        <w:spacing w:before="0" w:beforeAutospacing="0" w:after="120" w:afterAutospacing="0"/>
        <w:jc w:val="both"/>
        <w:rPr>
          <w:rFonts w:ascii="Calibri" w:hAnsi="Calibri" w:cs="Calibri"/>
          <w:sz w:val="22"/>
          <w:szCs w:val="22"/>
        </w:rPr>
      </w:pPr>
      <w:r w:rsidRPr="002E2B5B">
        <w:rPr>
          <w:rFonts w:ascii="Calibri" w:hAnsi="Calibri" w:cs="Calibri"/>
          <w:sz w:val="22"/>
          <w:szCs w:val="22"/>
        </w:rPr>
        <w:t xml:space="preserve">A rubrica contábil “Terrenos” é composta pelos custos relacionados aos processos de desapropriação dos respectivos Terrenos. </w:t>
      </w:r>
      <w:r w:rsidR="00D6403B">
        <w:rPr>
          <w:rFonts w:ascii="Calibri" w:hAnsi="Calibri" w:cs="Calibri"/>
          <w:sz w:val="22"/>
          <w:szCs w:val="22"/>
        </w:rPr>
        <w:t>Além do pagamento ao expropriado, m</w:t>
      </w:r>
      <w:r w:rsidRPr="002E2B5B">
        <w:rPr>
          <w:rFonts w:ascii="Calibri" w:hAnsi="Calibri" w:cs="Calibri"/>
          <w:sz w:val="22"/>
          <w:szCs w:val="22"/>
        </w:rPr>
        <w:t>ensalmente são realizados pagamentos de custas do processo, taxas cartoriais, entre outros que compõem o Custo do Terreno</w:t>
      </w:r>
      <w:r w:rsidR="000A7B39" w:rsidRPr="002E2B5B">
        <w:rPr>
          <w:rFonts w:ascii="Calibri" w:hAnsi="Calibri" w:cs="Calibri"/>
          <w:sz w:val="22"/>
          <w:szCs w:val="22"/>
        </w:rPr>
        <w:t>;</w:t>
      </w:r>
    </w:p>
    <w:p w14:paraId="703F20AE" w14:textId="77777777" w:rsidR="00CF03BE" w:rsidRPr="002E2B5B" w:rsidRDefault="00CF03BE" w:rsidP="00937ED9">
      <w:pPr>
        <w:pStyle w:val="NormalWeb"/>
        <w:numPr>
          <w:ilvl w:val="0"/>
          <w:numId w:val="15"/>
        </w:numPr>
        <w:spacing w:before="0" w:beforeAutospacing="0" w:after="120" w:afterAutospacing="0"/>
        <w:jc w:val="both"/>
        <w:rPr>
          <w:rFonts w:ascii="Calibri" w:hAnsi="Calibri" w:cs="Calibri"/>
          <w:sz w:val="22"/>
          <w:szCs w:val="22"/>
        </w:rPr>
      </w:pPr>
      <w:r w:rsidRPr="002E2B5B">
        <w:rPr>
          <w:rFonts w:ascii="Calibri" w:hAnsi="Calibri" w:cs="Calibri"/>
          <w:sz w:val="22"/>
          <w:szCs w:val="22"/>
        </w:rPr>
        <w:t xml:space="preserve">A rubrica contábil “Estudos e Projetos” é composta pelos custos relacionados ao desenvolvimento </w:t>
      </w:r>
      <w:r w:rsidRPr="002E2B5B">
        <w:rPr>
          <w:rFonts w:ascii="Calibri" w:hAnsi="Calibri" w:cs="Calibri"/>
          <w:sz w:val="22"/>
          <w:szCs w:val="22"/>
          <w:shd w:val="clear" w:color="auto" w:fill="FFFFFF"/>
        </w:rPr>
        <w:t>de estudos e projetos de obras de infraestrutura ferroviária. Os Estudos e Projetos compreendem os Estudos de Viabilidade Técnica, Econômica e Ambiental – EVTEA, o Projeto Básico – PB e o Projeto Executivo – PE;</w:t>
      </w:r>
    </w:p>
    <w:p w14:paraId="1FBA50D3" w14:textId="737A2699" w:rsidR="007D5C15" w:rsidRDefault="00CC7E45" w:rsidP="00937ED9">
      <w:pPr>
        <w:pStyle w:val="NormalWeb"/>
        <w:numPr>
          <w:ilvl w:val="0"/>
          <w:numId w:val="15"/>
        </w:numPr>
        <w:spacing w:before="0" w:beforeAutospacing="0" w:after="120" w:afterAutospacing="0"/>
        <w:jc w:val="both"/>
        <w:rPr>
          <w:rFonts w:ascii="Calibri" w:hAnsi="Calibri" w:cs="Calibri"/>
          <w:sz w:val="22"/>
          <w:szCs w:val="22"/>
        </w:rPr>
      </w:pPr>
      <w:r w:rsidRPr="002E2B5B">
        <w:rPr>
          <w:rFonts w:ascii="Calibri" w:hAnsi="Calibri" w:cs="Calibri"/>
          <w:sz w:val="22"/>
          <w:szCs w:val="22"/>
        </w:rPr>
        <w:t>A rubrica contábil “Implantação – Ferrovias” é formada pelos custos das obras de construção das ferrovias que ainda se encontram em andamento, após as subconcessões dos trechos, os ativos subconcedidos são transferidos para a rubrica “Ativos de Concessão”</w:t>
      </w:r>
      <w:r w:rsidR="000A7B39" w:rsidRPr="002E2B5B">
        <w:rPr>
          <w:rFonts w:ascii="Calibri" w:hAnsi="Calibri" w:cs="Calibri"/>
          <w:sz w:val="22"/>
          <w:szCs w:val="22"/>
        </w:rPr>
        <w:t>;</w:t>
      </w:r>
    </w:p>
    <w:p w14:paraId="4BC1E9F4" w14:textId="262978E0" w:rsidR="00042306" w:rsidRPr="0039796F" w:rsidRDefault="00042306" w:rsidP="00937ED9">
      <w:pPr>
        <w:pStyle w:val="NormalWeb"/>
        <w:numPr>
          <w:ilvl w:val="0"/>
          <w:numId w:val="15"/>
        </w:numPr>
        <w:spacing w:before="0" w:beforeAutospacing="0" w:after="120" w:afterAutospacing="0"/>
        <w:jc w:val="both"/>
        <w:rPr>
          <w:rFonts w:ascii="Calibri" w:hAnsi="Calibri" w:cs="Calibri"/>
          <w:sz w:val="22"/>
          <w:szCs w:val="22"/>
        </w:rPr>
      </w:pPr>
      <w:r>
        <w:rPr>
          <w:rFonts w:ascii="Calibri" w:hAnsi="Calibri" w:cs="Calibri"/>
          <w:sz w:val="22"/>
          <w:szCs w:val="22"/>
        </w:rPr>
        <w:t>A rubrica contábil “Direito de Uso” corresponde a</w:t>
      </w:r>
      <w:r w:rsidRPr="00042306">
        <w:rPr>
          <w:rFonts w:ascii="Calibri" w:hAnsi="Calibri" w:cs="Calibri"/>
          <w:sz w:val="22"/>
          <w:szCs w:val="22"/>
        </w:rPr>
        <w:t xml:space="preserve"> direitos com origem em contratos de locação de imóveis </w:t>
      </w:r>
      <w:r>
        <w:rPr>
          <w:rFonts w:ascii="Calibri" w:hAnsi="Calibri" w:cs="Calibri"/>
          <w:sz w:val="22"/>
          <w:szCs w:val="22"/>
        </w:rPr>
        <w:t>conforme</w:t>
      </w:r>
      <w:r w:rsidRPr="00042306">
        <w:rPr>
          <w:rFonts w:ascii="Calibri" w:hAnsi="Calibri" w:cs="Calibri"/>
          <w:sz w:val="22"/>
          <w:szCs w:val="22"/>
        </w:rPr>
        <w:t xml:space="preserve"> estabelecido</w:t>
      </w:r>
      <w:r>
        <w:rPr>
          <w:rFonts w:ascii="Calibri" w:hAnsi="Calibri" w:cs="Calibri"/>
          <w:sz w:val="22"/>
          <w:szCs w:val="22"/>
        </w:rPr>
        <w:t xml:space="preserve"> </w:t>
      </w:r>
      <w:r w:rsidRPr="00042306">
        <w:rPr>
          <w:rFonts w:ascii="Calibri" w:hAnsi="Calibri" w:cs="Calibri"/>
          <w:sz w:val="22"/>
          <w:szCs w:val="22"/>
        </w:rPr>
        <w:t>no CPC 06 (R2)</w:t>
      </w:r>
      <w:r>
        <w:rPr>
          <w:rFonts w:ascii="Calibri" w:hAnsi="Calibri" w:cs="Calibri"/>
          <w:sz w:val="22"/>
          <w:szCs w:val="22"/>
        </w:rPr>
        <w:t>. A sua composição bem como detalhamento estão evidenciados na Nota 15.</w:t>
      </w:r>
    </w:p>
    <w:p w14:paraId="488EADB7" w14:textId="08007602" w:rsidR="000C54C6" w:rsidRDefault="00C07BEB" w:rsidP="0029463C">
      <w:pPr>
        <w:pStyle w:val="NormalWeb"/>
        <w:numPr>
          <w:ilvl w:val="0"/>
          <w:numId w:val="15"/>
        </w:numPr>
        <w:spacing w:before="0" w:beforeAutospacing="0" w:after="120" w:afterAutospacing="0"/>
        <w:jc w:val="both"/>
        <w:rPr>
          <w:rFonts w:ascii="Calibri" w:hAnsi="Calibri" w:cs="Calibri"/>
          <w:sz w:val="22"/>
          <w:szCs w:val="22"/>
        </w:rPr>
      </w:pPr>
      <w:r w:rsidRPr="002E2B5B">
        <w:rPr>
          <w:rFonts w:ascii="Calibri" w:hAnsi="Calibri" w:cs="Calibri"/>
          <w:sz w:val="22"/>
          <w:szCs w:val="22"/>
        </w:rPr>
        <w:t>Um item do ativo imobilizado é baixado quando doado ou quando nenhum benefício econômico futuro for esperado pelo seu uso. Eventual perda resultante da baixa do ativo (representada pelo valor residual do ativo) é incluída no resultado do exercício em que o ativo for baixado.</w:t>
      </w:r>
      <w:r w:rsidR="0039796F">
        <w:rPr>
          <w:rFonts w:ascii="Calibri" w:hAnsi="Calibri" w:cs="Calibri"/>
          <w:sz w:val="22"/>
          <w:szCs w:val="22"/>
        </w:rPr>
        <w:t xml:space="preserve"> </w:t>
      </w:r>
      <w:r w:rsidR="0029463C">
        <w:rPr>
          <w:rFonts w:ascii="Calibri" w:hAnsi="Calibri" w:cs="Calibri"/>
          <w:sz w:val="22"/>
          <w:szCs w:val="22"/>
        </w:rPr>
        <w:t xml:space="preserve">No </w:t>
      </w:r>
      <w:r w:rsidR="00F3256C">
        <w:rPr>
          <w:rFonts w:ascii="Calibri" w:hAnsi="Calibri" w:cs="Calibri"/>
          <w:sz w:val="22"/>
          <w:szCs w:val="22"/>
        </w:rPr>
        <w:t>exercício de 2022, até o 2º trimestre, ocorreu a seguinte baixa:</w:t>
      </w:r>
    </w:p>
    <w:p w14:paraId="14BBE4F3" w14:textId="5D2F4E06" w:rsidR="00F3256C" w:rsidRPr="0029463C" w:rsidRDefault="00F3256C" w:rsidP="00F3256C">
      <w:pPr>
        <w:pStyle w:val="NormalWeb"/>
        <w:numPr>
          <w:ilvl w:val="1"/>
          <w:numId w:val="15"/>
        </w:numPr>
        <w:spacing w:before="0" w:beforeAutospacing="0" w:after="120" w:afterAutospacing="0"/>
        <w:jc w:val="both"/>
        <w:rPr>
          <w:rFonts w:ascii="Calibri" w:hAnsi="Calibri" w:cs="Calibri"/>
          <w:sz w:val="22"/>
          <w:szCs w:val="22"/>
        </w:rPr>
      </w:pPr>
      <w:r>
        <w:rPr>
          <w:rFonts w:ascii="Calibri" w:hAnsi="Calibri" w:cs="Calibri"/>
          <w:sz w:val="22"/>
          <w:szCs w:val="22"/>
        </w:rPr>
        <w:lastRenderedPageBreak/>
        <w:t>B</w:t>
      </w:r>
      <w:r w:rsidRPr="00F3256C">
        <w:rPr>
          <w:rFonts w:ascii="Calibri" w:hAnsi="Calibri" w:cs="Calibri"/>
          <w:sz w:val="22"/>
          <w:szCs w:val="22"/>
        </w:rPr>
        <w:t>aixa de R$ 165</w:t>
      </w:r>
      <w:r>
        <w:rPr>
          <w:rFonts w:ascii="Calibri" w:hAnsi="Calibri" w:cs="Calibri"/>
          <w:sz w:val="22"/>
          <w:szCs w:val="22"/>
        </w:rPr>
        <w:t xml:space="preserve"> mil</w:t>
      </w:r>
      <w:r w:rsidRPr="00F3256C">
        <w:rPr>
          <w:rFonts w:ascii="Calibri" w:hAnsi="Calibri" w:cs="Calibri"/>
          <w:sz w:val="22"/>
          <w:szCs w:val="22"/>
        </w:rPr>
        <w:t xml:space="preserve"> na conta de Salas e Escritórios, devido a devolução de área ocupada pela VALEC à Companhia Imobiliária do Estado de TO conforme Processo 51402.040909/2013-31. O bem baixado já se encontrava totalmente depreciado</w:t>
      </w:r>
      <w:r>
        <w:rPr>
          <w:rFonts w:ascii="Calibri" w:hAnsi="Calibri" w:cs="Calibri"/>
          <w:sz w:val="22"/>
          <w:szCs w:val="22"/>
        </w:rPr>
        <w:t>.</w:t>
      </w:r>
    </w:p>
    <w:p w14:paraId="3E4EECA1" w14:textId="5B83FAE7" w:rsidR="00251F5E" w:rsidRDefault="004C3C18" w:rsidP="0029463C">
      <w:pPr>
        <w:pStyle w:val="Corpodetexto"/>
        <w:numPr>
          <w:ilvl w:val="0"/>
          <w:numId w:val="15"/>
        </w:numPr>
        <w:spacing w:after="120" w:line="240" w:lineRule="auto"/>
        <w:rPr>
          <w:rFonts w:ascii="Calibri" w:hAnsi="Calibri" w:cs="Calibri"/>
          <w:sz w:val="22"/>
          <w:szCs w:val="22"/>
        </w:rPr>
      </w:pPr>
      <w:r w:rsidRPr="002E2B5B">
        <w:rPr>
          <w:rFonts w:ascii="Calibri" w:hAnsi="Calibri" w:cs="Calibri"/>
          <w:sz w:val="22"/>
          <w:szCs w:val="22"/>
        </w:rPr>
        <w:t>A coluna “transferências” da Tabela que apresenta o fluxo de movimentação do Imobilizado representa os saldos que são transferidos a outras rubricas</w:t>
      </w:r>
      <w:r w:rsidR="00FF7932" w:rsidRPr="002E2B5B">
        <w:rPr>
          <w:rFonts w:ascii="Calibri" w:hAnsi="Calibri" w:cs="Calibri"/>
          <w:sz w:val="22"/>
          <w:szCs w:val="22"/>
        </w:rPr>
        <w:t xml:space="preserve"> do Imobilizado</w:t>
      </w:r>
      <w:r w:rsidRPr="002E2B5B">
        <w:rPr>
          <w:rFonts w:ascii="Calibri" w:hAnsi="Calibri" w:cs="Calibri"/>
          <w:sz w:val="22"/>
          <w:szCs w:val="22"/>
        </w:rPr>
        <w:t xml:space="preserve">, em geral por motivo de subconcessão de trechos da Ferrovia ou por encerramento dos respectivos contratos. </w:t>
      </w:r>
      <w:r w:rsidR="00F3256C" w:rsidRPr="00F3256C">
        <w:rPr>
          <w:rFonts w:ascii="Calibri" w:hAnsi="Calibri" w:cs="Calibri"/>
          <w:sz w:val="22"/>
          <w:szCs w:val="22"/>
        </w:rPr>
        <w:t>No exercício de 2022, até o 2º trimestre,</w:t>
      </w:r>
      <w:r w:rsidR="00F3256C">
        <w:rPr>
          <w:rFonts w:ascii="Calibri" w:hAnsi="Calibri" w:cs="Calibri"/>
          <w:sz w:val="22"/>
          <w:szCs w:val="22"/>
        </w:rPr>
        <w:t xml:space="preserve"> </w:t>
      </w:r>
      <w:r w:rsidR="00CA77AB">
        <w:rPr>
          <w:rFonts w:ascii="Calibri" w:hAnsi="Calibri" w:cs="Calibri"/>
          <w:sz w:val="22"/>
          <w:szCs w:val="22"/>
        </w:rPr>
        <w:t xml:space="preserve">foi realizada a seguinte </w:t>
      </w:r>
      <w:r w:rsidR="00CA77AB" w:rsidRPr="00CA77AB">
        <w:rPr>
          <w:rFonts w:ascii="Calibri" w:hAnsi="Calibri" w:cs="Calibri"/>
          <w:sz w:val="22"/>
          <w:szCs w:val="22"/>
        </w:rPr>
        <w:t>transferência entre contas do ativo imobilizado:</w:t>
      </w:r>
    </w:p>
    <w:p w14:paraId="713D5FB6" w14:textId="3DBDF21A" w:rsidR="00CA77AB" w:rsidRPr="0029463C" w:rsidRDefault="00CA77AB" w:rsidP="00CA77AB">
      <w:pPr>
        <w:pStyle w:val="Corpodetexto"/>
        <w:numPr>
          <w:ilvl w:val="1"/>
          <w:numId w:val="15"/>
        </w:numPr>
        <w:spacing w:after="120" w:line="240" w:lineRule="auto"/>
        <w:rPr>
          <w:rFonts w:ascii="Calibri" w:hAnsi="Calibri" w:cs="Calibri"/>
          <w:sz w:val="22"/>
          <w:szCs w:val="22"/>
        </w:rPr>
      </w:pPr>
      <w:r w:rsidRPr="00CA77AB">
        <w:rPr>
          <w:rFonts w:ascii="Calibri" w:hAnsi="Calibri" w:cs="Calibri"/>
          <w:sz w:val="22"/>
          <w:szCs w:val="22"/>
        </w:rPr>
        <w:t>Foi transferido da conta Implantação – Ferrovias o valor de R$ 484</w:t>
      </w:r>
      <w:r>
        <w:rPr>
          <w:rFonts w:ascii="Calibri" w:hAnsi="Calibri" w:cs="Calibri"/>
          <w:sz w:val="22"/>
          <w:szCs w:val="22"/>
        </w:rPr>
        <w:t xml:space="preserve"> mil</w:t>
      </w:r>
      <w:r w:rsidRPr="00CA77AB">
        <w:rPr>
          <w:rFonts w:ascii="Calibri" w:hAnsi="Calibri" w:cs="Calibri"/>
          <w:sz w:val="22"/>
          <w:szCs w:val="22"/>
        </w:rPr>
        <w:t>, sendo R$ 170 para a conta Equipamentos de TI e Comunicação, R$ 361</w:t>
      </w:r>
      <w:r>
        <w:rPr>
          <w:rFonts w:ascii="Calibri" w:hAnsi="Calibri" w:cs="Calibri"/>
          <w:sz w:val="22"/>
          <w:szCs w:val="22"/>
        </w:rPr>
        <w:t xml:space="preserve"> mil</w:t>
      </w:r>
      <w:r w:rsidRPr="00CA77AB">
        <w:rPr>
          <w:rFonts w:ascii="Calibri" w:hAnsi="Calibri" w:cs="Calibri"/>
          <w:sz w:val="22"/>
          <w:szCs w:val="22"/>
        </w:rPr>
        <w:t xml:space="preserve"> para a conta Mobiliário em Geral e R$ 123</w:t>
      </w:r>
      <w:r>
        <w:rPr>
          <w:rFonts w:ascii="Calibri" w:hAnsi="Calibri" w:cs="Calibri"/>
          <w:sz w:val="22"/>
          <w:szCs w:val="22"/>
        </w:rPr>
        <w:t xml:space="preserve"> mil</w:t>
      </w:r>
      <w:r w:rsidRPr="00CA77AB">
        <w:rPr>
          <w:rFonts w:ascii="Calibri" w:hAnsi="Calibri" w:cs="Calibri"/>
          <w:sz w:val="22"/>
          <w:szCs w:val="22"/>
        </w:rPr>
        <w:t xml:space="preserve"> para a conta Utensílios de Escritório, devido ao recebimento e tombamento dos referidos bens localizados no canteiro de obras de São Desidério/BA conforme Processo SEI 51402.104642/2021-28.</w:t>
      </w:r>
    </w:p>
    <w:p w14:paraId="5C05E4EF" w14:textId="257AA22A" w:rsidR="00B7580D" w:rsidRPr="00874E8F" w:rsidRDefault="00AB04E1" w:rsidP="00937ED9">
      <w:pPr>
        <w:pStyle w:val="Corpodetexto"/>
        <w:numPr>
          <w:ilvl w:val="0"/>
          <w:numId w:val="15"/>
        </w:numPr>
        <w:spacing w:after="120" w:line="240" w:lineRule="auto"/>
        <w:ind w:right="57"/>
        <w:rPr>
          <w:rFonts w:ascii="Calibri" w:hAnsi="Calibri" w:cs="Calibri"/>
          <w:sz w:val="22"/>
          <w:szCs w:val="22"/>
        </w:rPr>
      </w:pPr>
      <w:bookmarkStart w:id="4" w:name="_Hlk34328563"/>
      <w:r w:rsidRPr="002E2B5B">
        <w:rPr>
          <w:rFonts w:ascii="Calibri" w:hAnsi="Calibri" w:cs="Calibri"/>
          <w:sz w:val="22"/>
          <w:szCs w:val="22"/>
        </w:rPr>
        <w:t>Os Ativos de Concessão – Bens Móveis, no valor de R$ 5</w:t>
      </w:r>
      <w:r w:rsidR="00874E8F">
        <w:rPr>
          <w:rFonts w:ascii="Calibri" w:hAnsi="Calibri" w:cs="Calibri"/>
          <w:sz w:val="22"/>
          <w:szCs w:val="22"/>
        </w:rPr>
        <w:t>,5 mil</w:t>
      </w:r>
      <w:r w:rsidR="00605D1B">
        <w:rPr>
          <w:rFonts w:ascii="Calibri" w:hAnsi="Calibri" w:cs="Calibri"/>
          <w:sz w:val="22"/>
          <w:szCs w:val="22"/>
        </w:rPr>
        <w:t>h</w:t>
      </w:r>
      <w:r w:rsidR="00874E8F">
        <w:rPr>
          <w:rFonts w:ascii="Calibri" w:hAnsi="Calibri" w:cs="Calibri"/>
          <w:sz w:val="22"/>
          <w:szCs w:val="22"/>
        </w:rPr>
        <w:t>ões</w:t>
      </w:r>
      <w:r w:rsidRPr="002E2B5B">
        <w:rPr>
          <w:rFonts w:ascii="Calibri" w:hAnsi="Calibri" w:cs="Calibri"/>
          <w:sz w:val="22"/>
          <w:szCs w:val="22"/>
        </w:rPr>
        <w:t>, e os  Ativos de Concessão – Bens Imóveis, no valor de R$ 9</w:t>
      </w:r>
      <w:r w:rsidR="00874E8F">
        <w:rPr>
          <w:rFonts w:ascii="Calibri" w:hAnsi="Calibri" w:cs="Calibri"/>
          <w:sz w:val="22"/>
          <w:szCs w:val="22"/>
        </w:rPr>
        <w:t xml:space="preserve"> milhões</w:t>
      </w:r>
      <w:r w:rsidRPr="002E2B5B">
        <w:rPr>
          <w:rFonts w:ascii="Calibri" w:hAnsi="Calibri" w:cs="Calibri"/>
          <w:sz w:val="22"/>
          <w:szCs w:val="22"/>
        </w:rPr>
        <w:t xml:space="preserve"> são provindos do tombamento dos bens do pátio de Transbordo de Porto Franco/MA referente ao Contrato nº 001/2002 celebrado entre a VALEC e a Multigrain S/A, o qual foi rescindido pelo Termo de Rescisão Contratual amigável datado de 26 de fevereiro de 2019, conforme Processo Administrativo nº 51402.205501/2018-26, em que a Multigrain cede de forma não onerosa à VALEC as benfeitorias que </w:t>
      </w:r>
      <w:r w:rsidRPr="00874E8F">
        <w:rPr>
          <w:rFonts w:ascii="Calibri" w:hAnsi="Calibri" w:cs="Calibri"/>
          <w:sz w:val="22"/>
          <w:szCs w:val="22"/>
        </w:rPr>
        <w:t>compõem o Pátio de Porto Franco</w:t>
      </w:r>
      <w:bookmarkEnd w:id="4"/>
      <w:r w:rsidR="00B7580D" w:rsidRPr="00874E8F">
        <w:rPr>
          <w:rFonts w:ascii="Calibri" w:hAnsi="Calibri" w:cs="Calibri"/>
          <w:sz w:val="22"/>
          <w:szCs w:val="22"/>
        </w:rPr>
        <w:t>;</w:t>
      </w:r>
      <w:r w:rsidR="00B87A63" w:rsidRPr="00874E8F">
        <w:rPr>
          <w:rFonts w:ascii="Calibri" w:hAnsi="Calibri" w:cs="Calibri"/>
          <w:sz w:val="22"/>
          <w:szCs w:val="22"/>
        </w:rPr>
        <w:t xml:space="preserve"> e</w:t>
      </w:r>
    </w:p>
    <w:p w14:paraId="692C8F98" w14:textId="0F4198F2" w:rsidR="00AB04E1" w:rsidRDefault="00AB04E1" w:rsidP="00937ED9">
      <w:pPr>
        <w:pStyle w:val="Corpodetexto"/>
        <w:numPr>
          <w:ilvl w:val="0"/>
          <w:numId w:val="15"/>
        </w:numPr>
        <w:spacing w:after="120" w:line="240" w:lineRule="auto"/>
        <w:ind w:right="57"/>
        <w:rPr>
          <w:rFonts w:ascii="Calibri" w:hAnsi="Calibri" w:cs="Calibri"/>
          <w:sz w:val="22"/>
          <w:szCs w:val="22"/>
        </w:rPr>
      </w:pPr>
      <w:r w:rsidRPr="00874E8F">
        <w:rPr>
          <w:rFonts w:ascii="Calibri" w:hAnsi="Calibri" w:cs="Calibri"/>
          <w:sz w:val="22"/>
          <w:szCs w:val="22"/>
        </w:rPr>
        <w:t xml:space="preserve"> </w:t>
      </w:r>
      <w:r w:rsidR="00B7580D" w:rsidRPr="00874E8F">
        <w:rPr>
          <w:rFonts w:ascii="Calibri" w:hAnsi="Calibri" w:cs="Calibri"/>
          <w:sz w:val="22"/>
          <w:szCs w:val="22"/>
        </w:rPr>
        <w:t xml:space="preserve">Por meio do Laudo de Avaliação nº </w:t>
      </w:r>
      <w:r w:rsidR="007A192A">
        <w:rPr>
          <w:rFonts w:ascii="Calibri" w:hAnsi="Calibri" w:cs="Calibri"/>
          <w:color w:val="000000"/>
          <w:sz w:val="22"/>
          <w:szCs w:val="22"/>
        </w:rPr>
        <w:t>6/2021/GEPAT/SUADM/DIRAF-VALEC</w:t>
      </w:r>
      <w:r w:rsidR="00B7580D" w:rsidRPr="00874E8F">
        <w:rPr>
          <w:rFonts w:ascii="Calibri" w:hAnsi="Calibri" w:cs="Calibri"/>
          <w:sz w:val="22"/>
          <w:szCs w:val="22"/>
        </w:rPr>
        <w:t xml:space="preserve">, emitido em </w:t>
      </w:r>
      <w:r w:rsidR="007A192A">
        <w:rPr>
          <w:rFonts w:ascii="Calibri" w:hAnsi="Calibri" w:cs="Calibri"/>
          <w:sz w:val="22"/>
          <w:szCs w:val="22"/>
        </w:rPr>
        <w:t>21</w:t>
      </w:r>
      <w:r w:rsidR="00B7580D" w:rsidRPr="00874E8F">
        <w:rPr>
          <w:rFonts w:ascii="Calibri" w:hAnsi="Calibri" w:cs="Calibri"/>
          <w:sz w:val="22"/>
          <w:szCs w:val="22"/>
        </w:rPr>
        <w:t xml:space="preserve"> de </w:t>
      </w:r>
      <w:r w:rsidR="007A192A">
        <w:rPr>
          <w:rFonts w:ascii="Calibri" w:hAnsi="Calibri" w:cs="Calibri"/>
          <w:sz w:val="22"/>
          <w:szCs w:val="22"/>
        </w:rPr>
        <w:t>dezembr</w:t>
      </w:r>
      <w:r w:rsidR="00B7580D" w:rsidRPr="00874E8F">
        <w:rPr>
          <w:rFonts w:ascii="Calibri" w:hAnsi="Calibri" w:cs="Calibri"/>
          <w:sz w:val="22"/>
          <w:szCs w:val="22"/>
        </w:rPr>
        <w:t>o de 2021, a Gerência de Patrimônio certifica que todos os bens patrimoniais contabilizados, com exceção dos provisionados por redução ao valor recuperável, estão em condições de funcionamento. Informa, ainda, que não há indicativo de perda sobre os bens patrimoniais, portanto, não se verificou a necessidade de teste de recuperabilidade dos bens móveis, bem como dos Ativos de Concessão relacionados ao Pátio de Porto Franco</w:t>
      </w:r>
      <w:r w:rsidR="00F857D2" w:rsidRPr="00874E8F">
        <w:rPr>
          <w:rFonts w:ascii="Calibri" w:hAnsi="Calibri" w:cs="Calibri"/>
          <w:sz w:val="22"/>
          <w:szCs w:val="22"/>
        </w:rPr>
        <w:t>.</w:t>
      </w:r>
    </w:p>
    <w:p w14:paraId="7046FDA3" w14:textId="77777777" w:rsidR="00D54B55" w:rsidRPr="002E2B5B" w:rsidRDefault="00CC7E45" w:rsidP="00937ED9">
      <w:pPr>
        <w:pStyle w:val="NormalWeb"/>
        <w:spacing w:before="0" w:beforeAutospacing="0" w:after="120" w:afterAutospacing="0"/>
        <w:jc w:val="both"/>
        <w:rPr>
          <w:rFonts w:ascii="Calibri" w:hAnsi="Calibri" w:cs="Calibri"/>
          <w:b/>
          <w:bCs/>
          <w:sz w:val="22"/>
          <w:szCs w:val="22"/>
        </w:rPr>
      </w:pPr>
      <w:r w:rsidRPr="00874E8F">
        <w:rPr>
          <w:rFonts w:ascii="Calibri" w:hAnsi="Calibri" w:cs="Calibri"/>
          <w:b/>
          <w:bCs/>
          <w:sz w:val="22"/>
          <w:szCs w:val="22"/>
        </w:rPr>
        <w:t xml:space="preserve">II </w:t>
      </w:r>
      <w:r w:rsidR="00D54B55" w:rsidRPr="00874E8F">
        <w:rPr>
          <w:rFonts w:ascii="Calibri" w:hAnsi="Calibri" w:cs="Calibri"/>
          <w:b/>
          <w:bCs/>
          <w:sz w:val="22"/>
          <w:szCs w:val="22"/>
        </w:rPr>
        <w:t>–</w:t>
      </w:r>
      <w:r w:rsidRPr="00874E8F">
        <w:rPr>
          <w:rFonts w:ascii="Calibri" w:hAnsi="Calibri" w:cs="Calibri"/>
          <w:b/>
          <w:bCs/>
          <w:sz w:val="22"/>
          <w:szCs w:val="22"/>
        </w:rPr>
        <w:t xml:space="preserve"> FERROVIA</w:t>
      </w:r>
      <w:r w:rsidR="00F7094D" w:rsidRPr="00874E8F">
        <w:rPr>
          <w:rFonts w:ascii="Calibri" w:hAnsi="Calibri" w:cs="Calibri"/>
          <w:b/>
          <w:bCs/>
          <w:sz w:val="22"/>
          <w:szCs w:val="22"/>
        </w:rPr>
        <w:t xml:space="preserve"> NORTE SUL</w:t>
      </w:r>
      <w:r w:rsidR="000C1923" w:rsidRPr="00874E8F">
        <w:rPr>
          <w:rFonts w:ascii="Calibri" w:hAnsi="Calibri" w:cs="Calibri"/>
          <w:b/>
          <w:bCs/>
          <w:sz w:val="22"/>
          <w:szCs w:val="22"/>
        </w:rPr>
        <w:t xml:space="preserve"> (FNS)</w:t>
      </w:r>
    </w:p>
    <w:p w14:paraId="791B981E" w14:textId="52B90F0A" w:rsidR="009165D8" w:rsidRPr="002E2B5B" w:rsidRDefault="005938E4" w:rsidP="00937ED9">
      <w:pPr>
        <w:pStyle w:val="NormalWeb"/>
        <w:spacing w:before="0" w:beforeAutospacing="0" w:after="120" w:afterAutospacing="0"/>
        <w:jc w:val="both"/>
        <w:rPr>
          <w:rFonts w:ascii="Calibri" w:hAnsi="Calibri" w:cs="Calibri"/>
          <w:sz w:val="22"/>
          <w:szCs w:val="22"/>
        </w:rPr>
      </w:pPr>
      <w:r w:rsidRPr="002E2B5B">
        <w:rPr>
          <w:rFonts w:ascii="Calibri" w:hAnsi="Calibri" w:cs="Calibri"/>
          <w:sz w:val="22"/>
          <w:szCs w:val="22"/>
        </w:rPr>
        <w:t>A</w:t>
      </w:r>
      <w:r w:rsidR="00400A96" w:rsidRPr="002E2B5B">
        <w:rPr>
          <w:rFonts w:ascii="Calibri" w:hAnsi="Calibri" w:cs="Calibri"/>
          <w:sz w:val="22"/>
          <w:szCs w:val="22"/>
        </w:rPr>
        <w:t xml:space="preserve"> VALEC </w:t>
      </w:r>
      <w:proofErr w:type="spellStart"/>
      <w:r w:rsidR="00400A96" w:rsidRPr="002E2B5B">
        <w:rPr>
          <w:rFonts w:ascii="Calibri" w:hAnsi="Calibri" w:cs="Calibri"/>
          <w:sz w:val="22"/>
          <w:szCs w:val="22"/>
        </w:rPr>
        <w:t>subconcedeu</w:t>
      </w:r>
      <w:proofErr w:type="spellEnd"/>
      <w:r w:rsidR="00400A96" w:rsidRPr="002E2B5B">
        <w:rPr>
          <w:rFonts w:ascii="Calibri" w:hAnsi="Calibri" w:cs="Calibri"/>
          <w:sz w:val="22"/>
          <w:szCs w:val="22"/>
        </w:rPr>
        <w:t xml:space="preserve">, em 2007, o trecho da Ferrovia Norte Sul que liga Açailândia/MA a Palmas/TO para a Ferrovia Norte Sul S/A. </w:t>
      </w:r>
      <w:r w:rsidR="00D54B55" w:rsidRPr="002E2B5B">
        <w:rPr>
          <w:rFonts w:ascii="Calibri" w:hAnsi="Calibri" w:cs="Calibri"/>
          <w:sz w:val="22"/>
          <w:szCs w:val="22"/>
        </w:rPr>
        <w:t>De acordo com o Contrato de Subconcessão n° 033/07, de 20 de dezembro de 2007, nos termos do Edital de Licitação n° 001/2006</w:t>
      </w:r>
      <w:r w:rsidR="005D1995" w:rsidRPr="002E2B5B">
        <w:rPr>
          <w:rFonts w:ascii="Calibri" w:hAnsi="Calibri" w:cs="Calibri"/>
          <w:sz w:val="22"/>
          <w:szCs w:val="22"/>
        </w:rPr>
        <w:t>, a</w:t>
      </w:r>
      <w:r w:rsidR="00D54B55" w:rsidRPr="002E2B5B">
        <w:rPr>
          <w:rFonts w:ascii="Calibri" w:hAnsi="Calibri" w:cs="Calibri"/>
          <w:sz w:val="22"/>
          <w:szCs w:val="22"/>
        </w:rPr>
        <w:t xml:space="preserve"> subconcessão</w:t>
      </w:r>
      <w:r w:rsidR="005D1995" w:rsidRPr="002E2B5B">
        <w:rPr>
          <w:rFonts w:ascii="Calibri" w:hAnsi="Calibri" w:cs="Calibri"/>
          <w:sz w:val="22"/>
          <w:szCs w:val="22"/>
        </w:rPr>
        <w:t xml:space="preserve"> foi</w:t>
      </w:r>
      <w:r w:rsidR="00D54B55" w:rsidRPr="002E2B5B">
        <w:rPr>
          <w:rFonts w:ascii="Calibri" w:hAnsi="Calibri" w:cs="Calibri"/>
          <w:sz w:val="22"/>
          <w:szCs w:val="22"/>
        </w:rPr>
        <w:t xml:space="preserve"> assinada por um prazo de 30 anos, previa o pagamento</w:t>
      </w:r>
      <w:r w:rsidR="005D1995" w:rsidRPr="002E2B5B">
        <w:rPr>
          <w:rFonts w:ascii="Calibri" w:hAnsi="Calibri" w:cs="Calibri"/>
          <w:sz w:val="22"/>
          <w:szCs w:val="22"/>
        </w:rPr>
        <w:t xml:space="preserve"> a título de outorga de</w:t>
      </w:r>
      <w:r w:rsidR="00400A96" w:rsidRPr="002E2B5B">
        <w:rPr>
          <w:rFonts w:ascii="Calibri" w:hAnsi="Calibri" w:cs="Calibri"/>
          <w:sz w:val="22"/>
          <w:szCs w:val="22"/>
        </w:rPr>
        <w:t xml:space="preserve"> R$ 1</w:t>
      </w:r>
      <w:r w:rsidR="00322AE4">
        <w:rPr>
          <w:rFonts w:ascii="Calibri" w:hAnsi="Calibri" w:cs="Calibri"/>
          <w:sz w:val="22"/>
          <w:szCs w:val="22"/>
        </w:rPr>
        <w:t>,</w:t>
      </w:r>
      <w:r w:rsidR="00400A96" w:rsidRPr="002E2B5B">
        <w:rPr>
          <w:rFonts w:ascii="Calibri" w:hAnsi="Calibri" w:cs="Calibri"/>
          <w:sz w:val="22"/>
          <w:szCs w:val="22"/>
        </w:rPr>
        <w:t>47</w:t>
      </w:r>
      <w:r w:rsidR="00322AE4">
        <w:rPr>
          <w:rFonts w:ascii="Calibri" w:hAnsi="Calibri" w:cs="Calibri"/>
          <w:sz w:val="22"/>
          <w:szCs w:val="22"/>
        </w:rPr>
        <w:t xml:space="preserve"> bilhão</w:t>
      </w:r>
      <w:r w:rsidR="005D1995" w:rsidRPr="002E2B5B">
        <w:rPr>
          <w:rFonts w:ascii="Calibri" w:hAnsi="Calibri" w:cs="Calibri"/>
          <w:sz w:val="22"/>
          <w:szCs w:val="22"/>
        </w:rPr>
        <w:t>,</w:t>
      </w:r>
      <w:r w:rsidR="00400A96" w:rsidRPr="002E2B5B">
        <w:rPr>
          <w:rFonts w:ascii="Calibri" w:hAnsi="Calibri" w:cs="Calibri"/>
          <w:sz w:val="22"/>
          <w:szCs w:val="22"/>
        </w:rPr>
        <w:t xml:space="preserve"> dividid</w:t>
      </w:r>
      <w:r w:rsidR="005D1995" w:rsidRPr="002E2B5B">
        <w:rPr>
          <w:rFonts w:ascii="Calibri" w:hAnsi="Calibri" w:cs="Calibri"/>
          <w:sz w:val="22"/>
          <w:szCs w:val="22"/>
        </w:rPr>
        <w:t>o</w:t>
      </w:r>
      <w:r w:rsidR="00400A96" w:rsidRPr="002E2B5B">
        <w:rPr>
          <w:rFonts w:ascii="Calibri" w:hAnsi="Calibri" w:cs="Calibri"/>
          <w:sz w:val="22"/>
          <w:szCs w:val="22"/>
        </w:rPr>
        <w:t xml:space="preserve"> em três parcelas corrigidas pelo IGP-DI e juros de 1% ao mês (até maio de 2010), sendo 50% à vista, 25% na entrega do 1º trecho e 25% na entrega do 2º trecho. A primeira parcela foi recebida em dezembro de 2007 no valor de R$ 739</w:t>
      </w:r>
      <w:r w:rsidR="00322AE4">
        <w:rPr>
          <w:rFonts w:ascii="Calibri" w:hAnsi="Calibri" w:cs="Calibri"/>
          <w:sz w:val="22"/>
          <w:szCs w:val="22"/>
        </w:rPr>
        <w:t xml:space="preserve"> milhões</w:t>
      </w:r>
      <w:r w:rsidR="00400A96" w:rsidRPr="002E2B5B">
        <w:rPr>
          <w:rFonts w:ascii="Calibri" w:hAnsi="Calibri" w:cs="Calibri"/>
          <w:sz w:val="22"/>
          <w:szCs w:val="22"/>
        </w:rPr>
        <w:t>, a segunda parcela no valor de R$ 461</w:t>
      </w:r>
      <w:r w:rsidR="00322AE4">
        <w:rPr>
          <w:rFonts w:ascii="Calibri" w:hAnsi="Calibri" w:cs="Calibri"/>
          <w:sz w:val="22"/>
          <w:szCs w:val="22"/>
        </w:rPr>
        <w:t>,8 milhões</w:t>
      </w:r>
      <w:r w:rsidR="00400A96" w:rsidRPr="002E2B5B">
        <w:rPr>
          <w:rFonts w:ascii="Calibri" w:hAnsi="Calibri" w:cs="Calibri"/>
          <w:sz w:val="22"/>
          <w:szCs w:val="22"/>
        </w:rPr>
        <w:t xml:space="preserve"> foi recebida em maio de 2009 e parte da terceira parcela, o valor de R$ 453</w:t>
      </w:r>
      <w:r w:rsidR="00322AE4">
        <w:rPr>
          <w:rFonts w:ascii="Calibri" w:hAnsi="Calibri" w:cs="Calibri"/>
          <w:sz w:val="22"/>
          <w:szCs w:val="22"/>
        </w:rPr>
        <w:t>,5 milhõe</w:t>
      </w:r>
      <w:r w:rsidR="00214011">
        <w:rPr>
          <w:rFonts w:ascii="Calibri" w:hAnsi="Calibri" w:cs="Calibri"/>
          <w:sz w:val="22"/>
          <w:szCs w:val="22"/>
        </w:rPr>
        <w:t>s</w:t>
      </w:r>
      <w:r w:rsidR="00400A96" w:rsidRPr="002E2B5B">
        <w:rPr>
          <w:rFonts w:ascii="Calibri" w:hAnsi="Calibri" w:cs="Calibri"/>
          <w:sz w:val="22"/>
          <w:szCs w:val="22"/>
        </w:rPr>
        <w:t xml:space="preserve">, foi recebida em dezembro de 2010. Conforme 2º Termo Aditivo, assinado em 10 de dezembro de 2010, o pagamento do valor correspondente à 20% da terceira parcela foi condicionado à entrega pela VALEC de obras remanescentes. </w:t>
      </w:r>
      <w:r w:rsidR="005D1995" w:rsidRPr="002E2B5B">
        <w:rPr>
          <w:rFonts w:ascii="Calibri" w:hAnsi="Calibri" w:cs="Calibri"/>
          <w:sz w:val="22"/>
          <w:szCs w:val="22"/>
        </w:rPr>
        <w:t xml:space="preserve">Os recursos recebidos provenientes desta outorga foram repassados </w:t>
      </w:r>
      <w:r w:rsidR="00421830" w:rsidRPr="002E2B5B">
        <w:rPr>
          <w:rFonts w:ascii="Calibri" w:hAnsi="Calibri" w:cs="Calibri"/>
          <w:sz w:val="22"/>
          <w:szCs w:val="22"/>
        </w:rPr>
        <w:t xml:space="preserve">diretamente </w:t>
      </w:r>
      <w:r w:rsidR="005D1995" w:rsidRPr="002E2B5B">
        <w:rPr>
          <w:rFonts w:ascii="Calibri" w:hAnsi="Calibri" w:cs="Calibri"/>
          <w:sz w:val="22"/>
          <w:szCs w:val="22"/>
        </w:rPr>
        <w:t>ao Tesouro Nacional</w:t>
      </w:r>
      <w:r w:rsidR="00421830" w:rsidRPr="002E2B5B">
        <w:rPr>
          <w:rFonts w:ascii="Calibri" w:hAnsi="Calibri" w:cs="Calibri"/>
          <w:sz w:val="22"/>
          <w:szCs w:val="22"/>
        </w:rPr>
        <w:t>.</w:t>
      </w:r>
    </w:p>
    <w:p w14:paraId="015F34B3" w14:textId="2B131DB3" w:rsidR="004C64B8" w:rsidRPr="002E2B5B" w:rsidRDefault="00D54B55" w:rsidP="00937ED9">
      <w:pPr>
        <w:pStyle w:val="NormalWeb"/>
        <w:spacing w:before="0" w:beforeAutospacing="0" w:after="120" w:afterAutospacing="0"/>
        <w:jc w:val="both"/>
        <w:rPr>
          <w:rFonts w:ascii="Calibri" w:hAnsi="Calibri" w:cs="Calibri"/>
          <w:sz w:val="22"/>
          <w:szCs w:val="22"/>
        </w:rPr>
      </w:pPr>
      <w:r w:rsidRPr="002E2B5B">
        <w:rPr>
          <w:rFonts w:ascii="Calibri" w:hAnsi="Calibri" w:cs="Calibri"/>
          <w:sz w:val="22"/>
          <w:szCs w:val="22"/>
        </w:rPr>
        <w:t xml:space="preserve">O trecho da Ferrovia Norte Sul compreendido entre Porto Nacional, no Estado do Tocantins e Estrela D’Oeste, no Estado de São Paulo foi subconcedido à Rumo Malha Central S/A, conforme Contrato de Subconcessão do Edital de Concorrência Internacional nº 002/2018, assinado em 31 de julho de 2019. Esse contrato foi assinado entre a União, representada pela Agência Nacional de Transportes Terrestres - ANTT, a VALEC – Engenharia, Construções e Ferrovias S/A, como interveniente subconcedente e a Rumo Malha Central S/A como subconcessionária. O valor do lance da outorga no leilão foi de R$ 2,7 bilhões. Os direitos creditórios e as receitas provenientes dessa subconcessão serão da Agência Nacional de Transportes Terrestres – ANTT, conforme o artigo 77 da Lei </w:t>
      </w:r>
      <w:r w:rsidR="00214011">
        <w:rPr>
          <w:rFonts w:ascii="Calibri" w:hAnsi="Calibri" w:cs="Calibri"/>
          <w:sz w:val="22"/>
          <w:szCs w:val="22"/>
        </w:rPr>
        <w:t xml:space="preserve">nº </w:t>
      </w:r>
      <w:r w:rsidRPr="002E2B5B">
        <w:rPr>
          <w:rFonts w:ascii="Calibri" w:hAnsi="Calibri" w:cs="Calibri"/>
          <w:sz w:val="22"/>
          <w:szCs w:val="22"/>
        </w:rPr>
        <w:t>10.233, de 05 de junho de 2001, que dispõe sobre a criação da Agência, e estabelece que é receita da ANTT os recursos provenientes dos instrumentos de outorga administrados pela agência.</w:t>
      </w:r>
    </w:p>
    <w:p w14:paraId="4D0F1AD1" w14:textId="510DD994" w:rsidR="00322AE4" w:rsidRDefault="005C2491" w:rsidP="00937ED9">
      <w:pPr>
        <w:pStyle w:val="NormalWeb"/>
        <w:spacing w:before="0" w:beforeAutospacing="0" w:after="120" w:afterAutospacing="0"/>
        <w:jc w:val="both"/>
        <w:rPr>
          <w:rFonts w:ascii="Calibri" w:hAnsi="Calibri" w:cs="Calibri"/>
          <w:sz w:val="22"/>
          <w:szCs w:val="22"/>
        </w:rPr>
      </w:pPr>
      <w:r w:rsidRPr="002E2B5B">
        <w:rPr>
          <w:rFonts w:ascii="Calibri" w:hAnsi="Calibri" w:cs="Calibri"/>
          <w:sz w:val="22"/>
          <w:szCs w:val="22"/>
        </w:rPr>
        <w:t>A</w:t>
      </w:r>
      <w:r w:rsidR="009F46D4" w:rsidRPr="002E2B5B">
        <w:rPr>
          <w:rFonts w:ascii="Calibri" w:hAnsi="Calibri" w:cs="Calibri"/>
          <w:sz w:val="22"/>
          <w:szCs w:val="22"/>
        </w:rPr>
        <w:t xml:space="preserve"> VALEC realizou </w:t>
      </w:r>
      <w:r w:rsidR="004850E5" w:rsidRPr="002E2B5B">
        <w:rPr>
          <w:rFonts w:ascii="Calibri" w:hAnsi="Calibri" w:cs="Calibri"/>
          <w:sz w:val="22"/>
          <w:szCs w:val="22"/>
        </w:rPr>
        <w:t>o teste de recuperabilidade dos ativos relacionados à Ferrovia Norte Sul e, devido à falta benefícios econômicos para a empresa durante o</w:t>
      </w:r>
      <w:r w:rsidRPr="002E2B5B">
        <w:rPr>
          <w:rFonts w:ascii="Calibri" w:hAnsi="Calibri" w:cs="Calibri"/>
          <w:sz w:val="22"/>
          <w:szCs w:val="22"/>
        </w:rPr>
        <w:t>s</w:t>
      </w:r>
      <w:r w:rsidR="004850E5" w:rsidRPr="002E2B5B">
        <w:rPr>
          <w:rFonts w:ascii="Calibri" w:hAnsi="Calibri" w:cs="Calibri"/>
          <w:sz w:val="22"/>
          <w:szCs w:val="22"/>
        </w:rPr>
        <w:t xml:space="preserve"> prazo</w:t>
      </w:r>
      <w:r w:rsidRPr="002E2B5B">
        <w:rPr>
          <w:rFonts w:ascii="Calibri" w:hAnsi="Calibri" w:cs="Calibri"/>
          <w:sz w:val="22"/>
          <w:szCs w:val="22"/>
        </w:rPr>
        <w:t>s</w:t>
      </w:r>
      <w:r w:rsidR="004850E5" w:rsidRPr="002E2B5B">
        <w:rPr>
          <w:rFonts w:ascii="Calibri" w:hAnsi="Calibri" w:cs="Calibri"/>
          <w:sz w:val="22"/>
          <w:szCs w:val="22"/>
        </w:rPr>
        <w:t xml:space="preserve"> contratua</w:t>
      </w:r>
      <w:r w:rsidRPr="002E2B5B">
        <w:rPr>
          <w:rFonts w:ascii="Calibri" w:hAnsi="Calibri" w:cs="Calibri"/>
          <w:sz w:val="22"/>
          <w:szCs w:val="22"/>
        </w:rPr>
        <w:t>is</w:t>
      </w:r>
      <w:r w:rsidR="004850E5" w:rsidRPr="002E2B5B">
        <w:rPr>
          <w:rFonts w:ascii="Calibri" w:hAnsi="Calibri" w:cs="Calibri"/>
          <w:sz w:val="22"/>
          <w:szCs w:val="22"/>
        </w:rPr>
        <w:t xml:space="preserve"> d</w:t>
      </w:r>
      <w:r w:rsidRPr="002E2B5B">
        <w:rPr>
          <w:rFonts w:ascii="Calibri" w:hAnsi="Calibri" w:cs="Calibri"/>
          <w:sz w:val="22"/>
          <w:szCs w:val="22"/>
        </w:rPr>
        <w:t>as</w:t>
      </w:r>
      <w:r w:rsidR="004850E5" w:rsidRPr="002E2B5B">
        <w:rPr>
          <w:rFonts w:ascii="Calibri" w:hAnsi="Calibri" w:cs="Calibri"/>
          <w:sz w:val="22"/>
          <w:szCs w:val="22"/>
        </w:rPr>
        <w:t xml:space="preserve"> subconcess</w:t>
      </w:r>
      <w:r w:rsidRPr="002E2B5B">
        <w:rPr>
          <w:rFonts w:ascii="Calibri" w:hAnsi="Calibri" w:cs="Calibri"/>
          <w:sz w:val="22"/>
          <w:szCs w:val="22"/>
        </w:rPr>
        <w:t>ões</w:t>
      </w:r>
      <w:r w:rsidR="004850E5" w:rsidRPr="002E2B5B">
        <w:rPr>
          <w:rFonts w:ascii="Calibri" w:hAnsi="Calibri" w:cs="Calibri"/>
          <w:sz w:val="22"/>
          <w:szCs w:val="22"/>
        </w:rPr>
        <w:t xml:space="preserve">, reconheceu </w:t>
      </w:r>
      <w:r w:rsidR="009F46D4" w:rsidRPr="002E2B5B">
        <w:rPr>
          <w:rFonts w:ascii="Calibri" w:hAnsi="Calibri" w:cs="Calibri"/>
          <w:sz w:val="22"/>
          <w:szCs w:val="22"/>
        </w:rPr>
        <w:t xml:space="preserve">a </w:t>
      </w:r>
      <w:r w:rsidR="00A3783D" w:rsidRPr="002E2B5B">
        <w:rPr>
          <w:rFonts w:ascii="Calibri" w:hAnsi="Calibri" w:cs="Calibri"/>
          <w:sz w:val="22"/>
          <w:szCs w:val="22"/>
        </w:rPr>
        <w:t>provisão para perda ao valor recuperável dos ativos</w:t>
      </w:r>
      <w:r w:rsidR="009F46D4" w:rsidRPr="002E2B5B">
        <w:rPr>
          <w:rFonts w:ascii="Calibri" w:hAnsi="Calibri" w:cs="Calibri"/>
          <w:sz w:val="22"/>
          <w:szCs w:val="22"/>
        </w:rPr>
        <w:t>.</w:t>
      </w:r>
      <w:r w:rsidR="00C80DC6" w:rsidRPr="002E2B5B">
        <w:rPr>
          <w:rFonts w:ascii="Calibri" w:hAnsi="Calibri" w:cs="Calibri"/>
          <w:sz w:val="22"/>
          <w:szCs w:val="22"/>
        </w:rPr>
        <w:t xml:space="preserve"> </w:t>
      </w:r>
      <w:r w:rsidRPr="002E2B5B">
        <w:rPr>
          <w:rFonts w:ascii="Calibri" w:hAnsi="Calibri" w:cs="Calibri"/>
          <w:sz w:val="22"/>
          <w:szCs w:val="22"/>
        </w:rPr>
        <w:t xml:space="preserve">As provisões foram reconhecidas desde </w:t>
      </w:r>
      <w:r w:rsidR="00C80DC6" w:rsidRPr="002E2B5B">
        <w:rPr>
          <w:rFonts w:ascii="Calibri" w:hAnsi="Calibri" w:cs="Calibri"/>
          <w:sz w:val="22"/>
          <w:szCs w:val="22"/>
        </w:rPr>
        <w:t>o ano 2007</w:t>
      </w:r>
      <w:r w:rsidR="00322AE4">
        <w:rPr>
          <w:rFonts w:ascii="Calibri" w:hAnsi="Calibri" w:cs="Calibri"/>
          <w:sz w:val="22"/>
          <w:szCs w:val="22"/>
        </w:rPr>
        <w:t xml:space="preserve"> </w:t>
      </w:r>
      <w:r w:rsidR="00367905" w:rsidRPr="002E2B5B">
        <w:rPr>
          <w:rFonts w:ascii="Calibri" w:hAnsi="Calibri" w:cs="Calibri"/>
          <w:sz w:val="22"/>
          <w:szCs w:val="22"/>
        </w:rPr>
        <w:t xml:space="preserve">- </w:t>
      </w:r>
      <w:r w:rsidR="00C80DC6" w:rsidRPr="002E2B5B">
        <w:rPr>
          <w:rFonts w:ascii="Calibri" w:hAnsi="Calibri" w:cs="Calibri"/>
          <w:sz w:val="22"/>
          <w:szCs w:val="22"/>
        </w:rPr>
        <w:t>quando ocorreu a primeira subconcessão</w:t>
      </w:r>
      <w:r w:rsidR="00322AE4">
        <w:rPr>
          <w:rFonts w:ascii="Calibri" w:hAnsi="Calibri" w:cs="Calibri"/>
          <w:sz w:val="22"/>
          <w:szCs w:val="22"/>
        </w:rPr>
        <w:t xml:space="preserve"> até a dezembro de 2020. </w:t>
      </w:r>
    </w:p>
    <w:p w14:paraId="1FCCEE5E" w14:textId="555BEB20" w:rsidR="00E42F99" w:rsidRDefault="0029463C" w:rsidP="00937ED9">
      <w:pPr>
        <w:pStyle w:val="NormalWeb"/>
        <w:spacing w:before="0" w:beforeAutospacing="0" w:after="120" w:afterAutospacing="0"/>
        <w:jc w:val="both"/>
        <w:rPr>
          <w:rFonts w:ascii="Calibri" w:hAnsi="Calibri" w:cs="Calibri"/>
          <w:sz w:val="22"/>
          <w:szCs w:val="22"/>
        </w:rPr>
      </w:pPr>
      <w:r>
        <w:rPr>
          <w:rFonts w:ascii="Calibri" w:hAnsi="Calibri" w:cs="Calibri"/>
          <w:sz w:val="22"/>
          <w:szCs w:val="22"/>
        </w:rPr>
        <w:lastRenderedPageBreak/>
        <w:t>N</w:t>
      </w:r>
      <w:r w:rsidR="00322AE4">
        <w:rPr>
          <w:rFonts w:ascii="Calibri" w:hAnsi="Calibri" w:cs="Calibri"/>
          <w:sz w:val="22"/>
          <w:szCs w:val="22"/>
        </w:rPr>
        <w:t>o exercício de 2021,</w:t>
      </w:r>
      <w:r w:rsidR="007A192A">
        <w:rPr>
          <w:rFonts w:ascii="Calibri" w:hAnsi="Calibri" w:cs="Calibri"/>
          <w:sz w:val="22"/>
          <w:szCs w:val="22"/>
        </w:rPr>
        <w:t xml:space="preserve"> o</w:t>
      </w:r>
      <w:r w:rsidR="007A192A" w:rsidRPr="007A192A">
        <w:rPr>
          <w:rFonts w:ascii="Calibri" w:hAnsi="Calibri" w:cs="Calibri"/>
          <w:sz w:val="22"/>
          <w:szCs w:val="22"/>
        </w:rPr>
        <w:t xml:space="preserve"> valor da Redução a valor recuperável, referente aos a</w:t>
      </w:r>
      <w:r w:rsidR="007A192A">
        <w:rPr>
          <w:rFonts w:ascii="Calibri" w:hAnsi="Calibri" w:cs="Calibri"/>
          <w:sz w:val="22"/>
          <w:szCs w:val="22"/>
        </w:rPr>
        <w:t>ti</w:t>
      </w:r>
      <w:r w:rsidR="007A192A" w:rsidRPr="007A192A">
        <w:rPr>
          <w:rFonts w:ascii="Calibri" w:hAnsi="Calibri" w:cs="Calibri"/>
          <w:sz w:val="22"/>
          <w:szCs w:val="22"/>
        </w:rPr>
        <w:t xml:space="preserve">vos relacionados à Ferrovia Norte Sul, foi acrescido em R$ </w:t>
      </w:r>
      <w:r w:rsidR="00E42F99">
        <w:rPr>
          <w:rFonts w:ascii="Calibri" w:hAnsi="Calibri" w:cs="Calibri"/>
          <w:sz w:val="22"/>
          <w:szCs w:val="22"/>
        </w:rPr>
        <w:t>10,2</w:t>
      </w:r>
      <w:r w:rsidR="007A192A">
        <w:rPr>
          <w:rFonts w:ascii="Calibri" w:hAnsi="Calibri" w:cs="Calibri"/>
          <w:sz w:val="22"/>
          <w:szCs w:val="22"/>
        </w:rPr>
        <w:t xml:space="preserve"> milhões</w:t>
      </w:r>
      <w:r w:rsidR="007A192A" w:rsidRPr="007A192A">
        <w:rPr>
          <w:rFonts w:ascii="Calibri" w:hAnsi="Calibri" w:cs="Calibri"/>
          <w:sz w:val="22"/>
          <w:szCs w:val="22"/>
        </w:rPr>
        <w:t xml:space="preserve">, considerando a movimentação referente ao Contrato 022/2018 </w:t>
      </w:r>
      <w:r w:rsidR="00E42F99">
        <w:rPr>
          <w:rFonts w:ascii="Calibri" w:hAnsi="Calibri" w:cs="Calibri"/>
          <w:sz w:val="22"/>
          <w:szCs w:val="22"/>
        </w:rPr>
        <w:t>e a baixa dos contratos encerrados classificados como depósitos retidos de fornecedores</w:t>
      </w:r>
      <w:r w:rsidR="007A192A" w:rsidRPr="007A192A">
        <w:rPr>
          <w:rFonts w:ascii="Calibri" w:hAnsi="Calibri" w:cs="Calibri"/>
          <w:sz w:val="22"/>
          <w:szCs w:val="22"/>
        </w:rPr>
        <w:t xml:space="preserve">. </w:t>
      </w:r>
      <w:r w:rsidR="00322AE4">
        <w:rPr>
          <w:rFonts w:ascii="Calibri" w:hAnsi="Calibri" w:cs="Calibri"/>
          <w:sz w:val="22"/>
          <w:szCs w:val="22"/>
        </w:rPr>
        <w:t xml:space="preserve"> </w:t>
      </w:r>
    </w:p>
    <w:p w14:paraId="42581B78" w14:textId="3EC4347A" w:rsidR="00A717AC" w:rsidRDefault="00A16F6B" w:rsidP="00937ED9">
      <w:pPr>
        <w:pStyle w:val="NormalWeb"/>
        <w:spacing w:before="0" w:beforeAutospacing="0" w:after="120" w:afterAutospacing="0"/>
        <w:jc w:val="both"/>
        <w:rPr>
          <w:rFonts w:ascii="Calibri" w:hAnsi="Calibri" w:cs="Calibri"/>
          <w:sz w:val="22"/>
          <w:szCs w:val="22"/>
        </w:rPr>
      </w:pPr>
      <w:r>
        <w:rPr>
          <w:rFonts w:ascii="Calibri" w:hAnsi="Calibri" w:cs="Calibri"/>
          <w:sz w:val="22"/>
          <w:szCs w:val="22"/>
        </w:rPr>
        <w:t>A</w:t>
      </w:r>
      <w:r w:rsidRPr="00750CA7">
        <w:rPr>
          <w:rFonts w:ascii="Calibri" w:hAnsi="Calibri" w:cs="Calibri"/>
          <w:sz w:val="22"/>
          <w:szCs w:val="22"/>
        </w:rPr>
        <w:t xml:space="preserve"> análise do valor recuperável</w:t>
      </w:r>
      <w:r>
        <w:rPr>
          <w:rFonts w:ascii="Calibri" w:hAnsi="Calibri" w:cs="Calibri"/>
          <w:sz w:val="22"/>
          <w:szCs w:val="22"/>
        </w:rPr>
        <w:t>,</w:t>
      </w:r>
      <w:r w:rsidRPr="00750CA7">
        <w:rPr>
          <w:rFonts w:ascii="Calibri" w:hAnsi="Calibri" w:cs="Calibri"/>
          <w:sz w:val="22"/>
          <w:szCs w:val="22"/>
        </w:rPr>
        <w:t xml:space="preserve"> em consonância com o CPC – 01 (R1) – Redução ao Valor Recuperável de Ativos</w:t>
      </w:r>
      <w:r>
        <w:rPr>
          <w:rFonts w:ascii="Calibri" w:hAnsi="Calibri" w:cs="Calibri"/>
          <w:sz w:val="22"/>
          <w:szCs w:val="22"/>
        </w:rPr>
        <w:t xml:space="preserve">, deve ser realizado anualmente. Sendo assim, a </w:t>
      </w:r>
      <w:r w:rsidRPr="00750CA7">
        <w:rPr>
          <w:rFonts w:ascii="Calibri" w:hAnsi="Calibri" w:cs="Calibri"/>
          <w:sz w:val="22"/>
          <w:szCs w:val="22"/>
        </w:rPr>
        <w:t>provisão de perda ao valor recuperável</w:t>
      </w:r>
      <w:r>
        <w:rPr>
          <w:rFonts w:ascii="Calibri" w:hAnsi="Calibri" w:cs="Calibri"/>
          <w:sz w:val="22"/>
          <w:szCs w:val="22"/>
        </w:rPr>
        <w:t>,</w:t>
      </w:r>
      <w:r w:rsidRPr="00750CA7">
        <w:rPr>
          <w:rFonts w:ascii="Calibri" w:hAnsi="Calibri" w:cs="Calibri"/>
          <w:sz w:val="22"/>
          <w:szCs w:val="22"/>
        </w:rPr>
        <w:t xml:space="preserve"> </w:t>
      </w:r>
      <w:r>
        <w:rPr>
          <w:rFonts w:ascii="Calibri" w:hAnsi="Calibri" w:cs="Calibri"/>
          <w:sz w:val="22"/>
          <w:szCs w:val="22"/>
        </w:rPr>
        <w:t xml:space="preserve">referente à Ferrovia Norte Sul, não teve o seu valor alterado </w:t>
      </w:r>
      <w:r w:rsidR="005B2A4F">
        <w:rPr>
          <w:rFonts w:ascii="Calibri" w:hAnsi="Calibri" w:cs="Calibri"/>
          <w:sz w:val="22"/>
          <w:szCs w:val="22"/>
        </w:rPr>
        <w:t>até o 2</w:t>
      </w:r>
      <w:r>
        <w:rPr>
          <w:rFonts w:ascii="Calibri" w:hAnsi="Calibri" w:cs="Calibri"/>
          <w:sz w:val="22"/>
          <w:szCs w:val="22"/>
        </w:rPr>
        <w:t>º trimestre de 2022, mantendo-se com o saldo de R$ R$ 11,36 bilhões.</w:t>
      </w:r>
    </w:p>
    <w:p w14:paraId="1927C0D6" w14:textId="1D56208B" w:rsidR="00995A6A" w:rsidRDefault="000C1923" w:rsidP="00995A6A">
      <w:pPr>
        <w:pStyle w:val="NormalWeb"/>
        <w:spacing w:before="0" w:beforeAutospacing="0" w:after="120" w:afterAutospacing="0"/>
        <w:jc w:val="both"/>
        <w:rPr>
          <w:rFonts w:ascii="Calibri" w:hAnsi="Calibri" w:cs="Calibri"/>
          <w:b/>
          <w:bCs/>
          <w:sz w:val="22"/>
          <w:szCs w:val="22"/>
        </w:rPr>
      </w:pPr>
      <w:r w:rsidRPr="002E2B5B">
        <w:rPr>
          <w:rFonts w:ascii="Calibri" w:hAnsi="Calibri" w:cs="Calibri"/>
          <w:b/>
          <w:bCs/>
          <w:sz w:val="22"/>
          <w:szCs w:val="22"/>
        </w:rPr>
        <w:t>I</w:t>
      </w:r>
      <w:r w:rsidR="000B56DF" w:rsidRPr="002E2B5B">
        <w:rPr>
          <w:rFonts w:ascii="Calibri" w:hAnsi="Calibri" w:cs="Calibri"/>
          <w:b/>
          <w:bCs/>
          <w:sz w:val="22"/>
          <w:szCs w:val="22"/>
        </w:rPr>
        <w:t>II</w:t>
      </w:r>
      <w:r w:rsidRPr="002E2B5B">
        <w:rPr>
          <w:rFonts w:ascii="Calibri" w:hAnsi="Calibri" w:cs="Calibri"/>
          <w:b/>
          <w:bCs/>
          <w:sz w:val="22"/>
          <w:szCs w:val="22"/>
        </w:rPr>
        <w:t xml:space="preserve"> </w:t>
      </w:r>
      <w:r w:rsidR="000F5E21" w:rsidRPr="002E2B5B">
        <w:rPr>
          <w:rFonts w:ascii="Calibri" w:hAnsi="Calibri" w:cs="Calibri"/>
          <w:b/>
          <w:bCs/>
          <w:sz w:val="22"/>
          <w:szCs w:val="22"/>
        </w:rPr>
        <w:t>– FERROVIA DE INTEGRAÇÃO OESTE LESTE (FIOL)</w:t>
      </w:r>
    </w:p>
    <w:p w14:paraId="18352112" w14:textId="0E7427CE" w:rsidR="005E12AA" w:rsidRPr="00995A6A" w:rsidRDefault="005E12AA" w:rsidP="00995A6A">
      <w:pPr>
        <w:pStyle w:val="NormalWeb"/>
        <w:spacing w:before="0" w:beforeAutospacing="0" w:after="120" w:afterAutospacing="0"/>
        <w:jc w:val="both"/>
        <w:rPr>
          <w:rFonts w:ascii="Calibri" w:hAnsi="Calibri" w:cs="Calibri"/>
          <w:b/>
          <w:bCs/>
          <w:sz w:val="22"/>
          <w:szCs w:val="22"/>
        </w:rPr>
      </w:pPr>
      <w:r w:rsidRPr="005E12AA">
        <w:rPr>
          <w:rFonts w:ascii="Calibri" w:hAnsi="Calibri" w:cs="Calibri"/>
          <w:sz w:val="22"/>
          <w:szCs w:val="22"/>
        </w:rPr>
        <w:t xml:space="preserve">A VALEC </w:t>
      </w:r>
      <w:proofErr w:type="spellStart"/>
      <w:r w:rsidRPr="005E12AA">
        <w:rPr>
          <w:rFonts w:ascii="Calibri" w:hAnsi="Calibri" w:cs="Calibri"/>
          <w:sz w:val="22"/>
          <w:szCs w:val="22"/>
        </w:rPr>
        <w:t>subconcedeu</w:t>
      </w:r>
      <w:proofErr w:type="spellEnd"/>
      <w:r w:rsidRPr="005E12AA">
        <w:rPr>
          <w:rFonts w:ascii="Calibri" w:hAnsi="Calibri" w:cs="Calibri"/>
          <w:sz w:val="22"/>
          <w:szCs w:val="22"/>
        </w:rPr>
        <w:t>, em agosto de 2021, o trecho ferroviário entre os municípios de Ilhéus/BA a Caetité/BA, com 537 km de extensão, denominado FIOL I, no qual a empresa Bahia Mineração S.A sagrou-se vencedora, com um lance de R$ 32,7 milhões, adicionado à receita variável, com base no estudo de viabilidade.</w:t>
      </w:r>
    </w:p>
    <w:p w14:paraId="2C482CAC" w14:textId="06AFB5F4" w:rsidR="005E12AA" w:rsidRPr="005E12AA" w:rsidRDefault="005E12AA" w:rsidP="00937ED9">
      <w:pPr>
        <w:pStyle w:val="Textoembloco"/>
        <w:spacing w:after="120" w:line="240" w:lineRule="auto"/>
        <w:ind w:left="0" w:right="57"/>
        <w:rPr>
          <w:rFonts w:ascii="Calibri" w:hAnsi="Calibri" w:cs="Calibri"/>
          <w:sz w:val="22"/>
          <w:szCs w:val="22"/>
          <w:shd w:val="clear" w:color="auto" w:fill="FFFFFF"/>
        </w:rPr>
      </w:pPr>
      <w:r w:rsidRPr="005E12AA">
        <w:rPr>
          <w:rFonts w:ascii="Calibri" w:hAnsi="Calibri" w:cs="Calibri"/>
          <w:sz w:val="22"/>
          <w:szCs w:val="22"/>
          <w:shd w:val="clear" w:color="auto" w:fill="FFFFFF"/>
        </w:rPr>
        <w:t xml:space="preserve">O Valor Presente de R$ 260 milhões, com data base maio de 2021, das receitas de outorga previstas na concessão da Ferrovia de Integração Oeste Leste (FIOL) – EF-334 - trecho denominado FIOL I, realizada por meio do Edital de Concorrência Internacional n°01/2020, foi calculado pela Superintendência de Negócios da VALEC e evidenciado </w:t>
      </w:r>
      <w:r w:rsidR="00E42F99">
        <w:rPr>
          <w:rFonts w:ascii="Calibri" w:hAnsi="Calibri" w:cs="Calibri"/>
          <w:sz w:val="22"/>
          <w:szCs w:val="22"/>
          <w:shd w:val="clear" w:color="auto" w:fill="FFFFFF"/>
        </w:rPr>
        <w:t>no</w:t>
      </w:r>
      <w:r w:rsidRPr="005E12AA">
        <w:rPr>
          <w:rFonts w:ascii="Calibri" w:hAnsi="Calibri" w:cs="Calibri"/>
          <w:sz w:val="22"/>
          <w:szCs w:val="22"/>
          <w:shd w:val="clear" w:color="auto" w:fill="FFFFFF"/>
        </w:rPr>
        <w:t xml:space="preserve"> Ofício nº 6/2021/SUNEG-VALEC/DINEG-VALEC, em 09 de junho de 2021. </w:t>
      </w:r>
    </w:p>
    <w:p w14:paraId="58D3BF7C" w14:textId="325FC7B6" w:rsidR="005E12AA" w:rsidRDefault="005E12AA" w:rsidP="00937ED9">
      <w:pPr>
        <w:pStyle w:val="Textoembloco"/>
        <w:spacing w:after="120" w:line="240" w:lineRule="auto"/>
        <w:ind w:left="0" w:right="57"/>
        <w:rPr>
          <w:rFonts w:ascii="Calibri" w:hAnsi="Calibri" w:cs="Calibri"/>
          <w:sz w:val="22"/>
          <w:szCs w:val="22"/>
          <w:shd w:val="clear" w:color="auto" w:fill="FFFFFF"/>
        </w:rPr>
      </w:pPr>
      <w:r w:rsidRPr="005E12AA">
        <w:rPr>
          <w:rFonts w:ascii="Calibri" w:hAnsi="Calibri" w:cs="Calibri"/>
          <w:sz w:val="22"/>
          <w:szCs w:val="22"/>
          <w:shd w:val="clear" w:color="auto" w:fill="FFFFFF"/>
        </w:rPr>
        <w:t xml:space="preserve">Para o encerramento do exercício de 2020, aprovado em agosto de 2021, foi realizado o teste de recuperabilidade dos ativos relativos ao trecho ferroviário denominado FIOL I, reconhecendo uma provisão para perda ao valor recuperável de R$ 3,5 bilhões de reais. </w:t>
      </w:r>
    </w:p>
    <w:p w14:paraId="1F7D6C15" w14:textId="77DFA11D" w:rsidR="00E42F99" w:rsidRPr="00E42F99" w:rsidRDefault="0029463C" w:rsidP="00E42F99">
      <w:pPr>
        <w:pStyle w:val="NormalWeb"/>
        <w:spacing w:before="0" w:beforeAutospacing="0" w:after="120" w:afterAutospacing="0"/>
        <w:jc w:val="both"/>
        <w:rPr>
          <w:rFonts w:ascii="Calibri" w:hAnsi="Calibri" w:cs="Calibri"/>
          <w:sz w:val="22"/>
          <w:szCs w:val="22"/>
        </w:rPr>
      </w:pPr>
      <w:r>
        <w:rPr>
          <w:rFonts w:ascii="Calibri" w:hAnsi="Calibri" w:cs="Calibri"/>
          <w:sz w:val="22"/>
          <w:szCs w:val="22"/>
        </w:rPr>
        <w:t>N</w:t>
      </w:r>
      <w:r w:rsidR="00E42F99" w:rsidRPr="007A192A">
        <w:rPr>
          <w:rFonts w:ascii="Calibri" w:hAnsi="Calibri" w:cs="Calibri"/>
          <w:sz w:val="22"/>
          <w:szCs w:val="22"/>
        </w:rPr>
        <w:t>o exercício de 2021, foi efetuado novo cálculo do valor presente, com data base de 30 de novembro de 2021, que resultou no valor de R$ 280 milhões, conforme Processo SEI nº 51402.106812/2021-17. Portanto</w:t>
      </w:r>
      <w:r w:rsidR="00E42F99">
        <w:rPr>
          <w:rFonts w:ascii="Calibri" w:hAnsi="Calibri" w:cs="Calibri"/>
          <w:sz w:val="22"/>
          <w:szCs w:val="22"/>
        </w:rPr>
        <w:t>,</w:t>
      </w:r>
      <w:r w:rsidR="00E42F99" w:rsidRPr="007A192A">
        <w:rPr>
          <w:rFonts w:ascii="Calibri" w:hAnsi="Calibri" w:cs="Calibri"/>
          <w:sz w:val="22"/>
          <w:szCs w:val="22"/>
        </w:rPr>
        <w:t xml:space="preserve"> fez-se necessária a reversão de parte do valor anteriormente provisionado, totalizando R$ 20,77 milhões.</w:t>
      </w:r>
    </w:p>
    <w:p w14:paraId="4B92CA3D" w14:textId="2C898531" w:rsidR="005E12AA" w:rsidRDefault="005E12AA" w:rsidP="00937ED9">
      <w:pPr>
        <w:pStyle w:val="NormalWeb"/>
        <w:spacing w:before="0" w:beforeAutospacing="0" w:after="120" w:afterAutospacing="0"/>
        <w:jc w:val="both"/>
        <w:rPr>
          <w:rFonts w:ascii="Calibri" w:hAnsi="Calibri" w:cs="Calibri"/>
          <w:sz w:val="22"/>
          <w:szCs w:val="22"/>
          <w:shd w:val="clear" w:color="auto" w:fill="FFFFFF"/>
        </w:rPr>
      </w:pPr>
      <w:r w:rsidRPr="005E12AA">
        <w:rPr>
          <w:rFonts w:ascii="Calibri" w:hAnsi="Calibri" w:cs="Calibri"/>
          <w:sz w:val="22"/>
          <w:szCs w:val="22"/>
          <w:shd w:val="clear" w:color="auto" w:fill="FFFFFF"/>
        </w:rPr>
        <w:t>Essa redução patrimonial não altera à continuidade operacional da VALEC, conforme Nota 1, visto ser uma empresa pública dependente da União (única acionista) e das políticas públicas traçadas pelo Ministério da Infraestrutura. Seu planejamento financeiro de longo prazo é vinculado ao planejamento orçamentário, por meio do Plano Plurianual de 2020 – 2023, aprovados nos termos da Lei</w:t>
      </w:r>
      <w:r w:rsidR="00214011">
        <w:rPr>
          <w:rFonts w:ascii="Calibri" w:hAnsi="Calibri" w:cs="Calibri"/>
          <w:sz w:val="22"/>
          <w:szCs w:val="22"/>
          <w:shd w:val="clear" w:color="auto" w:fill="FFFFFF"/>
        </w:rPr>
        <w:t xml:space="preserve"> nº</w:t>
      </w:r>
      <w:r w:rsidRPr="005E12AA">
        <w:rPr>
          <w:rFonts w:ascii="Calibri" w:hAnsi="Calibri" w:cs="Calibri"/>
          <w:sz w:val="22"/>
          <w:szCs w:val="22"/>
          <w:shd w:val="clear" w:color="auto" w:fill="FFFFFF"/>
        </w:rPr>
        <w:t xml:space="preserve"> 13.971, de 13 de dezembro de 2019, e das políticas governamentais.</w:t>
      </w:r>
    </w:p>
    <w:p w14:paraId="413E8DFA" w14:textId="4FDAFD2C" w:rsidR="006E0CFB" w:rsidRDefault="005E12AA" w:rsidP="00937ED9">
      <w:pPr>
        <w:pStyle w:val="PargrafodaLista"/>
        <w:spacing w:after="120"/>
        <w:ind w:left="0"/>
        <w:contextualSpacing/>
        <w:jc w:val="both"/>
        <w:rPr>
          <w:rFonts w:ascii="Calibri" w:hAnsi="Calibri" w:cs="Calibri"/>
          <w:bCs/>
          <w:sz w:val="22"/>
          <w:szCs w:val="22"/>
        </w:rPr>
      </w:pPr>
      <w:r w:rsidRPr="002E2B5B">
        <w:rPr>
          <w:rFonts w:ascii="Calibri" w:hAnsi="Calibri" w:cs="Calibri"/>
          <w:bCs/>
          <w:sz w:val="22"/>
          <w:szCs w:val="22"/>
        </w:rPr>
        <w:t xml:space="preserve">Os ativos relacionados aos trechos da Ferrovia de Integração Oeste Leste, denominados de FIOL II não sofreram teste de recuperabilidade de ativos, por estarem em fase de obras em andamento, sem indícios de perdas. </w:t>
      </w:r>
    </w:p>
    <w:p w14:paraId="78710EAA" w14:textId="7938B058" w:rsidR="00A16F6B" w:rsidRPr="002E2B5B" w:rsidRDefault="00A16F6B" w:rsidP="00A16F6B">
      <w:pPr>
        <w:pStyle w:val="NormalWeb"/>
        <w:spacing w:before="0" w:beforeAutospacing="0" w:after="120" w:afterAutospacing="0"/>
        <w:jc w:val="both"/>
        <w:rPr>
          <w:rFonts w:ascii="Calibri" w:hAnsi="Calibri" w:cs="Calibri"/>
          <w:sz w:val="22"/>
          <w:szCs w:val="22"/>
        </w:rPr>
      </w:pPr>
      <w:r>
        <w:rPr>
          <w:rFonts w:ascii="Calibri" w:hAnsi="Calibri" w:cs="Calibri"/>
          <w:sz w:val="22"/>
          <w:szCs w:val="22"/>
        </w:rPr>
        <w:t>A</w:t>
      </w:r>
      <w:r w:rsidRPr="00750CA7">
        <w:rPr>
          <w:rFonts w:ascii="Calibri" w:hAnsi="Calibri" w:cs="Calibri"/>
          <w:sz w:val="22"/>
          <w:szCs w:val="22"/>
        </w:rPr>
        <w:t xml:space="preserve"> análise do valor recuperável</w:t>
      </w:r>
      <w:r>
        <w:rPr>
          <w:rFonts w:ascii="Calibri" w:hAnsi="Calibri" w:cs="Calibri"/>
          <w:sz w:val="22"/>
          <w:szCs w:val="22"/>
        </w:rPr>
        <w:t>,</w:t>
      </w:r>
      <w:r w:rsidRPr="00750CA7">
        <w:rPr>
          <w:rFonts w:ascii="Calibri" w:hAnsi="Calibri" w:cs="Calibri"/>
          <w:sz w:val="22"/>
          <w:szCs w:val="22"/>
        </w:rPr>
        <w:t xml:space="preserve"> em consonância com o CPC – 01 (R1) – Redução ao Valor Recuperável de Ativos</w:t>
      </w:r>
      <w:r>
        <w:rPr>
          <w:rFonts w:ascii="Calibri" w:hAnsi="Calibri" w:cs="Calibri"/>
          <w:sz w:val="22"/>
          <w:szCs w:val="22"/>
        </w:rPr>
        <w:t xml:space="preserve">, deve ser realizado anualmente. Sendo assim, a </w:t>
      </w:r>
      <w:r w:rsidRPr="00750CA7">
        <w:rPr>
          <w:rFonts w:ascii="Calibri" w:hAnsi="Calibri" w:cs="Calibri"/>
          <w:sz w:val="22"/>
          <w:szCs w:val="22"/>
        </w:rPr>
        <w:t>provisão de perda ao valor recuperável</w:t>
      </w:r>
      <w:r>
        <w:rPr>
          <w:rFonts w:ascii="Calibri" w:hAnsi="Calibri" w:cs="Calibri"/>
          <w:sz w:val="22"/>
          <w:szCs w:val="22"/>
        </w:rPr>
        <w:t>,</w:t>
      </w:r>
      <w:r w:rsidRPr="00750CA7">
        <w:rPr>
          <w:rFonts w:ascii="Calibri" w:hAnsi="Calibri" w:cs="Calibri"/>
          <w:sz w:val="22"/>
          <w:szCs w:val="22"/>
        </w:rPr>
        <w:t xml:space="preserve"> </w:t>
      </w:r>
      <w:r>
        <w:rPr>
          <w:rFonts w:ascii="Calibri" w:hAnsi="Calibri" w:cs="Calibri"/>
          <w:sz w:val="22"/>
          <w:szCs w:val="22"/>
        </w:rPr>
        <w:t xml:space="preserve">referente à FIOL I, não teve o seu valor alterado </w:t>
      </w:r>
      <w:r w:rsidR="005B2A4F">
        <w:rPr>
          <w:rFonts w:ascii="Calibri" w:hAnsi="Calibri" w:cs="Calibri"/>
          <w:sz w:val="22"/>
          <w:szCs w:val="22"/>
        </w:rPr>
        <w:t>até o 2</w:t>
      </w:r>
      <w:r>
        <w:rPr>
          <w:rFonts w:ascii="Calibri" w:hAnsi="Calibri" w:cs="Calibri"/>
          <w:sz w:val="22"/>
          <w:szCs w:val="22"/>
        </w:rPr>
        <w:t>º trimestre de 2022, mantendo-se com o saldo de R$ R$ 3,21 bilhões.</w:t>
      </w:r>
    </w:p>
    <w:p w14:paraId="324E60C8" w14:textId="74439727" w:rsidR="002C7B71" w:rsidRDefault="00C66E97" w:rsidP="00937ED9">
      <w:pPr>
        <w:pStyle w:val="NormalWeb"/>
        <w:spacing w:before="0" w:beforeAutospacing="0" w:after="120" w:afterAutospacing="0"/>
        <w:jc w:val="both"/>
        <w:rPr>
          <w:rFonts w:ascii="Calibri" w:hAnsi="Calibri" w:cs="Calibri"/>
          <w:sz w:val="22"/>
          <w:szCs w:val="22"/>
        </w:rPr>
      </w:pPr>
      <w:r w:rsidRPr="002E2B5B">
        <w:rPr>
          <w:rFonts w:ascii="Calibri" w:hAnsi="Calibri" w:cs="Calibri"/>
          <w:b/>
          <w:bCs/>
          <w:sz w:val="22"/>
          <w:szCs w:val="22"/>
        </w:rPr>
        <w:t>I</w:t>
      </w:r>
      <w:r>
        <w:rPr>
          <w:rFonts w:ascii="Calibri" w:hAnsi="Calibri" w:cs="Calibri"/>
          <w:b/>
          <w:bCs/>
          <w:sz w:val="22"/>
          <w:szCs w:val="22"/>
        </w:rPr>
        <w:t>V</w:t>
      </w:r>
      <w:r w:rsidRPr="002E2B5B">
        <w:rPr>
          <w:rFonts w:ascii="Calibri" w:hAnsi="Calibri" w:cs="Calibri"/>
          <w:b/>
          <w:bCs/>
          <w:sz w:val="22"/>
          <w:szCs w:val="22"/>
        </w:rPr>
        <w:t xml:space="preserve"> –</w:t>
      </w:r>
      <w:r>
        <w:rPr>
          <w:rFonts w:ascii="Calibri" w:hAnsi="Calibri" w:cs="Calibri"/>
          <w:b/>
          <w:bCs/>
          <w:sz w:val="22"/>
          <w:szCs w:val="22"/>
        </w:rPr>
        <w:t xml:space="preserve"> INVESTIMENTO CRUZADO</w:t>
      </w:r>
    </w:p>
    <w:p w14:paraId="6A97B40E" w14:textId="77777777" w:rsidR="007D61C7" w:rsidRPr="008D21F0" w:rsidRDefault="007D61C7" w:rsidP="00937ED9">
      <w:pPr>
        <w:pStyle w:val="NormalWeb"/>
        <w:spacing w:before="0" w:beforeAutospacing="0" w:after="120" w:afterAutospacing="0"/>
        <w:jc w:val="both"/>
        <w:rPr>
          <w:rFonts w:ascii="Calibri" w:hAnsi="Calibri" w:cs="Calibri"/>
          <w:sz w:val="22"/>
          <w:szCs w:val="22"/>
          <w:shd w:val="clear" w:color="auto" w:fill="FFFFFF"/>
        </w:rPr>
      </w:pPr>
      <w:r w:rsidRPr="008D21F0">
        <w:rPr>
          <w:rFonts w:ascii="Calibri" w:hAnsi="Calibri" w:cs="Calibri"/>
          <w:sz w:val="22"/>
          <w:szCs w:val="22"/>
        </w:rPr>
        <w:t>O</w:t>
      </w:r>
      <w:r w:rsidR="00C66E97" w:rsidRPr="008D21F0">
        <w:rPr>
          <w:rFonts w:ascii="Calibri" w:hAnsi="Calibri" w:cs="Calibri"/>
          <w:sz w:val="22"/>
          <w:szCs w:val="22"/>
        </w:rPr>
        <w:t xml:space="preserve"> Anexo 9 do Terceiro Termo Aditivo</w:t>
      </w:r>
      <w:r w:rsidR="00851F2F" w:rsidRPr="008D21F0">
        <w:rPr>
          <w:rFonts w:ascii="Calibri" w:hAnsi="Calibri" w:cs="Calibri"/>
          <w:sz w:val="22"/>
          <w:szCs w:val="22"/>
          <w:shd w:val="clear" w:color="auto" w:fill="FFFFFF"/>
        </w:rPr>
        <w:t xml:space="preserve"> ao contrato de concessão da Estrada de Ferro Vitória a Minas, concedida à VALE S/A</w:t>
      </w:r>
      <w:r w:rsidR="00C66E97" w:rsidRPr="008D21F0">
        <w:rPr>
          <w:rFonts w:ascii="Calibri" w:hAnsi="Calibri" w:cs="Calibri"/>
          <w:sz w:val="22"/>
          <w:szCs w:val="22"/>
        </w:rPr>
        <w:t xml:space="preserve">, </w:t>
      </w:r>
      <w:r w:rsidR="00851F2F" w:rsidRPr="008D21F0">
        <w:rPr>
          <w:rFonts w:ascii="Calibri" w:hAnsi="Calibri" w:cs="Calibri"/>
          <w:sz w:val="22"/>
          <w:szCs w:val="22"/>
          <w:shd w:val="clear" w:color="auto" w:fill="FFFFFF"/>
        </w:rPr>
        <w:t>prevê a renovação antecipada de outorga e descreve</w:t>
      </w:r>
      <w:r w:rsidRPr="008D21F0">
        <w:rPr>
          <w:rFonts w:ascii="Calibri" w:hAnsi="Calibri" w:cs="Calibri"/>
          <w:sz w:val="22"/>
          <w:szCs w:val="22"/>
          <w:shd w:val="clear" w:color="auto" w:fill="FFFFFF"/>
        </w:rPr>
        <w:t xml:space="preserve"> os</w:t>
      </w:r>
      <w:r w:rsidR="00851F2F" w:rsidRPr="008D21F0">
        <w:rPr>
          <w:rFonts w:ascii="Calibri" w:hAnsi="Calibri" w:cs="Calibri"/>
          <w:sz w:val="22"/>
          <w:szCs w:val="22"/>
          <w:shd w:val="clear" w:color="auto" w:fill="FFFFFF"/>
        </w:rPr>
        <w:t xml:space="preserve"> termos que disciplinam as condições de realização das Obrigações de Investimento assumidas pela Concessionária em projetos de titularidade da VALEC</w:t>
      </w:r>
      <w:r w:rsidRPr="008D21F0">
        <w:rPr>
          <w:rFonts w:ascii="Calibri" w:hAnsi="Calibri" w:cs="Calibri"/>
          <w:sz w:val="22"/>
          <w:szCs w:val="22"/>
          <w:shd w:val="clear" w:color="auto" w:fill="FFFFFF"/>
        </w:rPr>
        <w:t>,</w:t>
      </w:r>
      <w:r w:rsidR="00851F2F" w:rsidRPr="008D21F0">
        <w:rPr>
          <w:rFonts w:ascii="Calibri" w:hAnsi="Calibri" w:cs="Calibri"/>
          <w:sz w:val="22"/>
          <w:szCs w:val="22"/>
          <w:shd w:val="clear" w:color="auto" w:fill="FFFFFF"/>
        </w:rPr>
        <w:t xml:space="preserve"> conforme a Lei nº 11.772/2008, envolvendo</w:t>
      </w:r>
      <w:r w:rsidRPr="008D21F0">
        <w:rPr>
          <w:rFonts w:ascii="Calibri" w:hAnsi="Calibri" w:cs="Calibri"/>
          <w:sz w:val="22"/>
          <w:szCs w:val="22"/>
          <w:shd w:val="clear" w:color="auto" w:fill="FFFFFF"/>
        </w:rPr>
        <w:t xml:space="preserve"> a Ferrovia de Integração Oeste Leste (FIOL) e a Ferrovia de Integração Centro-Oeste (FICO):  </w:t>
      </w:r>
    </w:p>
    <w:p w14:paraId="6B3BC145" w14:textId="2F5C818C" w:rsidR="007D61C7" w:rsidRPr="008D21F0" w:rsidRDefault="007D61C7" w:rsidP="007D61C7">
      <w:pPr>
        <w:pStyle w:val="PargrafodaLista"/>
        <w:widowControl w:val="0"/>
        <w:numPr>
          <w:ilvl w:val="0"/>
          <w:numId w:val="44"/>
        </w:numPr>
        <w:spacing w:after="120"/>
        <w:jc w:val="both"/>
        <w:rPr>
          <w:rFonts w:ascii="Calibri" w:hAnsi="Calibri" w:cs="Calibri"/>
          <w:sz w:val="22"/>
          <w:szCs w:val="22"/>
        </w:rPr>
      </w:pPr>
      <w:r w:rsidRPr="008D21F0">
        <w:rPr>
          <w:rFonts w:ascii="Calibri" w:hAnsi="Calibri" w:cs="Calibri"/>
          <w:sz w:val="22"/>
          <w:szCs w:val="22"/>
        </w:rPr>
        <w:t>A implantação da infraestrutura e superestrutura ferroviária de Trecho da Ferrovia de Integração Centro-Oeste (FICO), EF-354, compreendido entre os municípios de Água Boa/MT e Mara Rosa/GO; e</w:t>
      </w:r>
    </w:p>
    <w:p w14:paraId="25D804C5" w14:textId="1C3FD258" w:rsidR="007D61C7" w:rsidRPr="008D21F0" w:rsidRDefault="007D61C7" w:rsidP="007D61C7">
      <w:pPr>
        <w:pStyle w:val="PargrafodaLista"/>
        <w:widowControl w:val="0"/>
        <w:numPr>
          <w:ilvl w:val="0"/>
          <w:numId w:val="44"/>
        </w:numPr>
        <w:spacing w:after="120"/>
        <w:jc w:val="both"/>
        <w:rPr>
          <w:rFonts w:ascii="Calibri" w:hAnsi="Calibri" w:cs="Calibri"/>
          <w:sz w:val="22"/>
          <w:szCs w:val="22"/>
        </w:rPr>
      </w:pPr>
      <w:r w:rsidRPr="008D21F0">
        <w:rPr>
          <w:rFonts w:ascii="Calibri" w:hAnsi="Calibri" w:cs="Calibri"/>
          <w:sz w:val="22"/>
          <w:szCs w:val="22"/>
        </w:rPr>
        <w:t xml:space="preserve">A aquisição de Trilhos e Dormentes a serem incorporados no Projeto de Infraestrutura da Ferrovia Integração Oeste Leste (FIOL), EF – 334. </w:t>
      </w:r>
    </w:p>
    <w:p w14:paraId="32B92C68" w14:textId="0F281236" w:rsidR="002D2F93" w:rsidRPr="008D21F0" w:rsidRDefault="00B77502" w:rsidP="00937ED9">
      <w:pPr>
        <w:pStyle w:val="NormalWeb"/>
        <w:spacing w:before="0" w:beforeAutospacing="0" w:after="120" w:afterAutospacing="0"/>
        <w:jc w:val="both"/>
        <w:rPr>
          <w:rFonts w:ascii="Calibri" w:hAnsi="Calibri" w:cs="Calibri"/>
          <w:sz w:val="22"/>
          <w:szCs w:val="22"/>
        </w:rPr>
      </w:pPr>
      <w:r w:rsidRPr="008D21F0">
        <w:rPr>
          <w:rFonts w:ascii="Calibri" w:hAnsi="Calibri" w:cs="Calibri"/>
          <w:sz w:val="22"/>
          <w:szCs w:val="22"/>
        </w:rPr>
        <w:t>C</w:t>
      </w:r>
      <w:r w:rsidR="00E42F99" w:rsidRPr="008D21F0">
        <w:rPr>
          <w:rFonts w:ascii="Calibri" w:hAnsi="Calibri" w:cs="Calibri"/>
          <w:sz w:val="22"/>
          <w:szCs w:val="22"/>
        </w:rPr>
        <w:t xml:space="preserve">onforme descrito na Nota 1-IV, </w:t>
      </w:r>
      <w:r w:rsidR="00AC0E93">
        <w:rPr>
          <w:rFonts w:ascii="Calibri" w:hAnsi="Calibri" w:cs="Calibri"/>
          <w:sz w:val="22"/>
          <w:szCs w:val="22"/>
        </w:rPr>
        <w:t xml:space="preserve">até </w:t>
      </w:r>
      <w:r w:rsidR="00C66E97" w:rsidRPr="008D21F0">
        <w:rPr>
          <w:rFonts w:ascii="Calibri" w:hAnsi="Calibri" w:cs="Calibri"/>
          <w:sz w:val="22"/>
          <w:szCs w:val="22"/>
        </w:rPr>
        <w:t xml:space="preserve">o </w:t>
      </w:r>
      <w:r w:rsidR="00AC0E93">
        <w:rPr>
          <w:rFonts w:ascii="Calibri" w:hAnsi="Calibri" w:cs="Calibri"/>
          <w:sz w:val="22"/>
          <w:szCs w:val="22"/>
        </w:rPr>
        <w:t>2</w:t>
      </w:r>
      <w:r w:rsidR="0029463C">
        <w:rPr>
          <w:rFonts w:ascii="Calibri" w:hAnsi="Calibri" w:cs="Calibri"/>
          <w:sz w:val="22"/>
          <w:szCs w:val="22"/>
        </w:rPr>
        <w:t>º trimestre de 2</w:t>
      </w:r>
      <w:r w:rsidR="00C66E97" w:rsidRPr="008D21F0">
        <w:rPr>
          <w:rFonts w:ascii="Calibri" w:hAnsi="Calibri" w:cs="Calibri"/>
          <w:sz w:val="22"/>
          <w:szCs w:val="22"/>
        </w:rPr>
        <w:t>02</w:t>
      </w:r>
      <w:r w:rsidR="0029463C">
        <w:rPr>
          <w:rFonts w:ascii="Calibri" w:hAnsi="Calibri" w:cs="Calibri"/>
          <w:sz w:val="22"/>
          <w:szCs w:val="22"/>
        </w:rPr>
        <w:t>2</w:t>
      </w:r>
      <w:r w:rsidR="00C66E97" w:rsidRPr="008D21F0">
        <w:rPr>
          <w:rFonts w:ascii="Calibri" w:hAnsi="Calibri" w:cs="Calibri"/>
          <w:sz w:val="22"/>
          <w:szCs w:val="22"/>
        </w:rPr>
        <w:t xml:space="preserve">, </w:t>
      </w:r>
      <w:r w:rsidR="0029463C">
        <w:rPr>
          <w:rFonts w:ascii="Calibri" w:hAnsi="Calibri" w:cs="Calibri"/>
          <w:sz w:val="22"/>
          <w:szCs w:val="22"/>
        </w:rPr>
        <w:t>o saldo total do</w:t>
      </w:r>
      <w:r w:rsidR="00C66E97" w:rsidRPr="008D21F0">
        <w:rPr>
          <w:rFonts w:ascii="Calibri" w:hAnsi="Calibri" w:cs="Calibri"/>
          <w:sz w:val="22"/>
          <w:szCs w:val="22"/>
        </w:rPr>
        <w:t xml:space="preserve"> Ativo Imobilizado</w:t>
      </w:r>
      <w:r w:rsidR="0029463C">
        <w:rPr>
          <w:rFonts w:ascii="Calibri" w:hAnsi="Calibri" w:cs="Calibri"/>
          <w:sz w:val="22"/>
          <w:szCs w:val="22"/>
        </w:rPr>
        <w:t>,</w:t>
      </w:r>
      <w:r w:rsidR="00C66E97" w:rsidRPr="008D21F0">
        <w:rPr>
          <w:rFonts w:ascii="Calibri" w:hAnsi="Calibri" w:cs="Calibri"/>
          <w:sz w:val="22"/>
          <w:szCs w:val="22"/>
        </w:rPr>
        <w:t xml:space="preserve"> </w:t>
      </w:r>
      <w:r w:rsidR="0029463C" w:rsidRPr="008D21F0">
        <w:rPr>
          <w:rFonts w:ascii="Calibri" w:hAnsi="Calibri" w:cs="Calibri"/>
          <w:sz w:val="22"/>
          <w:szCs w:val="22"/>
        </w:rPr>
        <w:t>no âmbito do Investimento Cruzado</w:t>
      </w:r>
      <w:r w:rsidR="0029463C">
        <w:rPr>
          <w:rFonts w:ascii="Calibri" w:hAnsi="Calibri" w:cs="Calibri"/>
          <w:sz w:val="22"/>
          <w:szCs w:val="22"/>
        </w:rPr>
        <w:t xml:space="preserve"> é de R$ 4</w:t>
      </w:r>
      <w:r w:rsidR="000D56B1">
        <w:rPr>
          <w:rFonts w:ascii="Calibri" w:hAnsi="Calibri" w:cs="Calibri"/>
          <w:sz w:val="22"/>
          <w:szCs w:val="22"/>
        </w:rPr>
        <w:t>58</w:t>
      </w:r>
      <w:r w:rsidR="0029463C">
        <w:rPr>
          <w:rFonts w:ascii="Calibri" w:hAnsi="Calibri" w:cs="Calibri"/>
          <w:sz w:val="22"/>
          <w:szCs w:val="22"/>
        </w:rPr>
        <w:t>,</w:t>
      </w:r>
      <w:r w:rsidR="000D56B1">
        <w:rPr>
          <w:rFonts w:ascii="Calibri" w:hAnsi="Calibri" w:cs="Calibri"/>
          <w:sz w:val="22"/>
          <w:szCs w:val="22"/>
        </w:rPr>
        <w:t>43</w:t>
      </w:r>
      <w:r w:rsidR="0029463C">
        <w:rPr>
          <w:rFonts w:ascii="Calibri" w:hAnsi="Calibri" w:cs="Calibri"/>
          <w:sz w:val="22"/>
          <w:szCs w:val="22"/>
        </w:rPr>
        <w:t xml:space="preserve"> </w:t>
      </w:r>
      <w:r w:rsidR="00C66E97" w:rsidRPr="008D21F0">
        <w:rPr>
          <w:rFonts w:ascii="Calibri" w:hAnsi="Calibri" w:cs="Calibri"/>
          <w:sz w:val="22"/>
          <w:szCs w:val="22"/>
        </w:rPr>
        <w:t>milhões, composto por:</w:t>
      </w:r>
    </w:p>
    <w:tbl>
      <w:tblPr>
        <w:tblW w:w="5000" w:type="pct"/>
        <w:jc w:val="center"/>
        <w:tblCellMar>
          <w:left w:w="70" w:type="dxa"/>
          <w:right w:w="70" w:type="dxa"/>
        </w:tblCellMar>
        <w:tblLook w:val="04A0" w:firstRow="1" w:lastRow="0" w:firstColumn="1" w:lastColumn="0" w:noHBand="0" w:noVBand="1"/>
      </w:tblPr>
      <w:tblGrid>
        <w:gridCol w:w="3094"/>
        <w:gridCol w:w="1298"/>
        <w:gridCol w:w="2280"/>
        <w:gridCol w:w="2173"/>
        <w:gridCol w:w="1622"/>
      </w:tblGrid>
      <w:tr w:rsidR="003830E9" w:rsidRPr="008D21F0" w14:paraId="5F667673" w14:textId="77777777" w:rsidTr="00987B82">
        <w:trPr>
          <w:trHeight w:hRule="exact" w:val="412"/>
          <w:jc w:val="center"/>
        </w:trPr>
        <w:tc>
          <w:tcPr>
            <w:tcW w:w="1478" w:type="pct"/>
            <w:tcBorders>
              <w:top w:val="nil"/>
              <w:left w:val="nil"/>
              <w:bottom w:val="single" w:sz="4" w:space="0" w:color="auto"/>
              <w:right w:val="nil"/>
            </w:tcBorders>
            <w:shd w:val="clear" w:color="auto" w:fill="auto"/>
            <w:noWrap/>
            <w:vAlign w:val="bottom"/>
            <w:hideMark/>
          </w:tcPr>
          <w:p w14:paraId="624CE06B" w14:textId="5F761235" w:rsidR="003830E9" w:rsidRPr="008D21F0" w:rsidRDefault="003830E9" w:rsidP="00937ED9">
            <w:pPr>
              <w:spacing w:after="120"/>
              <w:rPr>
                <w:rFonts w:ascii="Calibri" w:hAnsi="Calibri" w:cs="Calibri"/>
                <w:b/>
                <w:color w:val="000000"/>
                <w:sz w:val="22"/>
                <w:szCs w:val="22"/>
              </w:rPr>
            </w:pPr>
          </w:p>
          <w:p w14:paraId="3A4A6674" w14:textId="77777777" w:rsidR="003830E9" w:rsidRPr="008D21F0" w:rsidRDefault="003830E9" w:rsidP="00937ED9">
            <w:pPr>
              <w:spacing w:after="120"/>
              <w:rPr>
                <w:rFonts w:ascii="Calibri" w:hAnsi="Calibri" w:cs="Calibri"/>
                <w:b/>
                <w:color w:val="000000"/>
                <w:sz w:val="22"/>
                <w:szCs w:val="22"/>
              </w:rPr>
            </w:pPr>
          </w:p>
          <w:p w14:paraId="5349341A" w14:textId="77777777" w:rsidR="003830E9" w:rsidRPr="008D21F0" w:rsidRDefault="003830E9" w:rsidP="00937ED9">
            <w:pPr>
              <w:spacing w:after="120"/>
              <w:rPr>
                <w:rFonts w:ascii="Calibri" w:hAnsi="Calibri" w:cs="Calibri"/>
                <w:b/>
                <w:bCs/>
                <w:color w:val="000000"/>
                <w:sz w:val="16"/>
                <w:szCs w:val="16"/>
              </w:rPr>
            </w:pPr>
            <w:r w:rsidRPr="008D21F0">
              <w:rPr>
                <w:rFonts w:ascii="Calibri" w:hAnsi="Calibri" w:cs="Calibri"/>
                <w:b/>
                <w:bCs/>
                <w:color w:val="000000"/>
                <w:sz w:val="16"/>
                <w:szCs w:val="16"/>
              </w:rPr>
              <w:t>INTANGÍVEL</w:t>
            </w:r>
          </w:p>
        </w:tc>
        <w:tc>
          <w:tcPr>
            <w:tcW w:w="620" w:type="pct"/>
            <w:tcBorders>
              <w:top w:val="nil"/>
              <w:left w:val="nil"/>
              <w:bottom w:val="single" w:sz="4" w:space="0" w:color="auto"/>
              <w:right w:val="nil"/>
            </w:tcBorders>
            <w:shd w:val="clear" w:color="auto" w:fill="auto"/>
            <w:vAlign w:val="bottom"/>
            <w:hideMark/>
          </w:tcPr>
          <w:p w14:paraId="3A60999F" w14:textId="5C91E4DA" w:rsidR="003830E9" w:rsidRPr="008D21F0" w:rsidRDefault="003830E9" w:rsidP="00937ED9">
            <w:pPr>
              <w:spacing w:after="120"/>
              <w:jc w:val="right"/>
              <w:rPr>
                <w:rFonts w:ascii="Calibri" w:hAnsi="Calibri" w:cs="Calibri"/>
                <w:b/>
                <w:bCs/>
                <w:color w:val="000000"/>
                <w:sz w:val="16"/>
                <w:szCs w:val="16"/>
              </w:rPr>
            </w:pPr>
            <w:r w:rsidRPr="008D21F0">
              <w:rPr>
                <w:rFonts w:ascii="Calibri" w:hAnsi="Calibri" w:cs="Calibri"/>
                <w:b/>
                <w:bCs/>
                <w:color w:val="000000"/>
                <w:sz w:val="16"/>
                <w:szCs w:val="16"/>
              </w:rPr>
              <w:t>SALDO EM 31/12/202</w:t>
            </w:r>
            <w:r w:rsidR="0029463C">
              <w:rPr>
                <w:rFonts w:ascii="Calibri" w:hAnsi="Calibri" w:cs="Calibri"/>
                <w:b/>
                <w:bCs/>
                <w:color w:val="000000"/>
                <w:sz w:val="16"/>
                <w:szCs w:val="16"/>
              </w:rPr>
              <w:t>1</w:t>
            </w:r>
          </w:p>
        </w:tc>
        <w:tc>
          <w:tcPr>
            <w:tcW w:w="1089" w:type="pct"/>
            <w:tcBorders>
              <w:top w:val="nil"/>
              <w:left w:val="nil"/>
              <w:bottom w:val="single" w:sz="4" w:space="0" w:color="auto"/>
              <w:right w:val="nil"/>
            </w:tcBorders>
            <w:shd w:val="clear" w:color="auto" w:fill="auto"/>
            <w:vAlign w:val="bottom"/>
            <w:hideMark/>
          </w:tcPr>
          <w:p w14:paraId="26F229E0" w14:textId="77777777" w:rsidR="003830E9" w:rsidRPr="008D21F0" w:rsidRDefault="003830E9" w:rsidP="00937ED9">
            <w:pPr>
              <w:spacing w:after="120"/>
              <w:jc w:val="right"/>
              <w:rPr>
                <w:rFonts w:ascii="Calibri" w:hAnsi="Calibri" w:cs="Calibri"/>
                <w:b/>
                <w:bCs/>
                <w:color w:val="000000"/>
                <w:sz w:val="16"/>
                <w:szCs w:val="16"/>
              </w:rPr>
            </w:pPr>
            <w:r w:rsidRPr="008D21F0">
              <w:rPr>
                <w:rFonts w:ascii="Calibri" w:hAnsi="Calibri" w:cs="Calibri"/>
                <w:b/>
                <w:bCs/>
                <w:color w:val="000000"/>
                <w:sz w:val="16"/>
                <w:szCs w:val="16"/>
              </w:rPr>
              <w:t>ENTRADAS</w:t>
            </w:r>
          </w:p>
        </w:tc>
        <w:tc>
          <w:tcPr>
            <w:tcW w:w="1038" w:type="pct"/>
            <w:tcBorders>
              <w:top w:val="nil"/>
              <w:left w:val="nil"/>
              <w:bottom w:val="single" w:sz="4" w:space="0" w:color="auto"/>
              <w:right w:val="nil"/>
            </w:tcBorders>
            <w:shd w:val="clear" w:color="auto" w:fill="auto"/>
            <w:vAlign w:val="bottom"/>
            <w:hideMark/>
          </w:tcPr>
          <w:p w14:paraId="515809DE" w14:textId="01939C21" w:rsidR="003830E9" w:rsidRPr="008D21F0" w:rsidRDefault="003830E9" w:rsidP="00937ED9">
            <w:pPr>
              <w:spacing w:after="120"/>
              <w:jc w:val="right"/>
              <w:rPr>
                <w:rFonts w:ascii="Calibri" w:hAnsi="Calibri" w:cs="Calibri"/>
                <w:b/>
                <w:bCs/>
                <w:color w:val="000000"/>
                <w:sz w:val="16"/>
                <w:szCs w:val="16"/>
              </w:rPr>
            </w:pPr>
            <w:r w:rsidRPr="008D21F0">
              <w:rPr>
                <w:rFonts w:ascii="Calibri" w:hAnsi="Calibri" w:cs="Calibri"/>
                <w:b/>
                <w:bCs/>
                <w:color w:val="000000"/>
                <w:sz w:val="16"/>
                <w:szCs w:val="16"/>
              </w:rPr>
              <w:t>BAIXAS</w:t>
            </w:r>
          </w:p>
        </w:tc>
        <w:tc>
          <w:tcPr>
            <w:tcW w:w="775" w:type="pct"/>
            <w:tcBorders>
              <w:top w:val="nil"/>
              <w:left w:val="nil"/>
              <w:bottom w:val="single" w:sz="4" w:space="0" w:color="auto"/>
              <w:right w:val="nil"/>
            </w:tcBorders>
            <w:shd w:val="clear" w:color="auto" w:fill="auto"/>
            <w:vAlign w:val="bottom"/>
            <w:hideMark/>
          </w:tcPr>
          <w:p w14:paraId="397F75B2" w14:textId="55113549" w:rsidR="003830E9" w:rsidRPr="008D21F0" w:rsidRDefault="003830E9" w:rsidP="00937ED9">
            <w:pPr>
              <w:spacing w:after="120"/>
              <w:jc w:val="right"/>
              <w:rPr>
                <w:rFonts w:ascii="Calibri" w:hAnsi="Calibri" w:cs="Calibri"/>
                <w:b/>
                <w:bCs/>
                <w:color w:val="000000"/>
                <w:sz w:val="16"/>
                <w:szCs w:val="16"/>
              </w:rPr>
            </w:pPr>
            <w:r w:rsidRPr="008D21F0">
              <w:rPr>
                <w:rFonts w:ascii="Calibri" w:hAnsi="Calibri" w:cs="Calibri"/>
                <w:b/>
                <w:bCs/>
                <w:color w:val="000000"/>
                <w:sz w:val="16"/>
                <w:szCs w:val="16"/>
              </w:rPr>
              <w:t>SALDO EM 3</w:t>
            </w:r>
            <w:r w:rsidR="00AC0E93">
              <w:rPr>
                <w:rFonts w:ascii="Calibri" w:hAnsi="Calibri" w:cs="Calibri"/>
                <w:b/>
                <w:bCs/>
                <w:color w:val="000000"/>
                <w:sz w:val="16"/>
                <w:szCs w:val="16"/>
              </w:rPr>
              <w:t>0</w:t>
            </w:r>
            <w:r w:rsidRPr="008D21F0">
              <w:rPr>
                <w:rFonts w:ascii="Calibri" w:hAnsi="Calibri" w:cs="Calibri"/>
                <w:b/>
                <w:bCs/>
                <w:color w:val="000000"/>
                <w:sz w:val="16"/>
                <w:szCs w:val="16"/>
              </w:rPr>
              <w:t>/</w:t>
            </w:r>
            <w:r w:rsidR="0029463C">
              <w:rPr>
                <w:rFonts w:ascii="Calibri" w:hAnsi="Calibri" w:cs="Calibri"/>
                <w:b/>
                <w:bCs/>
                <w:color w:val="000000"/>
                <w:sz w:val="16"/>
                <w:szCs w:val="16"/>
              </w:rPr>
              <w:t>0</w:t>
            </w:r>
            <w:r w:rsidR="00AC0E93">
              <w:rPr>
                <w:rFonts w:ascii="Calibri" w:hAnsi="Calibri" w:cs="Calibri"/>
                <w:b/>
                <w:bCs/>
                <w:color w:val="000000"/>
                <w:sz w:val="16"/>
                <w:szCs w:val="16"/>
              </w:rPr>
              <w:t>6</w:t>
            </w:r>
            <w:r w:rsidRPr="008D21F0">
              <w:rPr>
                <w:rFonts w:ascii="Calibri" w:hAnsi="Calibri" w:cs="Calibri"/>
                <w:b/>
                <w:bCs/>
                <w:color w:val="000000"/>
                <w:sz w:val="16"/>
                <w:szCs w:val="16"/>
              </w:rPr>
              <w:t>/202</w:t>
            </w:r>
            <w:r w:rsidR="0029463C">
              <w:rPr>
                <w:rFonts w:ascii="Calibri" w:hAnsi="Calibri" w:cs="Calibri"/>
                <w:b/>
                <w:bCs/>
                <w:color w:val="000000"/>
                <w:sz w:val="16"/>
                <w:szCs w:val="16"/>
              </w:rPr>
              <w:t>2</w:t>
            </w:r>
          </w:p>
        </w:tc>
      </w:tr>
      <w:tr w:rsidR="002924F8" w:rsidRPr="008D21F0" w14:paraId="0598F0D0" w14:textId="77777777" w:rsidTr="00987B82">
        <w:trPr>
          <w:trHeight w:hRule="exact" w:val="227"/>
          <w:jc w:val="center"/>
        </w:trPr>
        <w:tc>
          <w:tcPr>
            <w:tcW w:w="1478" w:type="pct"/>
            <w:tcBorders>
              <w:top w:val="nil"/>
              <w:left w:val="nil"/>
              <w:bottom w:val="nil"/>
              <w:right w:val="nil"/>
            </w:tcBorders>
            <w:shd w:val="clear" w:color="auto" w:fill="auto"/>
            <w:noWrap/>
            <w:vAlign w:val="bottom"/>
            <w:hideMark/>
          </w:tcPr>
          <w:p w14:paraId="78DAF650" w14:textId="69F0C8DF" w:rsidR="002924F8" w:rsidRPr="008D21F0" w:rsidRDefault="002924F8" w:rsidP="00937ED9">
            <w:pPr>
              <w:spacing w:after="120"/>
              <w:rPr>
                <w:rFonts w:ascii="Calibri" w:hAnsi="Calibri" w:cs="Calibri"/>
                <w:color w:val="000000"/>
                <w:sz w:val="16"/>
                <w:szCs w:val="16"/>
              </w:rPr>
            </w:pPr>
            <w:r w:rsidRPr="008D21F0">
              <w:rPr>
                <w:rFonts w:ascii="Calibri" w:hAnsi="Calibri" w:cs="Calibri"/>
                <w:color w:val="000000"/>
                <w:sz w:val="16"/>
                <w:szCs w:val="16"/>
              </w:rPr>
              <w:t>Terrenos – FICO</w:t>
            </w:r>
          </w:p>
        </w:tc>
        <w:tc>
          <w:tcPr>
            <w:tcW w:w="620" w:type="pct"/>
            <w:tcBorders>
              <w:top w:val="nil"/>
              <w:left w:val="nil"/>
              <w:bottom w:val="nil"/>
              <w:right w:val="nil"/>
            </w:tcBorders>
            <w:shd w:val="clear" w:color="auto" w:fill="auto"/>
            <w:noWrap/>
            <w:vAlign w:val="bottom"/>
            <w:hideMark/>
          </w:tcPr>
          <w:p w14:paraId="0328416B" w14:textId="5AF5EADB" w:rsidR="002924F8" w:rsidRPr="008D21F0" w:rsidRDefault="0029463C" w:rsidP="00937ED9">
            <w:pPr>
              <w:spacing w:after="120"/>
              <w:jc w:val="right"/>
              <w:rPr>
                <w:rFonts w:ascii="Calibri" w:hAnsi="Calibri" w:cs="Calibri"/>
                <w:color w:val="000000"/>
                <w:sz w:val="16"/>
                <w:szCs w:val="16"/>
              </w:rPr>
            </w:pPr>
            <w:r w:rsidRPr="008D21F0">
              <w:rPr>
                <w:rFonts w:ascii="Calibri" w:hAnsi="Calibri" w:cs="Calibri"/>
                <w:color w:val="000000"/>
                <w:sz w:val="16"/>
                <w:szCs w:val="16"/>
              </w:rPr>
              <w:t>500.247</w:t>
            </w:r>
          </w:p>
        </w:tc>
        <w:tc>
          <w:tcPr>
            <w:tcW w:w="1089" w:type="pct"/>
            <w:tcBorders>
              <w:top w:val="nil"/>
              <w:left w:val="nil"/>
              <w:bottom w:val="nil"/>
              <w:right w:val="nil"/>
            </w:tcBorders>
            <w:shd w:val="clear" w:color="auto" w:fill="auto"/>
            <w:noWrap/>
            <w:vAlign w:val="bottom"/>
            <w:hideMark/>
          </w:tcPr>
          <w:p w14:paraId="3A625E25" w14:textId="6601C411" w:rsidR="002924F8" w:rsidRPr="008D21F0" w:rsidRDefault="002035D2" w:rsidP="00937ED9">
            <w:pPr>
              <w:spacing w:after="120"/>
              <w:jc w:val="right"/>
              <w:rPr>
                <w:rFonts w:ascii="Calibri" w:hAnsi="Calibri" w:cs="Calibri"/>
                <w:color w:val="000000"/>
                <w:sz w:val="16"/>
                <w:szCs w:val="16"/>
              </w:rPr>
            </w:pPr>
            <w:r>
              <w:rPr>
                <w:rFonts w:ascii="Calibri" w:hAnsi="Calibri" w:cs="Calibri"/>
                <w:color w:val="000000"/>
                <w:sz w:val="16"/>
                <w:szCs w:val="16"/>
              </w:rPr>
              <w:t>2.313.290</w:t>
            </w:r>
          </w:p>
        </w:tc>
        <w:tc>
          <w:tcPr>
            <w:tcW w:w="1038" w:type="pct"/>
            <w:tcBorders>
              <w:top w:val="nil"/>
              <w:left w:val="nil"/>
              <w:bottom w:val="nil"/>
              <w:right w:val="nil"/>
            </w:tcBorders>
            <w:shd w:val="clear" w:color="auto" w:fill="auto"/>
            <w:noWrap/>
            <w:vAlign w:val="bottom"/>
            <w:hideMark/>
          </w:tcPr>
          <w:p w14:paraId="4104F8C2" w14:textId="77777777" w:rsidR="002924F8" w:rsidRPr="008D21F0" w:rsidRDefault="002924F8" w:rsidP="00937ED9">
            <w:pPr>
              <w:spacing w:after="120"/>
              <w:jc w:val="right"/>
              <w:rPr>
                <w:rFonts w:ascii="Calibri" w:hAnsi="Calibri" w:cs="Calibri"/>
                <w:color w:val="000000"/>
                <w:sz w:val="16"/>
                <w:szCs w:val="16"/>
              </w:rPr>
            </w:pPr>
            <w:r w:rsidRPr="008D21F0">
              <w:rPr>
                <w:rFonts w:ascii="Calibri" w:hAnsi="Calibri" w:cs="Calibri"/>
                <w:color w:val="000000"/>
                <w:sz w:val="16"/>
                <w:szCs w:val="16"/>
              </w:rPr>
              <w:t>0</w:t>
            </w:r>
          </w:p>
        </w:tc>
        <w:tc>
          <w:tcPr>
            <w:tcW w:w="775" w:type="pct"/>
            <w:tcBorders>
              <w:top w:val="nil"/>
              <w:left w:val="nil"/>
              <w:bottom w:val="nil"/>
              <w:right w:val="nil"/>
            </w:tcBorders>
            <w:shd w:val="clear" w:color="auto" w:fill="auto"/>
            <w:noWrap/>
            <w:vAlign w:val="bottom"/>
            <w:hideMark/>
          </w:tcPr>
          <w:p w14:paraId="76C8079C" w14:textId="2EAD61B2" w:rsidR="002924F8" w:rsidRPr="008D21F0" w:rsidRDefault="002035D2" w:rsidP="00937ED9">
            <w:pPr>
              <w:spacing w:after="120"/>
              <w:jc w:val="right"/>
              <w:rPr>
                <w:rFonts w:ascii="Calibri" w:hAnsi="Calibri" w:cs="Calibri"/>
                <w:color w:val="000000"/>
                <w:sz w:val="16"/>
                <w:szCs w:val="16"/>
              </w:rPr>
            </w:pPr>
            <w:r>
              <w:rPr>
                <w:rFonts w:ascii="Calibri" w:hAnsi="Calibri" w:cs="Calibri"/>
                <w:color w:val="000000"/>
                <w:sz w:val="16"/>
                <w:szCs w:val="16"/>
              </w:rPr>
              <w:t>2.813.537</w:t>
            </w:r>
          </w:p>
        </w:tc>
      </w:tr>
      <w:tr w:rsidR="002924F8" w:rsidRPr="008D21F0" w14:paraId="20807797" w14:textId="77777777" w:rsidTr="00987B82">
        <w:trPr>
          <w:trHeight w:hRule="exact" w:val="227"/>
          <w:jc w:val="center"/>
        </w:trPr>
        <w:tc>
          <w:tcPr>
            <w:tcW w:w="1478" w:type="pct"/>
            <w:tcBorders>
              <w:top w:val="nil"/>
              <w:left w:val="nil"/>
              <w:bottom w:val="nil"/>
              <w:right w:val="nil"/>
            </w:tcBorders>
            <w:shd w:val="clear" w:color="auto" w:fill="auto"/>
            <w:noWrap/>
            <w:vAlign w:val="bottom"/>
            <w:hideMark/>
          </w:tcPr>
          <w:p w14:paraId="575B21EB" w14:textId="2FB9E10C" w:rsidR="002924F8" w:rsidRPr="008D21F0" w:rsidRDefault="002924F8" w:rsidP="00937ED9">
            <w:pPr>
              <w:spacing w:after="120"/>
              <w:rPr>
                <w:rFonts w:ascii="Calibri" w:hAnsi="Calibri" w:cs="Calibri"/>
                <w:color w:val="000000"/>
                <w:sz w:val="16"/>
                <w:szCs w:val="16"/>
              </w:rPr>
            </w:pPr>
            <w:r w:rsidRPr="008D21F0">
              <w:rPr>
                <w:rFonts w:ascii="Calibri" w:hAnsi="Calibri" w:cs="Calibri"/>
                <w:color w:val="000000"/>
                <w:sz w:val="16"/>
                <w:szCs w:val="16"/>
              </w:rPr>
              <w:t>Obras em Andamento - FICO</w:t>
            </w:r>
          </w:p>
        </w:tc>
        <w:tc>
          <w:tcPr>
            <w:tcW w:w="620" w:type="pct"/>
            <w:tcBorders>
              <w:top w:val="nil"/>
              <w:left w:val="nil"/>
              <w:bottom w:val="nil"/>
              <w:right w:val="nil"/>
            </w:tcBorders>
            <w:shd w:val="clear" w:color="auto" w:fill="auto"/>
            <w:noWrap/>
            <w:vAlign w:val="bottom"/>
            <w:hideMark/>
          </w:tcPr>
          <w:p w14:paraId="5E3123B7" w14:textId="6C6B356A" w:rsidR="002924F8" w:rsidRPr="008D21F0" w:rsidRDefault="0029463C" w:rsidP="00937ED9">
            <w:pPr>
              <w:spacing w:after="120"/>
              <w:jc w:val="right"/>
              <w:rPr>
                <w:rFonts w:ascii="Calibri" w:hAnsi="Calibri" w:cs="Calibri"/>
                <w:color w:val="000000"/>
                <w:sz w:val="16"/>
                <w:szCs w:val="16"/>
              </w:rPr>
            </w:pPr>
            <w:r w:rsidRPr="008D21F0">
              <w:rPr>
                <w:rFonts w:ascii="Calibri" w:hAnsi="Calibri" w:cs="Calibri"/>
                <w:color w:val="000000"/>
                <w:sz w:val="16"/>
                <w:szCs w:val="16"/>
              </w:rPr>
              <w:t>5.398.692</w:t>
            </w:r>
          </w:p>
        </w:tc>
        <w:tc>
          <w:tcPr>
            <w:tcW w:w="1089" w:type="pct"/>
            <w:tcBorders>
              <w:top w:val="nil"/>
              <w:left w:val="nil"/>
              <w:bottom w:val="nil"/>
              <w:right w:val="nil"/>
            </w:tcBorders>
            <w:shd w:val="clear" w:color="auto" w:fill="auto"/>
            <w:noWrap/>
            <w:vAlign w:val="bottom"/>
            <w:hideMark/>
          </w:tcPr>
          <w:p w14:paraId="1E33FA2D" w14:textId="07073D7F" w:rsidR="002924F8" w:rsidRPr="008D21F0" w:rsidRDefault="002035D2" w:rsidP="00937ED9">
            <w:pPr>
              <w:spacing w:after="120"/>
              <w:jc w:val="right"/>
              <w:rPr>
                <w:rFonts w:ascii="Calibri" w:hAnsi="Calibri" w:cs="Calibri"/>
                <w:color w:val="000000"/>
                <w:sz w:val="16"/>
                <w:szCs w:val="16"/>
              </w:rPr>
            </w:pPr>
            <w:r>
              <w:rPr>
                <w:rFonts w:ascii="Calibri" w:hAnsi="Calibri" w:cs="Calibri"/>
                <w:color w:val="000000"/>
                <w:sz w:val="16"/>
                <w:szCs w:val="16"/>
              </w:rPr>
              <w:t>37.</w:t>
            </w:r>
            <w:r w:rsidR="000D56B1">
              <w:rPr>
                <w:rFonts w:ascii="Calibri" w:hAnsi="Calibri" w:cs="Calibri"/>
                <w:color w:val="000000"/>
                <w:sz w:val="16"/>
                <w:szCs w:val="16"/>
              </w:rPr>
              <w:t>5</w:t>
            </w:r>
            <w:r>
              <w:rPr>
                <w:rFonts w:ascii="Calibri" w:hAnsi="Calibri" w:cs="Calibri"/>
                <w:color w:val="000000"/>
                <w:sz w:val="16"/>
                <w:szCs w:val="16"/>
              </w:rPr>
              <w:t>0</w:t>
            </w:r>
            <w:r w:rsidR="000D56B1">
              <w:rPr>
                <w:rFonts w:ascii="Calibri" w:hAnsi="Calibri" w:cs="Calibri"/>
                <w:color w:val="000000"/>
                <w:sz w:val="16"/>
                <w:szCs w:val="16"/>
              </w:rPr>
              <w:t>6</w:t>
            </w:r>
            <w:r>
              <w:rPr>
                <w:rFonts w:ascii="Calibri" w:hAnsi="Calibri" w:cs="Calibri"/>
                <w:color w:val="000000"/>
                <w:sz w:val="16"/>
                <w:szCs w:val="16"/>
              </w:rPr>
              <w:t>.</w:t>
            </w:r>
            <w:r w:rsidR="000D56B1">
              <w:rPr>
                <w:rFonts w:ascii="Calibri" w:hAnsi="Calibri" w:cs="Calibri"/>
                <w:color w:val="000000"/>
                <w:sz w:val="16"/>
                <w:szCs w:val="16"/>
              </w:rPr>
              <w:t>502</w:t>
            </w:r>
          </w:p>
        </w:tc>
        <w:tc>
          <w:tcPr>
            <w:tcW w:w="1038" w:type="pct"/>
            <w:tcBorders>
              <w:top w:val="nil"/>
              <w:left w:val="nil"/>
              <w:bottom w:val="nil"/>
              <w:right w:val="nil"/>
            </w:tcBorders>
            <w:shd w:val="clear" w:color="auto" w:fill="auto"/>
            <w:noWrap/>
            <w:vAlign w:val="bottom"/>
            <w:hideMark/>
          </w:tcPr>
          <w:p w14:paraId="714C9CD9" w14:textId="77777777" w:rsidR="002924F8" w:rsidRPr="008D21F0" w:rsidRDefault="002924F8" w:rsidP="00937ED9">
            <w:pPr>
              <w:spacing w:after="120"/>
              <w:jc w:val="right"/>
              <w:rPr>
                <w:rFonts w:ascii="Calibri" w:hAnsi="Calibri" w:cs="Calibri"/>
                <w:color w:val="000000"/>
                <w:sz w:val="16"/>
                <w:szCs w:val="16"/>
              </w:rPr>
            </w:pPr>
            <w:r w:rsidRPr="008D21F0">
              <w:rPr>
                <w:rFonts w:ascii="Calibri" w:hAnsi="Calibri" w:cs="Calibri"/>
                <w:color w:val="000000"/>
                <w:sz w:val="16"/>
                <w:szCs w:val="16"/>
              </w:rPr>
              <w:t>0</w:t>
            </w:r>
          </w:p>
        </w:tc>
        <w:tc>
          <w:tcPr>
            <w:tcW w:w="775" w:type="pct"/>
            <w:tcBorders>
              <w:top w:val="nil"/>
              <w:left w:val="nil"/>
              <w:bottom w:val="nil"/>
              <w:right w:val="nil"/>
            </w:tcBorders>
            <w:shd w:val="clear" w:color="auto" w:fill="auto"/>
            <w:noWrap/>
            <w:vAlign w:val="bottom"/>
            <w:hideMark/>
          </w:tcPr>
          <w:p w14:paraId="232A15B0" w14:textId="2B392CFA" w:rsidR="002924F8" w:rsidRPr="008D21F0" w:rsidRDefault="002035D2" w:rsidP="00937ED9">
            <w:pPr>
              <w:spacing w:after="120"/>
              <w:jc w:val="right"/>
              <w:rPr>
                <w:rFonts w:ascii="Calibri" w:hAnsi="Calibri" w:cs="Calibri"/>
                <w:color w:val="000000"/>
                <w:sz w:val="16"/>
                <w:szCs w:val="16"/>
              </w:rPr>
            </w:pPr>
            <w:r>
              <w:rPr>
                <w:rFonts w:ascii="Calibri" w:hAnsi="Calibri" w:cs="Calibri"/>
                <w:color w:val="000000"/>
                <w:sz w:val="16"/>
                <w:szCs w:val="16"/>
              </w:rPr>
              <w:t>42.</w:t>
            </w:r>
            <w:r w:rsidR="000D56B1">
              <w:rPr>
                <w:rFonts w:ascii="Calibri" w:hAnsi="Calibri" w:cs="Calibri"/>
                <w:color w:val="000000"/>
                <w:sz w:val="16"/>
                <w:szCs w:val="16"/>
              </w:rPr>
              <w:t>905</w:t>
            </w:r>
            <w:r>
              <w:rPr>
                <w:rFonts w:ascii="Calibri" w:hAnsi="Calibri" w:cs="Calibri"/>
                <w:color w:val="000000"/>
                <w:sz w:val="16"/>
                <w:szCs w:val="16"/>
              </w:rPr>
              <w:t>.1</w:t>
            </w:r>
            <w:r w:rsidR="000D56B1">
              <w:rPr>
                <w:rFonts w:ascii="Calibri" w:hAnsi="Calibri" w:cs="Calibri"/>
                <w:color w:val="000000"/>
                <w:sz w:val="16"/>
                <w:szCs w:val="16"/>
              </w:rPr>
              <w:t>94</w:t>
            </w:r>
          </w:p>
        </w:tc>
      </w:tr>
      <w:tr w:rsidR="002924F8" w:rsidRPr="008D21F0" w14:paraId="4556A43D" w14:textId="77777777" w:rsidTr="00987B82">
        <w:trPr>
          <w:trHeight w:hRule="exact" w:val="227"/>
          <w:jc w:val="center"/>
        </w:trPr>
        <w:tc>
          <w:tcPr>
            <w:tcW w:w="1478" w:type="pct"/>
            <w:tcBorders>
              <w:top w:val="nil"/>
              <w:left w:val="nil"/>
              <w:bottom w:val="nil"/>
              <w:right w:val="nil"/>
            </w:tcBorders>
            <w:shd w:val="clear" w:color="auto" w:fill="auto"/>
            <w:noWrap/>
            <w:vAlign w:val="bottom"/>
            <w:hideMark/>
          </w:tcPr>
          <w:p w14:paraId="7B78B28B" w14:textId="08502948" w:rsidR="002924F8" w:rsidRPr="008D21F0" w:rsidRDefault="002924F8" w:rsidP="00937ED9">
            <w:pPr>
              <w:spacing w:after="120"/>
              <w:rPr>
                <w:rFonts w:ascii="Calibri" w:hAnsi="Calibri" w:cs="Calibri"/>
                <w:color w:val="000000"/>
                <w:sz w:val="16"/>
                <w:szCs w:val="16"/>
              </w:rPr>
            </w:pPr>
            <w:r w:rsidRPr="008D21F0">
              <w:rPr>
                <w:rFonts w:ascii="Calibri" w:hAnsi="Calibri" w:cs="Calibri"/>
                <w:color w:val="000000"/>
                <w:sz w:val="16"/>
                <w:szCs w:val="16"/>
              </w:rPr>
              <w:t>Obras em Andamento - FIOL</w:t>
            </w:r>
          </w:p>
        </w:tc>
        <w:tc>
          <w:tcPr>
            <w:tcW w:w="620" w:type="pct"/>
            <w:tcBorders>
              <w:top w:val="nil"/>
              <w:left w:val="nil"/>
              <w:bottom w:val="nil"/>
              <w:right w:val="nil"/>
            </w:tcBorders>
            <w:shd w:val="clear" w:color="auto" w:fill="auto"/>
            <w:noWrap/>
            <w:vAlign w:val="bottom"/>
            <w:hideMark/>
          </w:tcPr>
          <w:p w14:paraId="606684C4" w14:textId="393D40F0" w:rsidR="002924F8" w:rsidRPr="008D21F0" w:rsidRDefault="0029463C" w:rsidP="00937ED9">
            <w:pPr>
              <w:spacing w:after="120"/>
              <w:jc w:val="right"/>
              <w:rPr>
                <w:rFonts w:ascii="Calibri" w:hAnsi="Calibri" w:cs="Calibri"/>
                <w:color w:val="000000"/>
                <w:sz w:val="16"/>
                <w:szCs w:val="16"/>
              </w:rPr>
            </w:pPr>
            <w:r w:rsidRPr="008D21F0">
              <w:rPr>
                <w:rFonts w:ascii="Calibri" w:hAnsi="Calibri" w:cs="Calibri"/>
                <w:color w:val="000000"/>
                <w:sz w:val="16"/>
                <w:szCs w:val="16"/>
              </w:rPr>
              <w:t>258.532.118</w:t>
            </w:r>
          </w:p>
        </w:tc>
        <w:tc>
          <w:tcPr>
            <w:tcW w:w="1089" w:type="pct"/>
            <w:tcBorders>
              <w:top w:val="nil"/>
              <w:left w:val="nil"/>
              <w:bottom w:val="nil"/>
              <w:right w:val="nil"/>
            </w:tcBorders>
            <w:shd w:val="clear" w:color="auto" w:fill="auto"/>
            <w:noWrap/>
            <w:vAlign w:val="bottom"/>
            <w:hideMark/>
          </w:tcPr>
          <w:p w14:paraId="58004039" w14:textId="54682F00" w:rsidR="002924F8" w:rsidRPr="008D21F0" w:rsidRDefault="00B86973" w:rsidP="00937ED9">
            <w:pPr>
              <w:spacing w:after="120"/>
              <w:jc w:val="right"/>
              <w:rPr>
                <w:rFonts w:ascii="Calibri" w:hAnsi="Calibri" w:cs="Calibri"/>
                <w:color w:val="000000"/>
                <w:sz w:val="16"/>
                <w:szCs w:val="16"/>
              </w:rPr>
            </w:pPr>
            <w:r>
              <w:rPr>
                <w:rFonts w:ascii="Calibri" w:hAnsi="Calibri" w:cs="Calibri"/>
                <w:color w:val="000000"/>
                <w:sz w:val="16"/>
                <w:szCs w:val="16"/>
              </w:rPr>
              <w:t>1</w:t>
            </w:r>
            <w:r w:rsidR="000D56B1">
              <w:rPr>
                <w:rFonts w:ascii="Calibri" w:hAnsi="Calibri" w:cs="Calibri"/>
                <w:color w:val="000000"/>
                <w:sz w:val="16"/>
                <w:szCs w:val="16"/>
              </w:rPr>
              <w:t>54</w:t>
            </w:r>
            <w:r>
              <w:rPr>
                <w:rFonts w:ascii="Calibri" w:hAnsi="Calibri" w:cs="Calibri"/>
                <w:color w:val="000000"/>
                <w:sz w:val="16"/>
                <w:szCs w:val="16"/>
              </w:rPr>
              <w:t>.</w:t>
            </w:r>
            <w:r w:rsidR="000D56B1">
              <w:rPr>
                <w:rFonts w:ascii="Calibri" w:hAnsi="Calibri" w:cs="Calibri"/>
                <w:color w:val="000000"/>
                <w:sz w:val="16"/>
                <w:szCs w:val="16"/>
              </w:rPr>
              <w:t>175</w:t>
            </w:r>
            <w:r>
              <w:rPr>
                <w:rFonts w:ascii="Calibri" w:hAnsi="Calibri" w:cs="Calibri"/>
                <w:color w:val="000000"/>
                <w:sz w:val="16"/>
                <w:szCs w:val="16"/>
              </w:rPr>
              <w:t>.</w:t>
            </w:r>
            <w:r w:rsidR="000D56B1">
              <w:rPr>
                <w:rFonts w:ascii="Calibri" w:hAnsi="Calibri" w:cs="Calibri"/>
                <w:color w:val="000000"/>
                <w:sz w:val="16"/>
                <w:szCs w:val="16"/>
              </w:rPr>
              <w:t>86</w:t>
            </w:r>
            <w:r w:rsidR="002F03B5">
              <w:rPr>
                <w:rFonts w:ascii="Calibri" w:hAnsi="Calibri" w:cs="Calibri"/>
                <w:color w:val="000000"/>
                <w:sz w:val="16"/>
                <w:szCs w:val="16"/>
              </w:rPr>
              <w:t>7</w:t>
            </w:r>
          </w:p>
        </w:tc>
        <w:tc>
          <w:tcPr>
            <w:tcW w:w="1038" w:type="pct"/>
            <w:tcBorders>
              <w:top w:val="nil"/>
              <w:left w:val="nil"/>
              <w:bottom w:val="nil"/>
              <w:right w:val="nil"/>
            </w:tcBorders>
            <w:shd w:val="clear" w:color="auto" w:fill="auto"/>
            <w:noWrap/>
            <w:vAlign w:val="bottom"/>
            <w:hideMark/>
          </w:tcPr>
          <w:p w14:paraId="27D7ED86" w14:textId="77777777" w:rsidR="002924F8" w:rsidRPr="008D21F0" w:rsidRDefault="002924F8" w:rsidP="00937ED9">
            <w:pPr>
              <w:spacing w:after="120"/>
              <w:jc w:val="right"/>
              <w:rPr>
                <w:rFonts w:ascii="Calibri" w:hAnsi="Calibri" w:cs="Calibri"/>
                <w:color w:val="000000"/>
                <w:sz w:val="16"/>
                <w:szCs w:val="16"/>
              </w:rPr>
            </w:pPr>
            <w:r w:rsidRPr="008D21F0">
              <w:rPr>
                <w:rFonts w:ascii="Calibri" w:hAnsi="Calibri" w:cs="Calibri"/>
                <w:color w:val="000000"/>
                <w:sz w:val="16"/>
                <w:szCs w:val="16"/>
              </w:rPr>
              <w:t>0</w:t>
            </w:r>
          </w:p>
        </w:tc>
        <w:tc>
          <w:tcPr>
            <w:tcW w:w="775" w:type="pct"/>
            <w:tcBorders>
              <w:top w:val="nil"/>
              <w:left w:val="nil"/>
              <w:bottom w:val="nil"/>
              <w:right w:val="nil"/>
            </w:tcBorders>
            <w:shd w:val="clear" w:color="auto" w:fill="auto"/>
            <w:noWrap/>
            <w:vAlign w:val="bottom"/>
            <w:hideMark/>
          </w:tcPr>
          <w:p w14:paraId="21BFE8BA" w14:textId="786202AF" w:rsidR="002924F8" w:rsidRPr="008D21F0" w:rsidRDefault="000D56B1" w:rsidP="00937ED9">
            <w:pPr>
              <w:spacing w:after="120"/>
              <w:jc w:val="right"/>
              <w:rPr>
                <w:rFonts w:ascii="Calibri" w:hAnsi="Calibri" w:cs="Calibri"/>
                <w:color w:val="000000"/>
                <w:sz w:val="16"/>
                <w:szCs w:val="16"/>
              </w:rPr>
            </w:pPr>
            <w:r>
              <w:rPr>
                <w:rFonts w:ascii="Calibri" w:hAnsi="Calibri" w:cs="Calibri"/>
                <w:color w:val="000000"/>
                <w:sz w:val="16"/>
                <w:szCs w:val="16"/>
              </w:rPr>
              <w:t>412.707.985</w:t>
            </w:r>
          </w:p>
        </w:tc>
      </w:tr>
      <w:tr w:rsidR="002924F8" w:rsidRPr="008D21F0" w14:paraId="1CB5711B" w14:textId="77777777" w:rsidTr="00987B82">
        <w:trPr>
          <w:trHeight w:hRule="exact" w:val="227"/>
          <w:jc w:val="center"/>
        </w:trPr>
        <w:tc>
          <w:tcPr>
            <w:tcW w:w="1478" w:type="pct"/>
            <w:tcBorders>
              <w:top w:val="single" w:sz="4" w:space="0" w:color="auto"/>
              <w:left w:val="nil"/>
              <w:bottom w:val="single" w:sz="4" w:space="0" w:color="auto"/>
              <w:right w:val="nil"/>
            </w:tcBorders>
            <w:shd w:val="clear" w:color="auto" w:fill="auto"/>
            <w:noWrap/>
            <w:vAlign w:val="bottom"/>
            <w:hideMark/>
          </w:tcPr>
          <w:p w14:paraId="27E785DD" w14:textId="601F6074" w:rsidR="002924F8" w:rsidRPr="008D21F0" w:rsidRDefault="002924F8" w:rsidP="00937ED9">
            <w:pPr>
              <w:spacing w:after="120"/>
              <w:rPr>
                <w:rFonts w:ascii="Calibri" w:hAnsi="Calibri" w:cs="Calibri"/>
                <w:b/>
                <w:bCs/>
                <w:color w:val="000000"/>
                <w:sz w:val="16"/>
                <w:szCs w:val="16"/>
              </w:rPr>
            </w:pPr>
            <w:r w:rsidRPr="008D21F0">
              <w:rPr>
                <w:rFonts w:ascii="Calibri" w:hAnsi="Calibri" w:cs="Calibri"/>
                <w:b/>
                <w:bCs/>
                <w:color w:val="000000"/>
                <w:sz w:val="16"/>
                <w:szCs w:val="16"/>
              </w:rPr>
              <w:lastRenderedPageBreak/>
              <w:t>Total Investimento Cruzado</w:t>
            </w:r>
          </w:p>
        </w:tc>
        <w:tc>
          <w:tcPr>
            <w:tcW w:w="620" w:type="pct"/>
            <w:tcBorders>
              <w:top w:val="single" w:sz="4" w:space="0" w:color="auto"/>
              <w:left w:val="nil"/>
              <w:bottom w:val="single" w:sz="4" w:space="0" w:color="auto"/>
              <w:right w:val="nil"/>
            </w:tcBorders>
            <w:shd w:val="clear" w:color="auto" w:fill="auto"/>
            <w:noWrap/>
            <w:vAlign w:val="bottom"/>
            <w:hideMark/>
          </w:tcPr>
          <w:p w14:paraId="7807309F" w14:textId="2CC4835B" w:rsidR="002924F8" w:rsidRPr="008D21F0" w:rsidRDefault="0029463C" w:rsidP="00937ED9">
            <w:pPr>
              <w:spacing w:after="120"/>
              <w:jc w:val="right"/>
              <w:rPr>
                <w:rFonts w:ascii="Calibri" w:hAnsi="Calibri" w:cs="Calibri"/>
                <w:b/>
                <w:bCs/>
                <w:color w:val="000000"/>
                <w:sz w:val="16"/>
                <w:szCs w:val="16"/>
              </w:rPr>
            </w:pPr>
            <w:r w:rsidRPr="008D21F0">
              <w:rPr>
                <w:rFonts w:ascii="Calibri" w:hAnsi="Calibri" w:cs="Calibri"/>
                <w:b/>
                <w:bCs/>
                <w:color w:val="000000"/>
                <w:sz w:val="16"/>
                <w:szCs w:val="16"/>
              </w:rPr>
              <w:t>264.431.057</w:t>
            </w:r>
          </w:p>
        </w:tc>
        <w:tc>
          <w:tcPr>
            <w:tcW w:w="1089" w:type="pct"/>
            <w:tcBorders>
              <w:top w:val="single" w:sz="4" w:space="0" w:color="auto"/>
              <w:left w:val="nil"/>
              <w:bottom w:val="single" w:sz="4" w:space="0" w:color="auto"/>
              <w:right w:val="nil"/>
            </w:tcBorders>
            <w:shd w:val="clear" w:color="auto" w:fill="auto"/>
            <w:noWrap/>
            <w:vAlign w:val="bottom"/>
            <w:hideMark/>
          </w:tcPr>
          <w:p w14:paraId="46E12C96" w14:textId="4EAD794F" w:rsidR="002924F8" w:rsidRPr="008D21F0" w:rsidRDefault="00B86973" w:rsidP="00937ED9">
            <w:pPr>
              <w:spacing w:after="120"/>
              <w:jc w:val="right"/>
              <w:rPr>
                <w:rFonts w:ascii="Calibri" w:hAnsi="Calibri" w:cs="Calibri"/>
                <w:b/>
                <w:bCs/>
                <w:color w:val="000000"/>
                <w:sz w:val="16"/>
                <w:szCs w:val="16"/>
              </w:rPr>
            </w:pPr>
            <w:r>
              <w:rPr>
                <w:rFonts w:ascii="Calibri" w:hAnsi="Calibri" w:cs="Calibri"/>
                <w:b/>
                <w:bCs/>
                <w:color w:val="000000"/>
                <w:sz w:val="16"/>
                <w:szCs w:val="16"/>
              </w:rPr>
              <w:t>1</w:t>
            </w:r>
            <w:r w:rsidR="000D56B1">
              <w:rPr>
                <w:rFonts w:ascii="Calibri" w:hAnsi="Calibri" w:cs="Calibri"/>
                <w:b/>
                <w:bCs/>
                <w:color w:val="000000"/>
                <w:sz w:val="16"/>
                <w:szCs w:val="16"/>
              </w:rPr>
              <w:t>93</w:t>
            </w:r>
            <w:r>
              <w:rPr>
                <w:rFonts w:ascii="Calibri" w:hAnsi="Calibri" w:cs="Calibri"/>
                <w:b/>
                <w:bCs/>
                <w:color w:val="000000"/>
                <w:sz w:val="16"/>
                <w:szCs w:val="16"/>
              </w:rPr>
              <w:t>.</w:t>
            </w:r>
            <w:r w:rsidR="000D56B1">
              <w:rPr>
                <w:rFonts w:ascii="Calibri" w:hAnsi="Calibri" w:cs="Calibri"/>
                <w:b/>
                <w:bCs/>
                <w:color w:val="000000"/>
                <w:sz w:val="16"/>
                <w:szCs w:val="16"/>
              </w:rPr>
              <w:t>995</w:t>
            </w:r>
            <w:r>
              <w:rPr>
                <w:rFonts w:ascii="Calibri" w:hAnsi="Calibri" w:cs="Calibri"/>
                <w:b/>
                <w:bCs/>
                <w:color w:val="000000"/>
                <w:sz w:val="16"/>
                <w:szCs w:val="16"/>
              </w:rPr>
              <w:t>.</w:t>
            </w:r>
            <w:r w:rsidR="000D56B1">
              <w:rPr>
                <w:rFonts w:ascii="Calibri" w:hAnsi="Calibri" w:cs="Calibri"/>
                <w:b/>
                <w:bCs/>
                <w:color w:val="000000"/>
                <w:sz w:val="16"/>
                <w:szCs w:val="16"/>
              </w:rPr>
              <w:t>659</w:t>
            </w:r>
          </w:p>
        </w:tc>
        <w:tc>
          <w:tcPr>
            <w:tcW w:w="1038" w:type="pct"/>
            <w:tcBorders>
              <w:top w:val="single" w:sz="4" w:space="0" w:color="auto"/>
              <w:left w:val="nil"/>
              <w:bottom w:val="single" w:sz="4" w:space="0" w:color="auto"/>
              <w:right w:val="nil"/>
            </w:tcBorders>
            <w:shd w:val="clear" w:color="auto" w:fill="auto"/>
            <w:noWrap/>
            <w:vAlign w:val="bottom"/>
            <w:hideMark/>
          </w:tcPr>
          <w:p w14:paraId="6E5B16CA" w14:textId="77777777" w:rsidR="002924F8" w:rsidRPr="008D21F0" w:rsidRDefault="002924F8" w:rsidP="00937ED9">
            <w:pPr>
              <w:spacing w:after="120"/>
              <w:jc w:val="right"/>
              <w:rPr>
                <w:rFonts w:ascii="Calibri" w:hAnsi="Calibri" w:cs="Calibri"/>
                <w:b/>
                <w:bCs/>
                <w:color w:val="000000"/>
                <w:sz w:val="16"/>
                <w:szCs w:val="16"/>
              </w:rPr>
            </w:pPr>
            <w:r w:rsidRPr="008D21F0">
              <w:rPr>
                <w:rFonts w:ascii="Calibri" w:hAnsi="Calibri" w:cs="Calibri"/>
                <w:b/>
                <w:bCs/>
                <w:color w:val="000000"/>
                <w:sz w:val="16"/>
                <w:szCs w:val="16"/>
              </w:rPr>
              <w:t>0</w:t>
            </w:r>
          </w:p>
        </w:tc>
        <w:tc>
          <w:tcPr>
            <w:tcW w:w="775" w:type="pct"/>
            <w:tcBorders>
              <w:top w:val="single" w:sz="4" w:space="0" w:color="auto"/>
              <w:left w:val="nil"/>
              <w:bottom w:val="single" w:sz="4" w:space="0" w:color="auto"/>
              <w:right w:val="nil"/>
            </w:tcBorders>
            <w:shd w:val="clear" w:color="auto" w:fill="auto"/>
            <w:noWrap/>
            <w:vAlign w:val="bottom"/>
            <w:hideMark/>
          </w:tcPr>
          <w:p w14:paraId="3786320E" w14:textId="6857C4ED" w:rsidR="002924F8" w:rsidRPr="008D21F0" w:rsidRDefault="000D56B1" w:rsidP="00937ED9">
            <w:pPr>
              <w:spacing w:after="120"/>
              <w:jc w:val="right"/>
              <w:rPr>
                <w:rFonts w:ascii="Calibri" w:hAnsi="Calibri" w:cs="Calibri"/>
                <w:b/>
                <w:bCs/>
                <w:color w:val="000000"/>
                <w:sz w:val="16"/>
                <w:szCs w:val="16"/>
              </w:rPr>
            </w:pPr>
            <w:r>
              <w:rPr>
                <w:rFonts w:ascii="Calibri" w:hAnsi="Calibri" w:cs="Calibri"/>
                <w:b/>
                <w:bCs/>
                <w:color w:val="000000"/>
                <w:sz w:val="16"/>
                <w:szCs w:val="16"/>
              </w:rPr>
              <w:t>458.426.716</w:t>
            </w:r>
          </w:p>
        </w:tc>
      </w:tr>
    </w:tbl>
    <w:p w14:paraId="401119EE" w14:textId="34689953" w:rsidR="00B77502" w:rsidRPr="00A16F6B" w:rsidRDefault="00B77502" w:rsidP="000B3A75">
      <w:pPr>
        <w:pStyle w:val="NormalWeb"/>
        <w:spacing w:before="120" w:beforeAutospacing="0" w:after="120" w:afterAutospacing="0"/>
        <w:jc w:val="both"/>
        <w:rPr>
          <w:rFonts w:ascii="Calibri" w:hAnsi="Calibri" w:cs="Calibri"/>
          <w:bCs/>
          <w:color w:val="000000"/>
          <w:sz w:val="22"/>
          <w:szCs w:val="22"/>
        </w:rPr>
      </w:pPr>
      <w:r w:rsidRPr="00A16F6B">
        <w:rPr>
          <w:rFonts w:ascii="Calibri" w:hAnsi="Calibri" w:cs="Calibri"/>
          <w:bCs/>
          <w:color w:val="000000"/>
          <w:sz w:val="22"/>
          <w:szCs w:val="22"/>
        </w:rPr>
        <w:t>Os custos incorridos sobre a FIOL</w:t>
      </w:r>
      <w:r w:rsidR="00A16F6B">
        <w:rPr>
          <w:rFonts w:ascii="Calibri" w:hAnsi="Calibri" w:cs="Calibri"/>
          <w:bCs/>
          <w:color w:val="000000"/>
          <w:sz w:val="22"/>
          <w:szCs w:val="22"/>
        </w:rPr>
        <w:t>,</w:t>
      </w:r>
      <w:r w:rsidRPr="00A16F6B">
        <w:rPr>
          <w:rFonts w:ascii="Calibri" w:hAnsi="Calibri" w:cs="Calibri"/>
          <w:bCs/>
          <w:color w:val="000000"/>
          <w:sz w:val="22"/>
          <w:szCs w:val="22"/>
        </w:rPr>
        <w:t xml:space="preserve"> no âmbito do Investimento Cruzado</w:t>
      </w:r>
      <w:r w:rsidR="00A16F6B">
        <w:rPr>
          <w:rFonts w:ascii="Calibri" w:hAnsi="Calibri" w:cs="Calibri"/>
          <w:bCs/>
          <w:color w:val="000000"/>
          <w:sz w:val="22"/>
          <w:szCs w:val="22"/>
        </w:rPr>
        <w:t>,</w:t>
      </w:r>
      <w:r w:rsidRPr="00A16F6B">
        <w:rPr>
          <w:rFonts w:ascii="Calibri" w:hAnsi="Calibri" w:cs="Calibri"/>
          <w:bCs/>
          <w:color w:val="000000"/>
          <w:sz w:val="22"/>
          <w:szCs w:val="22"/>
        </w:rPr>
        <w:t xml:space="preserve"> até </w:t>
      </w:r>
      <w:r w:rsidR="003D50C0">
        <w:rPr>
          <w:rFonts w:ascii="Calibri" w:hAnsi="Calibri" w:cs="Calibri"/>
          <w:bCs/>
          <w:color w:val="000000"/>
          <w:sz w:val="22"/>
          <w:szCs w:val="22"/>
        </w:rPr>
        <w:t>30</w:t>
      </w:r>
      <w:r w:rsidRPr="00A16F6B">
        <w:rPr>
          <w:rFonts w:ascii="Calibri" w:hAnsi="Calibri" w:cs="Calibri"/>
          <w:bCs/>
          <w:color w:val="000000"/>
          <w:sz w:val="22"/>
          <w:szCs w:val="22"/>
        </w:rPr>
        <w:t xml:space="preserve"> de </w:t>
      </w:r>
      <w:r w:rsidR="003D50C0">
        <w:rPr>
          <w:rFonts w:ascii="Calibri" w:hAnsi="Calibri" w:cs="Calibri"/>
          <w:bCs/>
          <w:color w:val="000000"/>
          <w:sz w:val="22"/>
          <w:szCs w:val="22"/>
        </w:rPr>
        <w:t>junh</w:t>
      </w:r>
      <w:r w:rsidRPr="00A16F6B">
        <w:rPr>
          <w:rFonts w:ascii="Calibri" w:hAnsi="Calibri" w:cs="Calibri"/>
          <w:bCs/>
          <w:color w:val="000000"/>
          <w:sz w:val="22"/>
          <w:szCs w:val="22"/>
        </w:rPr>
        <w:t>o de 202</w:t>
      </w:r>
      <w:r w:rsidR="00A16F6B" w:rsidRPr="00A16F6B">
        <w:rPr>
          <w:rFonts w:ascii="Calibri" w:hAnsi="Calibri" w:cs="Calibri"/>
          <w:bCs/>
          <w:color w:val="000000"/>
          <w:sz w:val="22"/>
          <w:szCs w:val="22"/>
        </w:rPr>
        <w:t>2</w:t>
      </w:r>
      <w:r w:rsidR="00A16F6B">
        <w:rPr>
          <w:rFonts w:ascii="Calibri" w:hAnsi="Calibri" w:cs="Calibri"/>
          <w:bCs/>
          <w:color w:val="000000"/>
          <w:sz w:val="22"/>
          <w:szCs w:val="22"/>
        </w:rPr>
        <w:t>,</w:t>
      </w:r>
      <w:r w:rsidRPr="00A16F6B">
        <w:rPr>
          <w:rFonts w:ascii="Calibri" w:hAnsi="Calibri" w:cs="Calibri"/>
          <w:bCs/>
          <w:color w:val="000000"/>
          <w:sz w:val="22"/>
          <w:szCs w:val="22"/>
        </w:rPr>
        <w:t xml:space="preserve"> </w:t>
      </w:r>
      <w:r w:rsidR="0085038B" w:rsidRPr="00A16F6B">
        <w:rPr>
          <w:rFonts w:ascii="Calibri" w:hAnsi="Calibri" w:cs="Calibri"/>
          <w:bCs/>
          <w:color w:val="000000"/>
          <w:sz w:val="22"/>
          <w:szCs w:val="22"/>
        </w:rPr>
        <w:t>somaram</w:t>
      </w:r>
      <w:r w:rsidRPr="00A16F6B">
        <w:rPr>
          <w:rFonts w:ascii="Calibri" w:hAnsi="Calibri" w:cs="Calibri"/>
          <w:bCs/>
          <w:color w:val="000000"/>
          <w:sz w:val="22"/>
          <w:szCs w:val="22"/>
        </w:rPr>
        <w:t xml:space="preserve"> R$ </w:t>
      </w:r>
      <w:r w:rsidR="00F06BD6">
        <w:rPr>
          <w:rFonts w:ascii="Calibri" w:hAnsi="Calibri" w:cs="Calibri"/>
          <w:bCs/>
          <w:color w:val="000000"/>
          <w:sz w:val="22"/>
          <w:szCs w:val="22"/>
        </w:rPr>
        <w:t>412</w:t>
      </w:r>
      <w:r w:rsidRPr="00A16F6B">
        <w:rPr>
          <w:rFonts w:ascii="Calibri" w:hAnsi="Calibri" w:cs="Calibri"/>
          <w:bCs/>
          <w:color w:val="000000"/>
          <w:sz w:val="22"/>
          <w:szCs w:val="22"/>
        </w:rPr>
        <w:t>,</w:t>
      </w:r>
      <w:r w:rsidR="003D50C0">
        <w:rPr>
          <w:rFonts w:ascii="Calibri" w:hAnsi="Calibri" w:cs="Calibri"/>
          <w:bCs/>
          <w:color w:val="000000"/>
          <w:sz w:val="22"/>
          <w:szCs w:val="22"/>
        </w:rPr>
        <w:t>7</w:t>
      </w:r>
      <w:r w:rsidRPr="00A16F6B">
        <w:rPr>
          <w:rFonts w:ascii="Calibri" w:hAnsi="Calibri" w:cs="Calibri"/>
          <w:bCs/>
          <w:color w:val="000000"/>
          <w:sz w:val="22"/>
          <w:szCs w:val="22"/>
        </w:rPr>
        <w:t xml:space="preserve"> milhões, o que corresponde a </w:t>
      </w:r>
      <w:r w:rsidR="00F06BD6">
        <w:rPr>
          <w:rFonts w:ascii="Calibri" w:hAnsi="Calibri" w:cs="Calibri"/>
          <w:bCs/>
          <w:color w:val="000000"/>
          <w:sz w:val="22"/>
          <w:szCs w:val="22"/>
        </w:rPr>
        <w:t>21</w:t>
      </w:r>
      <w:r w:rsidR="00A16F6B" w:rsidRPr="00A16F6B">
        <w:rPr>
          <w:rFonts w:ascii="Calibri" w:hAnsi="Calibri" w:cs="Calibri"/>
          <w:bCs/>
          <w:color w:val="000000"/>
          <w:sz w:val="22"/>
          <w:szCs w:val="22"/>
        </w:rPr>
        <w:t>,</w:t>
      </w:r>
      <w:r w:rsidR="00F06BD6">
        <w:rPr>
          <w:rFonts w:ascii="Calibri" w:hAnsi="Calibri" w:cs="Calibri"/>
          <w:bCs/>
          <w:color w:val="000000"/>
          <w:sz w:val="22"/>
          <w:szCs w:val="22"/>
        </w:rPr>
        <w:t>6</w:t>
      </w:r>
      <w:r w:rsidR="00A16F6B" w:rsidRPr="00A16F6B">
        <w:rPr>
          <w:rFonts w:ascii="Calibri" w:hAnsi="Calibri" w:cs="Calibri"/>
          <w:bCs/>
          <w:color w:val="000000"/>
          <w:sz w:val="22"/>
          <w:szCs w:val="22"/>
        </w:rPr>
        <w:t xml:space="preserve"> </w:t>
      </w:r>
      <w:r w:rsidRPr="00A16F6B">
        <w:rPr>
          <w:rFonts w:ascii="Calibri" w:hAnsi="Calibri" w:cs="Calibri"/>
          <w:bCs/>
          <w:color w:val="000000"/>
          <w:sz w:val="22"/>
          <w:szCs w:val="22"/>
        </w:rPr>
        <w:t xml:space="preserve">% </w:t>
      </w:r>
      <w:r w:rsidR="00DE40D1">
        <w:rPr>
          <w:rFonts w:ascii="Calibri" w:hAnsi="Calibri" w:cs="Calibri"/>
          <w:bCs/>
          <w:color w:val="000000"/>
          <w:sz w:val="22"/>
          <w:szCs w:val="22"/>
        </w:rPr>
        <w:t xml:space="preserve">acima </w:t>
      </w:r>
      <w:r w:rsidRPr="00A16F6B">
        <w:rPr>
          <w:rFonts w:ascii="Calibri" w:hAnsi="Calibri" w:cs="Calibri"/>
          <w:bCs/>
          <w:color w:val="000000"/>
          <w:sz w:val="22"/>
          <w:szCs w:val="22"/>
        </w:rPr>
        <w:t xml:space="preserve">do valor </w:t>
      </w:r>
      <w:r w:rsidR="0085038B" w:rsidRPr="00A16F6B">
        <w:rPr>
          <w:rFonts w:ascii="Calibri" w:hAnsi="Calibri" w:cs="Calibri"/>
          <w:bCs/>
          <w:color w:val="000000"/>
          <w:sz w:val="22"/>
          <w:szCs w:val="22"/>
        </w:rPr>
        <w:t>estimado</w:t>
      </w:r>
      <w:r w:rsidRPr="00A16F6B">
        <w:rPr>
          <w:rFonts w:ascii="Calibri" w:hAnsi="Calibri" w:cs="Calibri"/>
          <w:bCs/>
          <w:color w:val="000000"/>
          <w:sz w:val="22"/>
          <w:szCs w:val="22"/>
        </w:rPr>
        <w:t xml:space="preserve"> no Anexo 9 (</w:t>
      </w:r>
      <w:r w:rsidR="0085038B" w:rsidRPr="00A16F6B">
        <w:rPr>
          <w:rFonts w:ascii="Calibri" w:hAnsi="Calibri" w:cs="Calibri"/>
          <w:bCs/>
          <w:color w:val="000000"/>
          <w:sz w:val="22"/>
          <w:szCs w:val="22"/>
        </w:rPr>
        <w:t xml:space="preserve">R$ 339,4 milhões). </w:t>
      </w:r>
    </w:p>
    <w:p w14:paraId="45BFAA28" w14:textId="480A9AD2" w:rsidR="0085038B" w:rsidRDefault="0085038B" w:rsidP="000B3A75">
      <w:pPr>
        <w:pStyle w:val="NormalWeb"/>
        <w:spacing w:before="120" w:beforeAutospacing="0" w:after="120" w:afterAutospacing="0"/>
        <w:jc w:val="both"/>
        <w:rPr>
          <w:rFonts w:ascii="Calibri" w:hAnsi="Calibri" w:cs="Calibri"/>
          <w:bCs/>
          <w:color w:val="000000"/>
          <w:sz w:val="22"/>
          <w:szCs w:val="22"/>
        </w:rPr>
      </w:pPr>
      <w:r w:rsidRPr="00A16F6B">
        <w:rPr>
          <w:rFonts w:ascii="Calibri" w:hAnsi="Calibri" w:cs="Calibri"/>
          <w:bCs/>
          <w:color w:val="000000"/>
          <w:sz w:val="22"/>
          <w:szCs w:val="22"/>
        </w:rPr>
        <w:t>No projeto FICO foram investidos, no Investimento Cruzado</w:t>
      </w:r>
      <w:r w:rsidR="00A16F6B">
        <w:rPr>
          <w:rFonts w:ascii="Calibri" w:hAnsi="Calibri" w:cs="Calibri"/>
          <w:bCs/>
          <w:color w:val="000000"/>
          <w:sz w:val="22"/>
          <w:szCs w:val="22"/>
        </w:rPr>
        <w:t>,</w:t>
      </w:r>
      <w:r w:rsidR="00D226C7" w:rsidRPr="00A16F6B">
        <w:rPr>
          <w:rFonts w:ascii="Calibri" w:hAnsi="Calibri" w:cs="Calibri"/>
          <w:bCs/>
          <w:color w:val="000000"/>
          <w:sz w:val="22"/>
          <w:szCs w:val="22"/>
        </w:rPr>
        <w:t xml:space="preserve"> </w:t>
      </w:r>
      <w:r w:rsidR="00A16F6B" w:rsidRPr="00A16F6B">
        <w:rPr>
          <w:rFonts w:ascii="Calibri" w:hAnsi="Calibri" w:cs="Calibri"/>
          <w:bCs/>
          <w:color w:val="000000"/>
          <w:sz w:val="22"/>
          <w:szCs w:val="22"/>
        </w:rPr>
        <w:t>até 3</w:t>
      </w:r>
      <w:r w:rsidR="003D50C0">
        <w:rPr>
          <w:rFonts w:ascii="Calibri" w:hAnsi="Calibri" w:cs="Calibri"/>
          <w:bCs/>
          <w:color w:val="000000"/>
          <w:sz w:val="22"/>
          <w:szCs w:val="22"/>
        </w:rPr>
        <w:t>0</w:t>
      </w:r>
      <w:r w:rsidR="00A16F6B" w:rsidRPr="00A16F6B">
        <w:rPr>
          <w:rFonts w:ascii="Calibri" w:hAnsi="Calibri" w:cs="Calibri"/>
          <w:bCs/>
          <w:color w:val="000000"/>
          <w:sz w:val="22"/>
          <w:szCs w:val="22"/>
        </w:rPr>
        <w:t xml:space="preserve"> de </w:t>
      </w:r>
      <w:r w:rsidR="003D50C0">
        <w:rPr>
          <w:rFonts w:ascii="Calibri" w:hAnsi="Calibri" w:cs="Calibri"/>
          <w:bCs/>
          <w:color w:val="000000"/>
          <w:sz w:val="22"/>
          <w:szCs w:val="22"/>
        </w:rPr>
        <w:t>junh</w:t>
      </w:r>
      <w:r w:rsidR="00A16F6B" w:rsidRPr="00A16F6B">
        <w:rPr>
          <w:rFonts w:ascii="Calibri" w:hAnsi="Calibri" w:cs="Calibri"/>
          <w:bCs/>
          <w:color w:val="000000"/>
          <w:sz w:val="22"/>
          <w:szCs w:val="22"/>
        </w:rPr>
        <w:t>o de 2022</w:t>
      </w:r>
      <w:r w:rsidRPr="00A16F6B">
        <w:rPr>
          <w:rFonts w:ascii="Calibri" w:hAnsi="Calibri" w:cs="Calibri"/>
          <w:bCs/>
          <w:color w:val="000000"/>
          <w:sz w:val="22"/>
          <w:szCs w:val="22"/>
        </w:rPr>
        <w:t xml:space="preserve">, R$ </w:t>
      </w:r>
      <w:r w:rsidR="003D50C0">
        <w:rPr>
          <w:rFonts w:ascii="Calibri" w:hAnsi="Calibri" w:cs="Calibri"/>
          <w:bCs/>
          <w:color w:val="000000"/>
          <w:sz w:val="22"/>
          <w:szCs w:val="22"/>
        </w:rPr>
        <w:t>45</w:t>
      </w:r>
      <w:r w:rsidRPr="00A16F6B">
        <w:rPr>
          <w:rFonts w:ascii="Calibri" w:hAnsi="Calibri" w:cs="Calibri"/>
          <w:bCs/>
          <w:color w:val="000000"/>
          <w:sz w:val="22"/>
          <w:szCs w:val="22"/>
        </w:rPr>
        <w:t>,</w:t>
      </w:r>
      <w:r w:rsidR="00F06BD6">
        <w:rPr>
          <w:rFonts w:ascii="Calibri" w:hAnsi="Calibri" w:cs="Calibri"/>
          <w:bCs/>
          <w:color w:val="000000"/>
          <w:sz w:val="22"/>
          <w:szCs w:val="22"/>
        </w:rPr>
        <w:t>7</w:t>
      </w:r>
      <w:r w:rsidRPr="00A16F6B">
        <w:rPr>
          <w:rFonts w:ascii="Calibri" w:hAnsi="Calibri" w:cs="Calibri"/>
          <w:bCs/>
          <w:color w:val="000000"/>
          <w:sz w:val="22"/>
          <w:szCs w:val="22"/>
        </w:rPr>
        <w:t xml:space="preserve"> milhões, sendo R$ </w:t>
      </w:r>
      <w:r w:rsidR="003D50C0">
        <w:rPr>
          <w:rFonts w:ascii="Calibri" w:hAnsi="Calibri" w:cs="Calibri"/>
          <w:bCs/>
          <w:color w:val="000000"/>
          <w:sz w:val="22"/>
          <w:szCs w:val="22"/>
        </w:rPr>
        <w:t>2</w:t>
      </w:r>
      <w:r w:rsidR="00C514C3">
        <w:rPr>
          <w:rFonts w:ascii="Calibri" w:hAnsi="Calibri" w:cs="Calibri"/>
          <w:bCs/>
          <w:color w:val="000000"/>
          <w:sz w:val="22"/>
          <w:szCs w:val="22"/>
        </w:rPr>
        <w:t>,</w:t>
      </w:r>
      <w:r w:rsidR="003D50C0">
        <w:rPr>
          <w:rFonts w:ascii="Calibri" w:hAnsi="Calibri" w:cs="Calibri"/>
          <w:bCs/>
          <w:color w:val="000000"/>
          <w:sz w:val="22"/>
          <w:szCs w:val="22"/>
        </w:rPr>
        <w:t>8</w:t>
      </w:r>
      <w:r w:rsidRPr="00A16F6B">
        <w:rPr>
          <w:rFonts w:ascii="Calibri" w:hAnsi="Calibri" w:cs="Calibri"/>
          <w:bCs/>
          <w:color w:val="000000"/>
          <w:sz w:val="22"/>
          <w:szCs w:val="22"/>
        </w:rPr>
        <w:t xml:space="preserve"> mil</w:t>
      </w:r>
      <w:r w:rsidR="00C514C3">
        <w:rPr>
          <w:rFonts w:ascii="Calibri" w:hAnsi="Calibri" w:cs="Calibri"/>
          <w:bCs/>
          <w:color w:val="000000"/>
          <w:sz w:val="22"/>
          <w:szCs w:val="22"/>
        </w:rPr>
        <w:t>h</w:t>
      </w:r>
      <w:r w:rsidR="003D50C0">
        <w:rPr>
          <w:rFonts w:ascii="Calibri" w:hAnsi="Calibri" w:cs="Calibri"/>
          <w:bCs/>
          <w:color w:val="000000"/>
          <w:sz w:val="22"/>
          <w:szCs w:val="22"/>
        </w:rPr>
        <w:t>ões</w:t>
      </w:r>
      <w:r w:rsidRPr="00A16F6B">
        <w:rPr>
          <w:rFonts w:ascii="Calibri" w:hAnsi="Calibri" w:cs="Calibri"/>
          <w:bCs/>
          <w:color w:val="000000"/>
          <w:sz w:val="22"/>
          <w:szCs w:val="22"/>
        </w:rPr>
        <w:t xml:space="preserve"> em desapropriações e R$ </w:t>
      </w:r>
      <w:r w:rsidR="003D50C0">
        <w:rPr>
          <w:rFonts w:ascii="Calibri" w:hAnsi="Calibri" w:cs="Calibri"/>
          <w:bCs/>
          <w:color w:val="000000"/>
          <w:sz w:val="22"/>
          <w:szCs w:val="22"/>
        </w:rPr>
        <w:t>42</w:t>
      </w:r>
      <w:r w:rsidRPr="00A16F6B">
        <w:rPr>
          <w:rFonts w:ascii="Calibri" w:hAnsi="Calibri" w:cs="Calibri"/>
          <w:bCs/>
          <w:color w:val="000000"/>
          <w:sz w:val="22"/>
          <w:szCs w:val="22"/>
        </w:rPr>
        <w:t>,</w:t>
      </w:r>
      <w:r w:rsidR="00F06BD6">
        <w:rPr>
          <w:rFonts w:ascii="Calibri" w:hAnsi="Calibri" w:cs="Calibri"/>
          <w:bCs/>
          <w:color w:val="000000"/>
          <w:sz w:val="22"/>
          <w:szCs w:val="22"/>
        </w:rPr>
        <w:t>9</w:t>
      </w:r>
      <w:r w:rsidRPr="00A16F6B">
        <w:rPr>
          <w:rFonts w:ascii="Calibri" w:hAnsi="Calibri" w:cs="Calibri"/>
          <w:bCs/>
          <w:color w:val="000000"/>
          <w:sz w:val="22"/>
          <w:szCs w:val="22"/>
        </w:rPr>
        <w:t xml:space="preserve"> milhões em custos indiretos preliminares de obras, </w:t>
      </w:r>
      <w:r w:rsidR="00D226C7" w:rsidRPr="00A16F6B">
        <w:rPr>
          <w:rFonts w:ascii="Calibri" w:hAnsi="Calibri" w:cs="Calibri"/>
          <w:bCs/>
          <w:color w:val="000000"/>
          <w:sz w:val="22"/>
          <w:szCs w:val="22"/>
        </w:rPr>
        <w:t xml:space="preserve">tais </w:t>
      </w:r>
      <w:r w:rsidRPr="00A16F6B">
        <w:rPr>
          <w:rFonts w:ascii="Calibri" w:hAnsi="Calibri" w:cs="Calibri"/>
          <w:bCs/>
          <w:color w:val="000000"/>
          <w:sz w:val="22"/>
          <w:szCs w:val="22"/>
        </w:rPr>
        <w:t>como</w:t>
      </w:r>
      <w:r w:rsidR="00D226C7" w:rsidRPr="00A16F6B">
        <w:rPr>
          <w:rFonts w:ascii="Calibri" w:hAnsi="Calibri" w:cs="Calibri"/>
          <w:bCs/>
          <w:color w:val="000000"/>
          <w:sz w:val="22"/>
          <w:szCs w:val="22"/>
        </w:rPr>
        <w:t>:</w:t>
      </w:r>
      <w:r w:rsidRPr="00A16F6B">
        <w:rPr>
          <w:rFonts w:ascii="Calibri" w:hAnsi="Calibri" w:cs="Calibri"/>
          <w:bCs/>
          <w:color w:val="000000"/>
          <w:sz w:val="22"/>
          <w:szCs w:val="22"/>
        </w:rPr>
        <w:t xml:space="preserve"> preparação de canteiros de obras, </w:t>
      </w:r>
      <w:r w:rsidR="00D226C7" w:rsidRPr="00A16F6B">
        <w:rPr>
          <w:rFonts w:ascii="Calibri" w:hAnsi="Calibri" w:cs="Calibri"/>
          <w:bCs/>
          <w:color w:val="000000"/>
          <w:sz w:val="22"/>
          <w:szCs w:val="22"/>
        </w:rPr>
        <w:t>sondagens, projetos de Obras Especiais (</w:t>
      </w:r>
      <w:proofErr w:type="spellStart"/>
      <w:r w:rsidR="00D226C7" w:rsidRPr="00A16F6B">
        <w:rPr>
          <w:rFonts w:ascii="Calibri" w:hAnsi="Calibri" w:cs="Calibri"/>
          <w:bCs/>
          <w:color w:val="000000"/>
          <w:sz w:val="22"/>
          <w:szCs w:val="22"/>
        </w:rPr>
        <w:t>OAEs</w:t>
      </w:r>
      <w:proofErr w:type="spellEnd"/>
      <w:r w:rsidR="00D226C7" w:rsidRPr="00A16F6B">
        <w:rPr>
          <w:rFonts w:ascii="Calibri" w:hAnsi="Calibri" w:cs="Calibri"/>
          <w:bCs/>
          <w:color w:val="000000"/>
          <w:sz w:val="22"/>
          <w:szCs w:val="22"/>
        </w:rPr>
        <w:t xml:space="preserve">), </w:t>
      </w:r>
      <w:r w:rsidRPr="00A16F6B">
        <w:rPr>
          <w:rFonts w:ascii="Calibri" w:hAnsi="Calibri" w:cs="Calibri"/>
          <w:bCs/>
          <w:color w:val="000000"/>
          <w:sz w:val="22"/>
          <w:szCs w:val="22"/>
        </w:rPr>
        <w:t>serviços médicos, hospedagem</w:t>
      </w:r>
      <w:r w:rsidR="00D226C7" w:rsidRPr="00A16F6B">
        <w:rPr>
          <w:rFonts w:ascii="Calibri" w:hAnsi="Calibri" w:cs="Calibri"/>
          <w:bCs/>
          <w:color w:val="000000"/>
          <w:sz w:val="22"/>
          <w:szCs w:val="22"/>
        </w:rPr>
        <w:t xml:space="preserve"> e locação de sala (escritório da Valec em Alto Horizonte).  </w:t>
      </w:r>
    </w:p>
    <w:p w14:paraId="0B727F05" w14:textId="427F8D4D" w:rsidR="00CE78FA" w:rsidRDefault="00CE78FA" w:rsidP="000B3A75">
      <w:pPr>
        <w:pStyle w:val="NormalWeb"/>
        <w:spacing w:before="120" w:beforeAutospacing="0" w:after="120" w:afterAutospacing="0"/>
        <w:jc w:val="both"/>
        <w:rPr>
          <w:rFonts w:ascii="Calibri" w:hAnsi="Calibri" w:cs="Calibri"/>
          <w:bCs/>
          <w:color w:val="000000"/>
          <w:sz w:val="22"/>
          <w:szCs w:val="22"/>
        </w:rPr>
      </w:pPr>
    </w:p>
    <w:p w14:paraId="325C9C70" w14:textId="77777777" w:rsidR="00CE78FA" w:rsidRPr="00D226C7" w:rsidRDefault="00CE78FA" w:rsidP="000B3A75">
      <w:pPr>
        <w:pStyle w:val="NormalWeb"/>
        <w:spacing w:before="120" w:beforeAutospacing="0" w:after="120" w:afterAutospacing="0"/>
        <w:jc w:val="both"/>
        <w:rPr>
          <w:rFonts w:ascii="Calibri" w:hAnsi="Calibri" w:cs="Calibri"/>
          <w:bCs/>
          <w:color w:val="000000"/>
          <w:sz w:val="22"/>
          <w:szCs w:val="22"/>
        </w:rPr>
      </w:pPr>
    </w:p>
    <w:p w14:paraId="3E08F650" w14:textId="04E96495" w:rsidR="002924F8" w:rsidRDefault="002924F8" w:rsidP="000B3A75">
      <w:pPr>
        <w:pStyle w:val="NormalWeb"/>
        <w:spacing w:before="120" w:beforeAutospacing="0" w:after="120" w:afterAutospacing="0"/>
        <w:jc w:val="both"/>
        <w:rPr>
          <w:rFonts w:ascii="Calibri" w:hAnsi="Calibri" w:cs="Calibri"/>
          <w:sz w:val="22"/>
          <w:szCs w:val="22"/>
        </w:rPr>
      </w:pPr>
      <w:r w:rsidRPr="002E2B5B">
        <w:rPr>
          <w:rFonts w:ascii="Calibri" w:hAnsi="Calibri" w:cs="Calibri"/>
          <w:b/>
          <w:color w:val="000000"/>
          <w:sz w:val="22"/>
          <w:szCs w:val="22"/>
        </w:rPr>
        <w:t xml:space="preserve">NOTA </w:t>
      </w:r>
      <w:r>
        <w:rPr>
          <w:rFonts w:ascii="Calibri" w:hAnsi="Calibri" w:cs="Calibri"/>
          <w:b/>
          <w:color w:val="000000"/>
          <w:sz w:val="22"/>
          <w:szCs w:val="22"/>
        </w:rPr>
        <w:t>9</w:t>
      </w:r>
      <w:r w:rsidRPr="002E2B5B">
        <w:rPr>
          <w:rFonts w:ascii="Calibri" w:hAnsi="Calibri" w:cs="Calibri"/>
          <w:b/>
          <w:color w:val="000000"/>
          <w:sz w:val="22"/>
          <w:szCs w:val="22"/>
        </w:rPr>
        <w:t xml:space="preserve"> – INTANGÍVEL</w:t>
      </w:r>
    </w:p>
    <w:tbl>
      <w:tblPr>
        <w:tblW w:w="5000" w:type="pct"/>
        <w:tblCellMar>
          <w:left w:w="70" w:type="dxa"/>
          <w:right w:w="70" w:type="dxa"/>
        </w:tblCellMar>
        <w:tblLook w:val="04A0" w:firstRow="1" w:lastRow="0" w:firstColumn="1" w:lastColumn="0" w:noHBand="0" w:noVBand="1"/>
      </w:tblPr>
      <w:tblGrid>
        <w:gridCol w:w="3373"/>
        <w:gridCol w:w="1206"/>
        <w:gridCol w:w="1287"/>
        <w:gridCol w:w="1084"/>
        <w:gridCol w:w="867"/>
        <w:gridCol w:w="1400"/>
        <w:gridCol w:w="1250"/>
      </w:tblGrid>
      <w:tr w:rsidR="0027114A" w:rsidRPr="002E2B5B" w14:paraId="10AB65EE" w14:textId="77777777" w:rsidTr="00987B82">
        <w:trPr>
          <w:trHeight w:hRule="exact" w:val="412"/>
        </w:trPr>
        <w:tc>
          <w:tcPr>
            <w:tcW w:w="1611" w:type="pct"/>
            <w:tcBorders>
              <w:top w:val="nil"/>
              <w:left w:val="nil"/>
              <w:bottom w:val="single" w:sz="4" w:space="0" w:color="auto"/>
              <w:right w:val="nil"/>
            </w:tcBorders>
            <w:shd w:val="clear" w:color="auto" w:fill="auto"/>
            <w:noWrap/>
            <w:vAlign w:val="bottom"/>
            <w:hideMark/>
          </w:tcPr>
          <w:p w14:paraId="1B3BE067" w14:textId="05937049" w:rsidR="003830E9" w:rsidRPr="00995A6A" w:rsidRDefault="00995A6A" w:rsidP="00563D49">
            <w:pPr>
              <w:spacing w:after="120"/>
              <w:rPr>
                <w:rFonts w:ascii="Calibri" w:hAnsi="Calibri" w:cs="Calibri"/>
                <w:b/>
                <w:color w:val="000000"/>
                <w:sz w:val="16"/>
                <w:szCs w:val="16"/>
              </w:rPr>
            </w:pPr>
            <w:r w:rsidRPr="00995A6A">
              <w:rPr>
                <w:rFonts w:ascii="Calibri" w:hAnsi="Calibri" w:cs="Calibri"/>
                <w:b/>
                <w:color w:val="000000"/>
                <w:sz w:val="16"/>
                <w:szCs w:val="16"/>
              </w:rPr>
              <w:t>ATIVO INTANGÍVEL</w:t>
            </w:r>
          </w:p>
          <w:p w14:paraId="58661665" w14:textId="77777777" w:rsidR="003830E9" w:rsidRDefault="003830E9" w:rsidP="00563D49">
            <w:pPr>
              <w:spacing w:after="120"/>
              <w:rPr>
                <w:rFonts w:ascii="Calibri" w:hAnsi="Calibri" w:cs="Calibri"/>
                <w:b/>
                <w:color w:val="000000"/>
                <w:sz w:val="22"/>
                <w:szCs w:val="22"/>
              </w:rPr>
            </w:pPr>
          </w:p>
          <w:p w14:paraId="06A4D717" w14:textId="631C86A3" w:rsidR="0098109C" w:rsidRPr="002E2B5B" w:rsidRDefault="00713327" w:rsidP="00563D49">
            <w:pPr>
              <w:spacing w:after="120"/>
              <w:rPr>
                <w:rFonts w:ascii="Calibri" w:hAnsi="Calibri" w:cs="Calibri"/>
                <w:b/>
                <w:color w:val="000000"/>
                <w:sz w:val="22"/>
                <w:szCs w:val="22"/>
              </w:rPr>
            </w:pPr>
            <w:r w:rsidRPr="002E2B5B">
              <w:rPr>
                <w:rFonts w:ascii="Calibri" w:hAnsi="Calibri" w:cs="Calibri"/>
                <w:b/>
                <w:color w:val="000000"/>
                <w:sz w:val="22"/>
                <w:szCs w:val="22"/>
              </w:rPr>
              <w:t xml:space="preserve"> </w:t>
            </w:r>
          </w:p>
          <w:p w14:paraId="7CDC3FA1" w14:textId="77777777" w:rsidR="0098109C" w:rsidRPr="002E2B5B" w:rsidRDefault="0098109C" w:rsidP="00563D49">
            <w:pPr>
              <w:spacing w:after="120"/>
              <w:rPr>
                <w:rFonts w:ascii="Calibri" w:hAnsi="Calibri" w:cs="Calibri"/>
                <w:b/>
                <w:color w:val="000000"/>
                <w:sz w:val="22"/>
                <w:szCs w:val="22"/>
              </w:rPr>
            </w:pPr>
          </w:p>
          <w:p w14:paraId="2881FF1F" w14:textId="77777777" w:rsidR="00CC5767" w:rsidRPr="002E2B5B" w:rsidRDefault="00CC5767" w:rsidP="00563D49">
            <w:pPr>
              <w:spacing w:after="120"/>
              <w:rPr>
                <w:rFonts w:ascii="Calibri" w:hAnsi="Calibri" w:cs="Calibri"/>
                <w:b/>
                <w:bCs/>
                <w:color w:val="000000"/>
                <w:sz w:val="16"/>
                <w:szCs w:val="16"/>
              </w:rPr>
            </w:pPr>
            <w:r w:rsidRPr="002E2B5B">
              <w:rPr>
                <w:rFonts w:ascii="Calibri" w:hAnsi="Calibri" w:cs="Calibri"/>
                <w:b/>
                <w:bCs/>
                <w:color w:val="000000"/>
                <w:sz w:val="16"/>
                <w:szCs w:val="16"/>
              </w:rPr>
              <w:t>INTANG</w:t>
            </w:r>
            <w:r w:rsidR="00D974C8" w:rsidRPr="002E2B5B">
              <w:rPr>
                <w:rFonts w:ascii="Calibri" w:hAnsi="Calibri" w:cs="Calibri"/>
                <w:b/>
                <w:bCs/>
                <w:color w:val="000000"/>
                <w:sz w:val="16"/>
                <w:szCs w:val="16"/>
              </w:rPr>
              <w:t>ÍV</w:t>
            </w:r>
            <w:r w:rsidRPr="002E2B5B">
              <w:rPr>
                <w:rFonts w:ascii="Calibri" w:hAnsi="Calibri" w:cs="Calibri"/>
                <w:b/>
                <w:bCs/>
                <w:color w:val="000000"/>
                <w:sz w:val="16"/>
                <w:szCs w:val="16"/>
              </w:rPr>
              <w:t>EL</w:t>
            </w:r>
          </w:p>
        </w:tc>
        <w:tc>
          <w:tcPr>
            <w:tcW w:w="576" w:type="pct"/>
            <w:tcBorders>
              <w:top w:val="nil"/>
              <w:left w:val="nil"/>
              <w:bottom w:val="single" w:sz="4" w:space="0" w:color="auto"/>
              <w:right w:val="nil"/>
            </w:tcBorders>
            <w:shd w:val="clear" w:color="auto" w:fill="auto"/>
            <w:vAlign w:val="bottom"/>
            <w:hideMark/>
          </w:tcPr>
          <w:p w14:paraId="1E251704" w14:textId="3262C455" w:rsidR="00CC5767" w:rsidRPr="002E2B5B" w:rsidRDefault="00CC5767" w:rsidP="00563D49">
            <w:pPr>
              <w:spacing w:after="120"/>
              <w:jc w:val="right"/>
              <w:rPr>
                <w:rFonts w:ascii="Calibri" w:hAnsi="Calibri" w:cs="Calibri"/>
                <w:b/>
                <w:bCs/>
                <w:color w:val="000000"/>
                <w:sz w:val="16"/>
                <w:szCs w:val="16"/>
              </w:rPr>
            </w:pPr>
            <w:r w:rsidRPr="002E2B5B">
              <w:rPr>
                <w:rFonts w:ascii="Calibri" w:hAnsi="Calibri" w:cs="Calibri"/>
                <w:b/>
                <w:bCs/>
                <w:color w:val="000000"/>
                <w:sz w:val="16"/>
                <w:szCs w:val="16"/>
              </w:rPr>
              <w:t>SALDO EM 31/12/20</w:t>
            </w:r>
            <w:r w:rsidR="00837C39">
              <w:rPr>
                <w:rFonts w:ascii="Calibri" w:hAnsi="Calibri" w:cs="Calibri"/>
                <w:b/>
                <w:bCs/>
                <w:color w:val="000000"/>
                <w:sz w:val="16"/>
                <w:szCs w:val="16"/>
              </w:rPr>
              <w:t>2</w:t>
            </w:r>
            <w:r w:rsidR="00B86973">
              <w:rPr>
                <w:rFonts w:ascii="Calibri" w:hAnsi="Calibri" w:cs="Calibri"/>
                <w:b/>
                <w:bCs/>
                <w:color w:val="000000"/>
                <w:sz w:val="16"/>
                <w:szCs w:val="16"/>
              </w:rPr>
              <w:t>1</w:t>
            </w:r>
          </w:p>
        </w:tc>
        <w:tc>
          <w:tcPr>
            <w:tcW w:w="615" w:type="pct"/>
            <w:tcBorders>
              <w:top w:val="nil"/>
              <w:left w:val="nil"/>
              <w:bottom w:val="single" w:sz="4" w:space="0" w:color="auto"/>
              <w:right w:val="nil"/>
            </w:tcBorders>
            <w:shd w:val="clear" w:color="auto" w:fill="auto"/>
            <w:vAlign w:val="bottom"/>
            <w:hideMark/>
          </w:tcPr>
          <w:p w14:paraId="0FF0A443" w14:textId="77777777" w:rsidR="00CC5767" w:rsidRPr="002E2B5B" w:rsidRDefault="00CC5767" w:rsidP="00563D49">
            <w:pPr>
              <w:spacing w:after="120"/>
              <w:jc w:val="right"/>
              <w:rPr>
                <w:rFonts w:ascii="Calibri" w:hAnsi="Calibri" w:cs="Calibri"/>
                <w:b/>
                <w:bCs/>
                <w:color w:val="000000"/>
                <w:sz w:val="16"/>
                <w:szCs w:val="16"/>
              </w:rPr>
            </w:pPr>
            <w:r w:rsidRPr="002E2B5B">
              <w:rPr>
                <w:rFonts w:ascii="Calibri" w:hAnsi="Calibri" w:cs="Calibri"/>
                <w:b/>
                <w:bCs/>
                <w:color w:val="000000"/>
                <w:sz w:val="16"/>
                <w:szCs w:val="16"/>
              </w:rPr>
              <w:t>ENTRADAS</w:t>
            </w:r>
          </w:p>
        </w:tc>
        <w:tc>
          <w:tcPr>
            <w:tcW w:w="518" w:type="pct"/>
            <w:tcBorders>
              <w:top w:val="nil"/>
              <w:left w:val="nil"/>
              <w:bottom w:val="single" w:sz="4" w:space="0" w:color="auto"/>
              <w:right w:val="nil"/>
            </w:tcBorders>
            <w:shd w:val="clear" w:color="auto" w:fill="auto"/>
            <w:vAlign w:val="bottom"/>
            <w:hideMark/>
          </w:tcPr>
          <w:p w14:paraId="1DDA4D79" w14:textId="77777777" w:rsidR="00CC5767" w:rsidRPr="002E2B5B" w:rsidRDefault="00CC5767" w:rsidP="00563D49">
            <w:pPr>
              <w:spacing w:after="120"/>
              <w:jc w:val="right"/>
              <w:rPr>
                <w:rFonts w:ascii="Calibri" w:hAnsi="Calibri" w:cs="Calibri"/>
                <w:b/>
                <w:bCs/>
                <w:color w:val="000000"/>
                <w:sz w:val="16"/>
                <w:szCs w:val="16"/>
              </w:rPr>
            </w:pPr>
            <w:r w:rsidRPr="002E2B5B">
              <w:rPr>
                <w:rFonts w:ascii="Calibri" w:hAnsi="Calibri" w:cs="Calibri"/>
                <w:b/>
                <w:bCs/>
                <w:color w:val="000000"/>
                <w:sz w:val="16"/>
                <w:szCs w:val="16"/>
              </w:rPr>
              <w:t>BAIXAS</w:t>
            </w:r>
          </w:p>
        </w:tc>
        <w:tc>
          <w:tcPr>
            <w:tcW w:w="414" w:type="pct"/>
            <w:tcBorders>
              <w:top w:val="nil"/>
              <w:left w:val="nil"/>
              <w:bottom w:val="single" w:sz="4" w:space="0" w:color="auto"/>
              <w:right w:val="nil"/>
            </w:tcBorders>
            <w:shd w:val="clear" w:color="auto" w:fill="auto"/>
            <w:vAlign w:val="bottom"/>
            <w:hideMark/>
          </w:tcPr>
          <w:p w14:paraId="5ADAD819" w14:textId="77777777" w:rsidR="00CC5767" w:rsidRPr="002E2B5B" w:rsidRDefault="00CC5767" w:rsidP="00563D49">
            <w:pPr>
              <w:spacing w:after="120"/>
              <w:jc w:val="right"/>
              <w:rPr>
                <w:rFonts w:ascii="Calibri" w:hAnsi="Calibri" w:cs="Calibri"/>
                <w:b/>
                <w:bCs/>
                <w:color w:val="000000"/>
                <w:sz w:val="16"/>
                <w:szCs w:val="16"/>
              </w:rPr>
            </w:pPr>
            <w:r w:rsidRPr="002E2B5B">
              <w:rPr>
                <w:rFonts w:ascii="Calibri" w:hAnsi="Calibri" w:cs="Calibri"/>
                <w:b/>
                <w:bCs/>
                <w:color w:val="000000"/>
                <w:sz w:val="16"/>
                <w:szCs w:val="16"/>
              </w:rPr>
              <w:t>TRANSF.</w:t>
            </w:r>
          </w:p>
        </w:tc>
        <w:tc>
          <w:tcPr>
            <w:tcW w:w="669" w:type="pct"/>
            <w:tcBorders>
              <w:top w:val="nil"/>
              <w:left w:val="nil"/>
              <w:bottom w:val="single" w:sz="4" w:space="0" w:color="auto"/>
              <w:right w:val="nil"/>
            </w:tcBorders>
            <w:shd w:val="clear" w:color="auto" w:fill="auto"/>
            <w:vAlign w:val="bottom"/>
            <w:hideMark/>
          </w:tcPr>
          <w:p w14:paraId="18A11951" w14:textId="1EFCFBC2" w:rsidR="00CC5767" w:rsidRPr="002E2B5B" w:rsidRDefault="00CC5767" w:rsidP="00563D49">
            <w:pPr>
              <w:spacing w:after="120"/>
              <w:jc w:val="right"/>
              <w:rPr>
                <w:rFonts w:ascii="Calibri" w:hAnsi="Calibri" w:cs="Calibri"/>
                <w:b/>
                <w:bCs/>
                <w:color w:val="000000"/>
                <w:sz w:val="16"/>
                <w:szCs w:val="16"/>
              </w:rPr>
            </w:pPr>
            <w:r w:rsidRPr="002E2B5B">
              <w:rPr>
                <w:rFonts w:ascii="Calibri" w:hAnsi="Calibri" w:cs="Calibri"/>
                <w:b/>
                <w:bCs/>
                <w:color w:val="000000"/>
                <w:sz w:val="16"/>
                <w:szCs w:val="16"/>
              </w:rPr>
              <w:t xml:space="preserve">SALDO EM </w:t>
            </w:r>
            <w:r w:rsidR="00D905E6">
              <w:rPr>
                <w:rFonts w:ascii="Calibri" w:hAnsi="Calibri" w:cs="Calibri"/>
                <w:b/>
                <w:bCs/>
                <w:color w:val="000000"/>
                <w:sz w:val="16"/>
                <w:szCs w:val="16"/>
              </w:rPr>
              <w:t>3</w:t>
            </w:r>
            <w:r w:rsidR="004C6A3A">
              <w:rPr>
                <w:rFonts w:ascii="Calibri" w:hAnsi="Calibri" w:cs="Calibri"/>
                <w:b/>
                <w:bCs/>
                <w:color w:val="000000"/>
                <w:sz w:val="16"/>
                <w:szCs w:val="16"/>
              </w:rPr>
              <w:t>0</w:t>
            </w:r>
            <w:r w:rsidR="00D905E6">
              <w:rPr>
                <w:rFonts w:ascii="Calibri" w:hAnsi="Calibri" w:cs="Calibri"/>
                <w:b/>
                <w:bCs/>
                <w:color w:val="000000"/>
                <w:sz w:val="16"/>
                <w:szCs w:val="16"/>
              </w:rPr>
              <w:t>/</w:t>
            </w:r>
            <w:r w:rsidR="00B86973">
              <w:rPr>
                <w:rFonts w:ascii="Calibri" w:hAnsi="Calibri" w:cs="Calibri"/>
                <w:b/>
                <w:bCs/>
                <w:color w:val="000000"/>
                <w:sz w:val="16"/>
                <w:szCs w:val="16"/>
              </w:rPr>
              <w:t>0</w:t>
            </w:r>
            <w:r w:rsidR="004C6A3A">
              <w:rPr>
                <w:rFonts w:ascii="Calibri" w:hAnsi="Calibri" w:cs="Calibri"/>
                <w:b/>
                <w:bCs/>
                <w:color w:val="000000"/>
                <w:sz w:val="16"/>
                <w:szCs w:val="16"/>
              </w:rPr>
              <w:t>6</w:t>
            </w:r>
            <w:r w:rsidR="00D905E6">
              <w:rPr>
                <w:rFonts w:ascii="Calibri" w:hAnsi="Calibri" w:cs="Calibri"/>
                <w:b/>
                <w:bCs/>
                <w:color w:val="000000"/>
                <w:sz w:val="16"/>
                <w:szCs w:val="16"/>
              </w:rPr>
              <w:t>/202</w:t>
            </w:r>
            <w:r w:rsidR="00B86973">
              <w:rPr>
                <w:rFonts w:ascii="Calibri" w:hAnsi="Calibri" w:cs="Calibri"/>
                <w:b/>
                <w:bCs/>
                <w:color w:val="000000"/>
                <w:sz w:val="16"/>
                <w:szCs w:val="16"/>
              </w:rPr>
              <w:t>2</w:t>
            </w:r>
          </w:p>
        </w:tc>
        <w:tc>
          <w:tcPr>
            <w:tcW w:w="597" w:type="pct"/>
            <w:tcBorders>
              <w:top w:val="nil"/>
              <w:left w:val="nil"/>
              <w:bottom w:val="single" w:sz="4" w:space="0" w:color="auto"/>
              <w:right w:val="nil"/>
            </w:tcBorders>
            <w:shd w:val="clear" w:color="auto" w:fill="auto"/>
            <w:vAlign w:val="bottom"/>
            <w:hideMark/>
          </w:tcPr>
          <w:p w14:paraId="7754F0EB" w14:textId="77777777" w:rsidR="00CC5767" w:rsidRPr="002E2B5B" w:rsidRDefault="00CC5767" w:rsidP="00563D49">
            <w:pPr>
              <w:spacing w:after="120"/>
              <w:jc w:val="right"/>
              <w:rPr>
                <w:rFonts w:ascii="Calibri" w:hAnsi="Calibri" w:cs="Calibri"/>
                <w:b/>
                <w:bCs/>
                <w:color w:val="000000"/>
                <w:sz w:val="16"/>
                <w:szCs w:val="16"/>
              </w:rPr>
            </w:pPr>
            <w:r w:rsidRPr="002E2B5B">
              <w:rPr>
                <w:rFonts w:ascii="Calibri" w:hAnsi="Calibri" w:cs="Calibri"/>
                <w:b/>
                <w:bCs/>
                <w:color w:val="000000"/>
                <w:sz w:val="16"/>
                <w:szCs w:val="16"/>
              </w:rPr>
              <w:t>TAXA AMORTIZ. (%)</w:t>
            </w:r>
          </w:p>
        </w:tc>
      </w:tr>
      <w:tr w:rsidR="0027114A" w:rsidRPr="002E2B5B" w14:paraId="12027DA7" w14:textId="77777777" w:rsidTr="00987B82">
        <w:trPr>
          <w:trHeight w:hRule="exact" w:val="227"/>
        </w:trPr>
        <w:tc>
          <w:tcPr>
            <w:tcW w:w="1611" w:type="pct"/>
            <w:tcBorders>
              <w:top w:val="nil"/>
              <w:left w:val="nil"/>
              <w:bottom w:val="nil"/>
              <w:right w:val="nil"/>
            </w:tcBorders>
            <w:shd w:val="clear" w:color="auto" w:fill="auto"/>
            <w:noWrap/>
            <w:vAlign w:val="bottom"/>
            <w:hideMark/>
          </w:tcPr>
          <w:p w14:paraId="1A7206FF" w14:textId="77777777" w:rsidR="0027114A" w:rsidRPr="002E2B5B" w:rsidRDefault="0027114A" w:rsidP="00563D49">
            <w:pPr>
              <w:spacing w:after="120"/>
              <w:rPr>
                <w:rFonts w:ascii="Calibri" w:hAnsi="Calibri" w:cs="Calibri"/>
                <w:color w:val="000000"/>
                <w:sz w:val="16"/>
                <w:szCs w:val="16"/>
              </w:rPr>
            </w:pPr>
            <w:r w:rsidRPr="002E2B5B">
              <w:rPr>
                <w:rFonts w:ascii="Calibri" w:hAnsi="Calibri" w:cs="Calibri"/>
                <w:color w:val="000000"/>
                <w:sz w:val="16"/>
                <w:szCs w:val="16"/>
              </w:rPr>
              <w:t>Direito de Uso de Comunicação</w:t>
            </w:r>
          </w:p>
        </w:tc>
        <w:tc>
          <w:tcPr>
            <w:tcW w:w="576" w:type="pct"/>
            <w:tcBorders>
              <w:top w:val="nil"/>
              <w:left w:val="nil"/>
              <w:bottom w:val="nil"/>
              <w:right w:val="nil"/>
            </w:tcBorders>
            <w:shd w:val="clear" w:color="auto" w:fill="auto"/>
            <w:noWrap/>
            <w:vAlign w:val="bottom"/>
            <w:hideMark/>
          </w:tcPr>
          <w:p w14:paraId="23832C92" w14:textId="77777777" w:rsidR="0027114A" w:rsidRPr="002E2B5B" w:rsidRDefault="0027114A" w:rsidP="00563D49">
            <w:pPr>
              <w:spacing w:after="120"/>
              <w:jc w:val="right"/>
              <w:rPr>
                <w:rFonts w:ascii="Calibri" w:hAnsi="Calibri" w:cs="Calibri"/>
                <w:color w:val="000000"/>
                <w:sz w:val="16"/>
                <w:szCs w:val="16"/>
              </w:rPr>
            </w:pPr>
            <w:r w:rsidRPr="002E2B5B">
              <w:rPr>
                <w:rFonts w:ascii="Calibri" w:hAnsi="Calibri" w:cs="Calibri"/>
                <w:color w:val="000000"/>
                <w:sz w:val="16"/>
                <w:szCs w:val="16"/>
              </w:rPr>
              <w:t>139.790</w:t>
            </w:r>
          </w:p>
        </w:tc>
        <w:tc>
          <w:tcPr>
            <w:tcW w:w="615" w:type="pct"/>
            <w:tcBorders>
              <w:top w:val="nil"/>
              <w:left w:val="nil"/>
              <w:bottom w:val="nil"/>
              <w:right w:val="nil"/>
            </w:tcBorders>
            <w:shd w:val="clear" w:color="auto" w:fill="auto"/>
            <w:noWrap/>
            <w:vAlign w:val="bottom"/>
            <w:hideMark/>
          </w:tcPr>
          <w:p w14:paraId="7A519EE6" w14:textId="77777777" w:rsidR="0027114A" w:rsidRPr="002E2B5B" w:rsidRDefault="0027114A" w:rsidP="00563D49">
            <w:pPr>
              <w:spacing w:after="120"/>
              <w:jc w:val="right"/>
              <w:rPr>
                <w:rFonts w:ascii="Calibri" w:hAnsi="Calibri" w:cs="Calibri"/>
                <w:color w:val="000000"/>
                <w:sz w:val="16"/>
                <w:szCs w:val="16"/>
              </w:rPr>
            </w:pPr>
            <w:r w:rsidRPr="002E2B5B">
              <w:rPr>
                <w:rFonts w:ascii="Calibri" w:hAnsi="Calibri" w:cs="Calibri"/>
                <w:color w:val="000000"/>
                <w:sz w:val="16"/>
                <w:szCs w:val="16"/>
              </w:rPr>
              <w:t>0</w:t>
            </w:r>
          </w:p>
        </w:tc>
        <w:tc>
          <w:tcPr>
            <w:tcW w:w="518" w:type="pct"/>
            <w:tcBorders>
              <w:top w:val="nil"/>
              <w:left w:val="nil"/>
              <w:bottom w:val="nil"/>
              <w:right w:val="nil"/>
            </w:tcBorders>
            <w:shd w:val="clear" w:color="auto" w:fill="auto"/>
            <w:noWrap/>
            <w:vAlign w:val="bottom"/>
            <w:hideMark/>
          </w:tcPr>
          <w:p w14:paraId="2849D0CC" w14:textId="77777777" w:rsidR="0027114A" w:rsidRPr="002E2B5B" w:rsidRDefault="0027114A" w:rsidP="00563D49">
            <w:pPr>
              <w:spacing w:after="120"/>
              <w:jc w:val="right"/>
              <w:rPr>
                <w:rFonts w:ascii="Calibri" w:hAnsi="Calibri" w:cs="Calibri"/>
                <w:color w:val="000000"/>
                <w:sz w:val="16"/>
                <w:szCs w:val="16"/>
              </w:rPr>
            </w:pPr>
            <w:r w:rsidRPr="002E2B5B">
              <w:rPr>
                <w:rFonts w:ascii="Calibri" w:hAnsi="Calibri" w:cs="Calibri"/>
                <w:color w:val="000000"/>
                <w:sz w:val="16"/>
                <w:szCs w:val="16"/>
              </w:rPr>
              <w:t>0</w:t>
            </w:r>
          </w:p>
        </w:tc>
        <w:tc>
          <w:tcPr>
            <w:tcW w:w="414" w:type="pct"/>
            <w:tcBorders>
              <w:top w:val="nil"/>
              <w:left w:val="nil"/>
              <w:bottom w:val="nil"/>
              <w:right w:val="nil"/>
            </w:tcBorders>
            <w:shd w:val="clear" w:color="auto" w:fill="auto"/>
            <w:noWrap/>
            <w:vAlign w:val="bottom"/>
            <w:hideMark/>
          </w:tcPr>
          <w:p w14:paraId="32DBE3AC" w14:textId="77777777" w:rsidR="0027114A" w:rsidRPr="002E2B5B" w:rsidRDefault="0027114A" w:rsidP="00563D49">
            <w:pPr>
              <w:spacing w:after="120"/>
              <w:jc w:val="right"/>
              <w:rPr>
                <w:rFonts w:ascii="Calibri" w:hAnsi="Calibri" w:cs="Calibri"/>
                <w:color w:val="000000"/>
                <w:sz w:val="16"/>
                <w:szCs w:val="16"/>
              </w:rPr>
            </w:pPr>
            <w:r w:rsidRPr="002E2B5B">
              <w:rPr>
                <w:rFonts w:ascii="Calibri" w:hAnsi="Calibri" w:cs="Calibri"/>
                <w:color w:val="000000"/>
                <w:sz w:val="16"/>
                <w:szCs w:val="16"/>
              </w:rPr>
              <w:t>0</w:t>
            </w:r>
          </w:p>
        </w:tc>
        <w:tc>
          <w:tcPr>
            <w:tcW w:w="669" w:type="pct"/>
            <w:tcBorders>
              <w:top w:val="nil"/>
              <w:left w:val="nil"/>
              <w:bottom w:val="nil"/>
              <w:right w:val="nil"/>
            </w:tcBorders>
            <w:shd w:val="clear" w:color="auto" w:fill="auto"/>
            <w:noWrap/>
            <w:vAlign w:val="bottom"/>
            <w:hideMark/>
          </w:tcPr>
          <w:p w14:paraId="38BA14DA" w14:textId="77777777" w:rsidR="0027114A" w:rsidRPr="002E2B5B" w:rsidRDefault="0027114A" w:rsidP="00563D49">
            <w:pPr>
              <w:spacing w:after="120"/>
              <w:jc w:val="right"/>
              <w:rPr>
                <w:rFonts w:ascii="Calibri" w:hAnsi="Calibri" w:cs="Calibri"/>
                <w:color w:val="000000"/>
                <w:sz w:val="16"/>
                <w:szCs w:val="16"/>
              </w:rPr>
            </w:pPr>
            <w:r w:rsidRPr="002E2B5B">
              <w:rPr>
                <w:rFonts w:ascii="Calibri" w:hAnsi="Calibri" w:cs="Calibri"/>
                <w:color w:val="000000"/>
                <w:sz w:val="16"/>
                <w:szCs w:val="16"/>
              </w:rPr>
              <w:t>139.790</w:t>
            </w:r>
          </w:p>
        </w:tc>
        <w:tc>
          <w:tcPr>
            <w:tcW w:w="597" w:type="pct"/>
            <w:tcBorders>
              <w:top w:val="nil"/>
              <w:left w:val="nil"/>
              <w:bottom w:val="nil"/>
              <w:right w:val="nil"/>
            </w:tcBorders>
            <w:shd w:val="clear" w:color="auto" w:fill="auto"/>
            <w:noWrap/>
            <w:vAlign w:val="bottom"/>
            <w:hideMark/>
          </w:tcPr>
          <w:p w14:paraId="55BEC117" w14:textId="77777777" w:rsidR="0027114A" w:rsidRPr="002E2B5B" w:rsidRDefault="0027114A" w:rsidP="00563D49">
            <w:pPr>
              <w:spacing w:after="120"/>
              <w:jc w:val="right"/>
              <w:rPr>
                <w:rFonts w:ascii="Calibri" w:hAnsi="Calibri" w:cs="Calibri"/>
                <w:color w:val="000000"/>
                <w:sz w:val="16"/>
                <w:szCs w:val="16"/>
              </w:rPr>
            </w:pPr>
            <w:r w:rsidRPr="002E2B5B">
              <w:rPr>
                <w:rFonts w:ascii="Calibri" w:hAnsi="Calibri" w:cs="Calibri"/>
                <w:color w:val="000000"/>
                <w:sz w:val="16"/>
                <w:szCs w:val="16"/>
              </w:rPr>
              <w:t>-</w:t>
            </w:r>
          </w:p>
        </w:tc>
      </w:tr>
      <w:tr w:rsidR="0027114A" w:rsidRPr="002E2B5B" w14:paraId="65C42BAD" w14:textId="77777777" w:rsidTr="00987B82">
        <w:trPr>
          <w:trHeight w:hRule="exact" w:val="227"/>
        </w:trPr>
        <w:tc>
          <w:tcPr>
            <w:tcW w:w="1611" w:type="pct"/>
            <w:tcBorders>
              <w:top w:val="nil"/>
              <w:left w:val="nil"/>
              <w:bottom w:val="nil"/>
              <w:right w:val="nil"/>
            </w:tcBorders>
            <w:shd w:val="clear" w:color="auto" w:fill="auto"/>
            <w:noWrap/>
            <w:vAlign w:val="bottom"/>
            <w:hideMark/>
          </w:tcPr>
          <w:p w14:paraId="049B3189" w14:textId="77777777" w:rsidR="0027114A" w:rsidRPr="002E2B5B" w:rsidRDefault="0027114A" w:rsidP="00563D49">
            <w:pPr>
              <w:spacing w:after="120"/>
              <w:rPr>
                <w:rFonts w:ascii="Calibri" w:hAnsi="Calibri" w:cs="Calibri"/>
                <w:color w:val="000000"/>
                <w:sz w:val="16"/>
                <w:szCs w:val="16"/>
              </w:rPr>
            </w:pPr>
            <w:r w:rsidRPr="002E2B5B">
              <w:rPr>
                <w:rFonts w:ascii="Calibri" w:hAnsi="Calibri" w:cs="Calibri"/>
                <w:color w:val="000000"/>
                <w:sz w:val="16"/>
                <w:szCs w:val="16"/>
              </w:rPr>
              <w:t>Softwares</w:t>
            </w:r>
          </w:p>
        </w:tc>
        <w:tc>
          <w:tcPr>
            <w:tcW w:w="576" w:type="pct"/>
            <w:tcBorders>
              <w:top w:val="nil"/>
              <w:left w:val="nil"/>
              <w:bottom w:val="nil"/>
              <w:right w:val="nil"/>
            </w:tcBorders>
            <w:shd w:val="clear" w:color="auto" w:fill="auto"/>
            <w:noWrap/>
            <w:vAlign w:val="bottom"/>
            <w:hideMark/>
          </w:tcPr>
          <w:p w14:paraId="50C7FB48" w14:textId="3241C32B" w:rsidR="0027114A" w:rsidRPr="002E2B5B" w:rsidRDefault="00B86973" w:rsidP="00563D49">
            <w:pPr>
              <w:spacing w:after="120"/>
              <w:jc w:val="right"/>
              <w:rPr>
                <w:rFonts w:ascii="Calibri" w:hAnsi="Calibri" w:cs="Calibri"/>
                <w:color w:val="000000"/>
                <w:sz w:val="16"/>
                <w:szCs w:val="16"/>
              </w:rPr>
            </w:pPr>
            <w:r w:rsidRPr="002E2B5B">
              <w:rPr>
                <w:rFonts w:ascii="Calibri" w:hAnsi="Calibri" w:cs="Calibri"/>
                <w:color w:val="000000"/>
                <w:sz w:val="16"/>
                <w:szCs w:val="16"/>
              </w:rPr>
              <w:t>11.</w:t>
            </w:r>
            <w:r>
              <w:rPr>
                <w:rFonts w:ascii="Calibri" w:hAnsi="Calibri" w:cs="Calibri"/>
                <w:color w:val="000000"/>
                <w:sz w:val="16"/>
                <w:szCs w:val="16"/>
              </w:rPr>
              <w:t>731.207</w:t>
            </w:r>
          </w:p>
        </w:tc>
        <w:tc>
          <w:tcPr>
            <w:tcW w:w="615" w:type="pct"/>
            <w:tcBorders>
              <w:top w:val="nil"/>
              <w:left w:val="nil"/>
              <w:bottom w:val="nil"/>
              <w:right w:val="nil"/>
            </w:tcBorders>
            <w:shd w:val="clear" w:color="auto" w:fill="auto"/>
            <w:noWrap/>
            <w:vAlign w:val="bottom"/>
            <w:hideMark/>
          </w:tcPr>
          <w:p w14:paraId="22FFE0EF" w14:textId="71531C5E" w:rsidR="0027114A" w:rsidRPr="002E2B5B" w:rsidRDefault="00B86973" w:rsidP="00563D49">
            <w:pPr>
              <w:spacing w:after="120"/>
              <w:jc w:val="right"/>
              <w:rPr>
                <w:rFonts w:ascii="Calibri" w:hAnsi="Calibri" w:cs="Calibri"/>
                <w:color w:val="000000"/>
                <w:sz w:val="16"/>
                <w:szCs w:val="16"/>
              </w:rPr>
            </w:pPr>
            <w:r>
              <w:rPr>
                <w:rFonts w:ascii="Calibri" w:hAnsi="Calibri" w:cs="Calibri"/>
                <w:color w:val="000000"/>
                <w:sz w:val="16"/>
                <w:szCs w:val="16"/>
              </w:rPr>
              <w:t>0</w:t>
            </w:r>
          </w:p>
        </w:tc>
        <w:tc>
          <w:tcPr>
            <w:tcW w:w="518" w:type="pct"/>
            <w:tcBorders>
              <w:top w:val="nil"/>
              <w:left w:val="nil"/>
              <w:bottom w:val="nil"/>
              <w:right w:val="nil"/>
            </w:tcBorders>
            <w:shd w:val="clear" w:color="auto" w:fill="auto"/>
            <w:noWrap/>
            <w:vAlign w:val="bottom"/>
            <w:hideMark/>
          </w:tcPr>
          <w:p w14:paraId="4D64FA41" w14:textId="097CD438" w:rsidR="0027114A" w:rsidRPr="002E2B5B" w:rsidRDefault="00837C39" w:rsidP="00563D49">
            <w:pPr>
              <w:spacing w:after="120"/>
              <w:jc w:val="right"/>
              <w:rPr>
                <w:rFonts w:ascii="Calibri" w:hAnsi="Calibri" w:cs="Calibri"/>
                <w:color w:val="000000"/>
                <w:sz w:val="16"/>
                <w:szCs w:val="16"/>
              </w:rPr>
            </w:pPr>
            <w:r>
              <w:rPr>
                <w:rFonts w:ascii="Calibri" w:hAnsi="Calibri" w:cs="Calibri"/>
                <w:color w:val="000000"/>
                <w:sz w:val="16"/>
                <w:szCs w:val="16"/>
              </w:rPr>
              <w:t>0</w:t>
            </w:r>
          </w:p>
        </w:tc>
        <w:tc>
          <w:tcPr>
            <w:tcW w:w="414" w:type="pct"/>
            <w:tcBorders>
              <w:top w:val="nil"/>
              <w:left w:val="nil"/>
              <w:bottom w:val="nil"/>
              <w:right w:val="nil"/>
            </w:tcBorders>
            <w:shd w:val="clear" w:color="auto" w:fill="auto"/>
            <w:noWrap/>
            <w:vAlign w:val="bottom"/>
            <w:hideMark/>
          </w:tcPr>
          <w:p w14:paraId="35E169C1" w14:textId="77777777" w:rsidR="0027114A" w:rsidRPr="002E2B5B" w:rsidRDefault="0027114A" w:rsidP="00563D49">
            <w:pPr>
              <w:spacing w:after="120"/>
              <w:jc w:val="right"/>
              <w:rPr>
                <w:rFonts w:ascii="Calibri" w:hAnsi="Calibri" w:cs="Calibri"/>
                <w:color w:val="000000"/>
                <w:sz w:val="16"/>
                <w:szCs w:val="16"/>
              </w:rPr>
            </w:pPr>
            <w:r w:rsidRPr="002E2B5B">
              <w:rPr>
                <w:rFonts w:ascii="Calibri" w:hAnsi="Calibri" w:cs="Calibri"/>
                <w:color w:val="000000"/>
                <w:sz w:val="16"/>
                <w:szCs w:val="16"/>
              </w:rPr>
              <w:t>0</w:t>
            </w:r>
          </w:p>
        </w:tc>
        <w:tc>
          <w:tcPr>
            <w:tcW w:w="669" w:type="pct"/>
            <w:tcBorders>
              <w:top w:val="nil"/>
              <w:left w:val="nil"/>
              <w:bottom w:val="nil"/>
              <w:right w:val="nil"/>
            </w:tcBorders>
            <w:shd w:val="clear" w:color="auto" w:fill="auto"/>
            <w:noWrap/>
            <w:vAlign w:val="bottom"/>
            <w:hideMark/>
          </w:tcPr>
          <w:p w14:paraId="23A2D84C" w14:textId="70980F58" w:rsidR="0027114A" w:rsidRPr="002E2B5B" w:rsidRDefault="0027114A" w:rsidP="00563D49">
            <w:pPr>
              <w:spacing w:after="120"/>
              <w:jc w:val="right"/>
              <w:rPr>
                <w:rFonts w:ascii="Calibri" w:hAnsi="Calibri" w:cs="Calibri"/>
                <w:color w:val="000000"/>
                <w:sz w:val="16"/>
                <w:szCs w:val="16"/>
              </w:rPr>
            </w:pPr>
            <w:r w:rsidRPr="002E2B5B">
              <w:rPr>
                <w:rFonts w:ascii="Calibri" w:hAnsi="Calibri" w:cs="Calibri"/>
                <w:color w:val="000000"/>
                <w:sz w:val="16"/>
                <w:szCs w:val="16"/>
              </w:rPr>
              <w:t>11.</w:t>
            </w:r>
            <w:r w:rsidR="00837C39">
              <w:rPr>
                <w:rFonts w:ascii="Calibri" w:hAnsi="Calibri" w:cs="Calibri"/>
                <w:color w:val="000000"/>
                <w:sz w:val="16"/>
                <w:szCs w:val="16"/>
              </w:rPr>
              <w:t>731.207</w:t>
            </w:r>
          </w:p>
        </w:tc>
        <w:tc>
          <w:tcPr>
            <w:tcW w:w="597" w:type="pct"/>
            <w:tcBorders>
              <w:top w:val="nil"/>
              <w:left w:val="nil"/>
              <w:bottom w:val="nil"/>
              <w:right w:val="nil"/>
            </w:tcBorders>
            <w:shd w:val="clear" w:color="auto" w:fill="auto"/>
            <w:noWrap/>
            <w:vAlign w:val="bottom"/>
            <w:hideMark/>
          </w:tcPr>
          <w:p w14:paraId="3950A484" w14:textId="77777777" w:rsidR="0027114A" w:rsidRPr="002E2B5B" w:rsidRDefault="0027114A" w:rsidP="00563D49">
            <w:pPr>
              <w:spacing w:after="120"/>
              <w:jc w:val="right"/>
              <w:rPr>
                <w:rFonts w:ascii="Calibri" w:hAnsi="Calibri" w:cs="Calibri"/>
                <w:color w:val="000000"/>
                <w:sz w:val="16"/>
                <w:szCs w:val="16"/>
              </w:rPr>
            </w:pPr>
            <w:r w:rsidRPr="002E2B5B">
              <w:rPr>
                <w:rFonts w:ascii="Calibri" w:hAnsi="Calibri" w:cs="Calibri"/>
                <w:color w:val="000000"/>
                <w:sz w:val="16"/>
                <w:szCs w:val="16"/>
              </w:rPr>
              <w:t>20</w:t>
            </w:r>
          </w:p>
        </w:tc>
      </w:tr>
      <w:tr w:rsidR="0027114A" w:rsidRPr="002E2B5B" w14:paraId="6B69B262" w14:textId="77777777" w:rsidTr="00987B82">
        <w:trPr>
          <w:trHeight w:hRule="exact" w:val="227"/>
        </w:trPr>
        <w:tc>
          <w:tcPr>
            <w:tcW w:w="1611" w:type="pct"/>
            <w:tcBorders>
              <w:top w:val="nil"/>
              <w:left w:val="nil"/>
              <w:bottom w:val="nil"/>
              <w:right w:val="nil"/>
            </w:tcBorders>
            <w:shd w:val="clear" w:color="auto" w:fill="auto"/>
            <w:noWrap/>
            <w:vAlign w:val="bottom"/>
            <w:hideMark/>
          </w:tcPr>
          <w:p w14:paraId="31CC6FE1" w14:textId="77777777" w:rsidR="0027114A" w:rsidRPr="002E2B5B" w:rsidRDefault="0027114A" w:rsidP="00563D49">
            <w:pPr>
              <w:spacing w:after="120"/>
              <w:rPr>
                <w:rFonts w:ascii="Calibri" w:hAnsi="Calibri" w:cs="Calibri"/>
                <w:color w:val="000000"/>
                <w:sz w:val="16"/>
                <w:szCs w:val="16"/>
              </w:rPr>
            </w:pPr>
            <w:r w:rsidRPr="002E2B5B">
              <w:rPr>
                <w:rFonts w:ascii="Calibri" w:hAnsi="Calibri" w:cs="Calibri"/>
                <w:color w:val="000000"/>
                <w:sz w:val="16"/>
                <w:szCs w:val="16"/>
              </w:rPr>
              <w:t>(-) Amortizações Acumuladas</w:t>
            </w:r>
          </w:p>
        </w:tc>
        <w:tc>
          <w:tcPr>
            <w:tcW w:w="576" w:type="pct"/>
            <w:tcBorders>
              <w:top w:val="nil"/>
              <w:left w:val="nil"/>
              <w:bottom w:val="nil"/>
              <w:right w:val="nil"/>
            </w:tcBorders>
            <w:shd w:val="clear" w:color="auto" w:fill="auto"/>
            <w:noWrap/>
            <w:vAlign w:val="bottom"/>
            <w:hideMark/>
          </w:tcPr>
          <w:p w14:paraId="0AECD106" w14:textId="26D8598C" w:rsidR="0027114A" w:rsidRPr="002E2B5B" w:rsidRDefault="00B86973" w:rsidP="00563D49">
            <w:pPr>
              <w:spacing w:after="120"/>
              <w:jc w:val="right"/>
              <w:rPr>
                <w:rFonts w:ascii="Calibri" w:hAnsi="Calibri" w:cs="Calibri"/>
                <w:color w:val="000000"/>
                <w:sz w:val="16"/>
                <w:szCs w:val="16"/>
              </w:rPr>
            </w:pPr>
            <w:r>
              <w:rPr>
                <w:rFonts w:ascii="Calibri" w:hAnsi="Calibri" w:cs="Calibri"/>
                <w:color w:val="000000"/>
                <w:sz w:val="16"/>
                <w:szCs w:val="16"/>
              </w:rPr>
              <w:t>(8.986.685</w:t>
            </w:r>
            <w:r w:rsidRPr="002E2B5B">
              <w:rPr>
                <w:rFonts w:ascii="Calibri" w:hAnsi="Calibri" w:cs="Calibri"/>
                <w:color w:val="000000"/>
                <w:sz w:val="16"/>
                <w:szCs w:val="16"/>
              </w:rPr>
              <w:t>)</w:t>
            </w:r>
          </w:p>
        </w:tc>
        <w:tc>
          <w:tcPr>
            <w:tcW w:w="615" w:type="pct"/>
            <w:tcBorders>
              <w:top w:val="nil"/>
              <w:left w:val="nil"/>
              <w:bottom w:val="nil"/>
              <w:right w:val="nil"/>
            </w:tcBorders>
            <w:shd w:val="clear" w:color="auto" w:fill="auto"/>
            <w:noWrap/>
            <w:vAlign w:val="bottom"/>
            <w:hideMark/>
          </w:tcPr>
          <w:p w14:paraId="3A1B9531" w14:textId="02FE68D5" w:rsidR="0027114A" w:rsidRPr="002E2B5B" w:rsidRDefault="00B86973" w:rsidP="00563D49">
            <w:pPr>
              <w:spacing w:after="120"/>
              <w:jc w:val="right"/>
              <w:rPr>
                <w:rFonts w:ascii="Calibri" w:hAnsi="Calibri" w:cs="Calibri"/>
                <w:color w:val="000000"/>
                <w:sz w:val="16"/>
                <w:szCs w:val="16"/>
              </w:rPr>
            </w:pPr>
            <w:r>
              <w:rPr>
                <w:rFonts w:ascii="Calibri" w:hAnsi="Calibri" w:cs="Calibri"/>
                <w:color w:val="000000"/>
                <w:sz w:val="16"/>
                <w:szCs w:val="16"/>
              </w:rPr>
              <w:t>(</w:t>
            </w:r>
            <w:r w:rsidR="004C6A3A">
              <w:rPr>
                <w:rFonts w:ascii="Calibri" w:hAnsi="Calibri" w:cs="Calibri"/>
                <w:color w:val="000000"/>
                <w:sz w:val="16"/>
                <w:szCs w:val="16"/>
              </w:rPr>
              <w:t>1.039.544</w:t>
            </w:r>
            <w:r>
              <w:rPr>
                <w:rFonts w:ascii="Calibri" w:hAnsi="Calibri" w:cs="Calibri"/>
                <w:color w:val="000000"/>
                <w:sz w:val="16"/>
                <w:szCs w:val="16"/>
              </w:rPr>
              <w:t>)</w:t>
            </w:r>
          </w:p>
        </w:tc>
        <w:tc>
          <w:tcPr>
            <w:tcW w:w="518" w:type="pct"/>
            <w:tcBorders>
              <w:top w:val="nil"/>
              <w:left w:val="nil"/>
              <w:bottom w:val="nil"/>
              <w:right w:val="nil"/>
            </w:tcBorders>
            <w:shd w:val="clear" w:color="auto" w:fill="auto"/>
            <w:noWrap/>
            <w:vAlign w:val="bottom"/>
            <w:hideMark/>
          </w:tcPr>
          <w:p w14:paraId="4F37539D" w14:textId="5D529B9A" w:rsidR="0027114A" w:rsidRPr="002E2B5B" w:rsidRDefault="00837C39" w:rsidP="00563D49">
            <w:pPr>
              <w:spacing w:after="120"/>
              <w:jc w:val="right"/>
              <w:rPr>
                <w:rFonts w:ascii="Calibri" w:hAnsi="Calibri" w:cs="Calibri"/>
                <w:color w:val="000000"/>
                <w:sz w:val="16"/>
                <w:szCs w:val="16"/>
              </w:rPr>
            </w:pPr>
            <w:r>
              <w:rPr>
                <w:rFonts w:ascii="Calibri" w:hAnsi="Calibri" w:cs="Calibri"/>
                <w:color w:val="000000"/>
                <w:sz w:val="16"/>
                <w:szCs w:val="16"/>
              </w:rPr>
              <w:t>0</w:t>
            </w:r>
          </w:p>
        </w:tc>
        <w:tc>
          <w:tcPr>
            <w:tcW w:w="414" w:type="pct"/>
            <w:tcBorders>
              <w:top w:val="nil"/>
              <w:left w:val="nil"/>
              <w:bottom w:val="nil"/>
              <w:right w:val="nil"/>
            </w:tcBorders>
            <w:shd w:val="clear" w:color="auto" w:fill="auto"/>
            <w:noWrap/>
            <w:vAlign w:val="bottom"/>
            <w:hideMark/>
          </w:tcPr>
          <w:p w14:paraId="188F8D92" w14:textId="77777777" w:rsidR="0027114A" w:rsidRPr="002E2B5B" w:rsidRDefault="0027114A" w:rsidP="00563D49">
            <w:pPr>
              <w:spacing w:after="120"/>
              <w:jc w:val="right"/>
              <w:rPr>
                <w:rFonts w:ascii="Calibri" w:hAnsi="Calibri" w:cs="Calibri"/>
                <w:color w:val="000000"/>
                <w:sz w:val="16"/>
                <w:szCs w:val="16"/>
              </w:rPr>
            </w:pPr>
            <w:r w:rsidRPr="002E2B5B">
              <w:rPr>
                <w:rFonts w:ascii="Calibri" w:hAnsi="Calibri" w:cs="Calibri"/>
                <w:color w:val="000000"/>
                <w:sz w:val="16"/>
                <w:szCs w:val="16"/>
              </w:rPr>
              <w:t>0</w:t>
            </w:r>
          </w:p>
        </w:tc>
        <w:tc>
          <w:tcPr>
            <w:tcW w:w="669" w:type="pct"/>
            <w:tcBorders>
              <w:top w:val="nil"/>
              <w:left w:val="nil"/>
              <w:bottom w:val="nil"/>
              <w:right w:val="nil"/>
            </w:tcBorders>
            <w:shd w:val="clear" w:color="auto" w:fill="auto"/>
            <w:noWrap/>
            <w:vAlign w:val="bottom"/>
            <w:hideMark/>
          </w:tcPr>
          <w:p w14:paraId="5636E438" w14:textId="157D2D89" w:rsidR="0027114A" w:rsidRPr="002E2B5B" w:rsidRDefault="00837C39" w:rsidP="00563D49">
            <w:pPr>
              <w:spacing w:after="120"/>
              <w:jc w:val="right"/>
              <w:rPr>
                <w:rFonts w:ascii="Calibri" w:hAnsi="Calibri" w:cs="Calibri"/>
                <w:color w:val="000000"/>
                <w:sz w:val="16"/>
                <w:szCs w:val="16"/>
              </w:rPr>
            </w:pPr>
            <w:r>
              <w:rPr>
                <w:rFonts w:ascii="Calibri" w:hAnsi="Calibri" w:cs="Calibri"/>
                <w:color w:val="000000"/>
                <w:sz w:val="16"/>
                <w:szCs w:val="16"/>
              </w:rPr>
              <w:t>(</w:t>
            </w:r>
            <w:r w:rsidR="004C6A3A">
              <w:rPr>
                <w:rFonts w:ascii="Calibri" w:hAnsi="Calibri" w:cs="Calibri"/>
                <w:color w:val="000000"/>
                <w:sz w:val="16"/>
                <w:szCs w:val="16"/>
              </w:rPr>
              <w:t>10.026.229</w:t>
            </w:r>
            <w:r w:rsidR="0027114A" w:rsidRPr="002E2B5B">
              <w:rPr>
                <w:rFonts w:ascii="Calibri" w:hAnsi="Calibri" w:cs="Calibri"/>
                <w:color w:val="000000"/>
                <w:sz w:val="16"/>
                <w:szCs w:val="16"/>
              </w:rPr>
              <w:t>)</w:t>
            </w:r>
          </w:p>
        </w:tc>
        <w:tc>
          <w:tcPr>
            <w:tcW w:w="597" w:type="pct"/>
            <w:tcBorders>
              <w:top w:val="nil"/>
              <w:left w:val="nil"/>
              <w:bottom w:val="nil"/>
              <w:right w:val="nil"/>
            </w:tcBorders>
            <w:shd w:val="clear" w:color="auto" w:fill="auto"/>
            <w:noWrap/>
            <w:vAlign w:val="bottom"/>
            <w:hideMark/>
          </w:tcPr>
          <w:p w14:paraId="12DE0B71" w14:textId="77777777" w:rsidR="0027114A" w:rsidRPr="002E2B5B" w:rsidRDefault="0027114A" w:rsidP="00563D49">
            <w:pPr>
              <w:spacing w:after="120"/>
              <w:jc w:val="right"/>
              <w:rPr>
                <w:rFonts w:ascii="Calibri" w:hAnsi="Calibri" w:cs="Calibri"/>
                <w:color w:val="000000"/>
                <w:sz w:val="16"/>
                <w:szCs w:val="16"/>
              </w:rPr>
            </w:pPr>
            <w:r w:rsidRPr="002E2B5B">
              <w:rPr>
                <w:rFonts w:ascii="Calibri" w:hAnsi="Calibri" w:cs="Calibri"/>
                <w:color w:val="000000"/>
                <w:sz w:val="16"/>
                <w:szCs w:val="16"/>
              </w:rPr>
              <w:t>-</w:t>
            </w:r>
          </w:p>
        </w:tc>
      </w:tr>
      <w:tr w:rsidR="0027114A" w:rsidRPr="002E2B5B" w14:paraId="016CFAFF" w14:textId="77777777" w:rsidTr="00987B82">
        <w:trPr>
          <w:trHeight w:hRule="exact" w:val="227"/>
        </w:trPr>
        <w:tc>
          <w:tcPr>
            <w:tcW w:w="1611" w:type="pct"/>
            <w:tcBorders>
              <w:top w:val="single" w:sz="4" w:space="0" w:color="auto"/>
              <w:left w:val="nil"/>
              <w:bottom w:val="single" w:sz="4" w:space="0" w:color="auto"/>
              <w:right w:val="nil"/>
            </w:tcBorders>
            <w:shd w:val="clear" w:color="auto" w:fill="auto"/>
            <w:noWrap/>
            <w:vAlign w:val="bottom"/>
            <w:hideMark/>
          </w:tcPr>
          <w:p w14:paraId="50ED4C9E" w14:textId="77777777" w:rsidR="0027114A" w:rsidRPr="002E2B5B" w:rsidRDefault="0027114A" w:rsidP="00563D49">
            <w:pPr>
              <w:spacing w:after="120"/>
              <w:rPr>
                <w:rFonts w:ascii="Calibri" w:hAnsi="Calibri" w:cs="Calibri"/>
                <w:b/>
                <w:bCs/>
                <w:color w:val="000000"/>
                <w:sz w:val="16"/>
                <w:szCs w:val="16"/>
              </w:rPr>
            </w:pPr>
            <w:r w:rsidRPr="002E2B5B">
              <w:rPr>
                <w:rFonts w:ascii="Calibri" w:hAnsi="Calibri" w:cs="Calibri"/>
                <w:b/>
                <w:bCs/>
                <w:color w:val="000000"/>
                <w:sz w:val="16"/>
                <w:szCs w:val="16"/>
              </w:rPr>
              <w:t>Total Intangíveis</w:t>
            </w:r>
          </w:p>
        </w:tc>
        <w:tc>
          <w:tcPr>
            <w:tcW w:w="576" w:type="pct"/>
            <w:tcBorders>
              <w:top w:val="single" w:sz="4" w:space="0" w:color="auto"/>
              <w:left w:val="nil"/>
              <w:bottom w:val="single" w:sz="4" w:space="0" w:color="auto"/>
              <w:right w:val="nil"/>
            </w:tcBorders>
            <w:shd w:val="clear" w:color="auto" w:fill="auto"/>
            <w:noWrap/>
            <w:vAlign w:val="bottom"/>
            <w:hideMark/>
          </w:tcPr>
          <w:p w14:paraId="3AA11C58" w14:textId="41D59A67" w:rsidR="0027114A" w:rsidRPr="002E2B5B" w:rsidRDefault="00B86973" w:rsidP="00563D49">
            <w:pPr>
              <w:spacing w:after="120"/>
              <w:jc w:val="right"/>
              <w:rPr>
                <w:rFonts w:ascii="Calibri" w:hAnsi="Calibri" w:cs="Calibri"/>
                <w:b/>
                <w:bCs/>
                <w:color w:val="000000"/>
                <w:sz w:val="16"/>
                <w:szCs w:val="16"/>
              </w:rPr>
            </w:pPr>
            <w:r>
              <w:rPr>
                <w:rFonts w:ascii="Calibri" w:hAnsi="Calibri" w:cs="Calibri"/>
                <w:b/>
                <w:bCs/>
                <w:color w:val="000000"/>
                <w:sz w:val="16"/>
                <w:szCs w:val="16"/>
              </w:rPr>
              <w:t>2.884.312</w:t>
            </w:r>
          </w:p>
        </w:tc>
        <w:tc>
          <w:tcPr>
            <w:tcW w:w="615" w:type="pct"/>
            <w:tcBorders>
              <w:top w:val="single" w:sz="4" w:space="0" w:color="auto"/>
              <w:left w:val="nil"/>
              <w:bottom w:val="single" w:sz="4" w:space="0" w:color="auto"/>
              <w:right w:val="nil"/>
            </w:tcBorders>
            <w:shd w:val="clear" w:color="auto" w:fill="auto"/>
            <w:noWrap/>
            <w:vAlign w:val="bottom"/>
            <w:hideMark/>
          </w:tcPr>
          <w:p w14:paraId="51C938BB" w14:textId="25250D94" w:rsidR="0027114A" w:rsidRPr="002E2B5B" w:rsidRDefault="00B86973" w:rsidP="00563D49">
            <w:pPr>
              <w:spacing w:after="120"/>
              <w:jc w:val="right"/>
              <w:rPr>
                <w:rFonts w:ascii="Calibri" w:hAnsi="Calibri" w:cs="Calibri"/>
                <w:b/>
                <w:bCs/>
                <w:color w:val="000000"/>
                <w:sz w:val="16"/>
                <w:szCs w:val="16"/>
              </w:rPr>
            </w:pPr>
            <w:r>
              <w:rPr>
                <w:rFonts w:ascii="Calibri" w:hAnsi="Calibri" w:cs="Calibri"/>
                <w:b/>
                <w:bCs/>
                <w:color w:val="000000"/>
                <w:sz w:val="16"/>
                <w:szCs w:val="16"/>
              </w:rPr>
              <w:t>(</w:t>
            </w:r>
            <w:r w:rsidR="004C6A3A">
              <w:rPr>
                <w:rFonts w:ascii="Calibri" w:hAnsi="Calibri" w:cs="Calibri"/>
                <w:b/>
                <w:bCs/>
                <w:color w:val="000000"/>
                <w:sz w:val="16"/>
                <w:szCs w:val="16"/>
              </w:rPr>
              <w:t>1.039.544</w:t>
            </w:r>
            <w:r>
              <w:rPr>
                <w:rFonts w:ascii="Calibri" w:hAnsi="Calibri" w:cs="Calibri"/>
                <w:b/>
                <w:bCs/>
                <w:color w:val="000000"/>
                <w:sz w:val="16"/>
                <w:szCs w:val="16"/>
              </w:rPr>
              <w:t>)</w:t>
            </w:r>
          </w:p>
        </w:tc>
        <w:tc>
          <w:tcPr>
            <w:tcW w:w="518" w:type="pct"/>
            <w:tcBorders>
              <w:top w:val="single" w:sz="4" w:space="0" w:color="auto"/>
              <w:left w:val="nil"/>
              <w:bottom w:val="single" w:sz="4" w:space="0" w:color="auto"/>
              <w:right w:val="nil"/>
            </w:tcBorders>
            <w:shd w:val="clear" w:color="auto" w:fill="auto"/>
            <w:noWrap/>
            <w:vAlign w:val="bottom"/>
            <w:hideMark/>
          </w:tcPr>
          <w:p w14:paraId="2F9232D4" w14:textId="39417BE8" w:rsidR="0027114A" w:rsidRPr="002E2B5B" w:rsidRDefault="00837C39" w:rsidP="00563D49">
            <w:pPr>
              <w:spacing w:after="120"/>
              <w:jc w:val="right"/>
              <w:rPr>
                <w:rFonts w:ascii="Calibri" w:hAnsi="Calibri" w:cs="Calibri"/>
                <w:b/>
                <w:bCs/>
                <w:color w:val="000000"/>
                <w:sz w:val="16"/>
                <w:szCs w:val="16"/>
              </w:rPr>
            </w:pPr>
            <w:r>
              <w:rPr>
                <w:rFonts w:ascii="Calibri" w:hAnsi="Calibri" w:cs="Calibri"/>
                <w:b/>
                <w:bCs/>
                <w:color w:val="000000"/>
                <w:sz w:val="16"/>
                <w:szCs w:val="16"/>
              </w:rPr>
              <w:t>0</w:t>
            </w:r>
          </w:p>
        </w:tc>
        <w:tc>
          <w:tcPr>
            <w:tcW w:w="414" w:type="pct"/>
            <w:tcBorders>
              <w:top w:val="single" w:sz="4" w:space="0" w:color="auto"/>
              <w:left w:val="nil"/>
              <w:bottom w:val="single" w:sz="4" w:space="0" w:color="auto"/>
              <w:right w:val="nil"/>
            </w:tcBorders>
            <w:shd w:val="clear" w:color="auto" w:fill="auto"/>
            <w:noWrap/>
            <w:vAlign w:val="bottom"/>
            <w:hideMark/>
          </w:tcPr>
          <w:p w14:paraId="16B4C124" w14:textId="77777777" w:rsidR="0027114A" w:rsidRPr="002E2B5B" w:rsidRDefault="0027114A" w:rsidP="00563D49">
            <w:pPr>
              <w:spacing w:after="120"/>
              <w:jc w:val="right"/>
              <w:rPr>
                <w:rFonts w:ascii="Calibri" w:hAnsi="Calibri" w:cs="Calibri"/>
                <w:b/>
                <w:bCs/>
                <w:color w:val="000000"/>
                <w:sz w:val="16"/>
                <w:szCs w:val="16"/>
              </w:rPr>
            </w:pPr>
            <w:r w:rsidRPr="002E2B5B">
              <w:rPr>
                <w:rFonts w:ascii="Calibri" w:hAnsi="Calibri" w:cs="Calibri"/>
                <w:b/>
                <w:bCs/>
                <w:color w:val="000000"/>
                <w:sz w:val="16"/>
                <w:szCs w:val="16"/>
              </w:rPr>
              <w:t>0</w:t>
            </w:r>
          </w:p>
        </w:tc>
        <w:tc>
          <w:tcPr>
            <w:tcW w:w="669" w:type="pct"/>
            <w:tcBorders>
              <w:top w:val="single" w:sz="4" w:space="0" w:color="auto"/>
              <w:left w:val="nil"/>
              <w:bottom w:val="single" w:sz="4" w:space="0" w:color="auto"/>
              <w:right w:val="nil"/>
            </w:tcBorders>
            <w:shd w:val="clear" w:color="auto" w:fill="auto"/>
            <w:noWrap/>
            <w:vAlign w:val="bottom"/>
            <w:hideMark/>
          </w:tcPr>
          <w:p w14:paraId="2F62388D" w14:textId="3E0D4DE0" w:rsidR="0027114A" w:rsidRPr="002E2B5B" w:rsidRDefault="004C6A3A" w:rsidP="00563D49">
            <w:pPr>
              <w:spacing w:after="120"/>
              <w:jc w:val="right"/>
              <w:rPr>
                <w:rFonts w:ascii="Calibri" w:hAnsi="Calibri" w:cs="Calibri"/>
                <w:b/>
                <w:bCs/>
                <w:color w:val="000000"/>
                <w:sz w:val="16"/>
                <w:szCs w:val="16"/>
              </w:rPr>
            </w:pPr>
            <w:r>
              <w:rPr>
                <w:rFonts w:ascii="Calibri" w:hAnsi="Calibri" w:cs="Calibri"/>
                <w:b/>
                <w:bCs/>
                <w:color w:val="000000"/>
                <w:sz w:val="16"/>
                <w:szCs w:val="16"/>
              </w:rPr>
              <w:t>1.844.769</w:t>
            </w:r>
          </w:p>
        </w:tc>
        <w:tc>
          <w:tcPr>
            <w:tcW w:w="597" w:type="pct"/>
            <w:tcBorders>
              <w:top w:val="single" w:sz="4" w:space="0" w:color="auto"/>
              <w:left w:val="nil"/>
              <w:bottom w:val="single" w:sz="4" w:space="0" w:color="auto"/>
              <w:right w:val="nil"/>
            </w:tcBorders>
            <w:shd w:val="clear" w:color="auto" w:fill="auto"/>
            <w:noWrap/>
            <w:vAlign w:val="bottom"/>
            <w:hideMark/>
          </w:tcPr>
          <w:p w14:paraId="66205515" w14:textId="77777777" w:rsidR="0027114A" w:rsidRPr="002E2B5B" w:rsidRDefault="0027114A" w:rsidP="00563D49">
            <w:pPr>
              <w:spacing w:after="120"/>
              <w:rPr>
                <w:rFonts w:ascii="Calibri" w:hAnsi="Calibri" w:cs="Calibri"/>
                <w:b/>
                <w:bCs/>
                <w:color w:val="000000"/>
                <w:sz w:val="16"/>
                <w:szCs w:val="16"/>
              </w:rPr>
            </w:pPr>
            <w:r w:rsidRPr="002E2B5B">
              <w:rPr>
                <w:rFonts w:ascii="Calibri" w:hAnsi="Calibri" w:cs="Calibri"/>
                <w:b/>
                <w:bCs/>
                <w:color w:val="000000"/>
                <w:sz w:val="16"/>
                <w:szCs w:val="16"/>
              </w:rPr>
              <w:t> </w:t>
            </w:r>
          </w:p>
        </w:tc>
      </w:tr>
    </w:tbl>
    <w:p w14:paraId="4471A85D" w14:textId="5902CD68" w:rsidR="00B87A63" w:rsidRPr="002E2B5B" w:rsidRDefault="00A35976" w:rsidP="000B3A75">
      <w:pPr>
        <w:pStyle w:val="Textoembloco"/>
        <w:spacing w:before="120" w:after="120" w:line="240" w:lineRule="auto"/>
        <w:ind w:left="0" w:right="57"/>
        <w:rPr>
          <w:rFonts w:ascii="Calibri" w:hAnsi="Calibri" w:cs="Calibri"/>
          <w:sz w:val="22"/>
          <w:szCs w:val="22"/>
          <w:shd w:val="clear" w:color="auto" w:fill="FFFFFF"/>
        </w:rPr>
      </w:pPr>
      <w:r w:rsidRPr="002E2B5B">
        <w:rPr>
          <w:rFonts w:ascii="Calibri" w:hAnsi="Calibri" w:cs="Calibri"/>
          <w:sz w:val="22"/>
          <w:szCs w:val="22"/>
          <w:shd w:val="clear" w:color="auto" w:fill="FFFFFF"/>
        </w:rPr>
        <w:t>O</w:t>
      </w:r>
      <w:r w:rsidR="00F62B8F" w:rsidRPr="002E2B5B">
        <w:rPr>
          <w:rFonts w:ascii="Calibri" w:hAnsi="Calibri" w:cs="Calibri"/>
          <w:sz w:val="22"/>
          <w:szCs w:val="22"/>
          <w:shd w:val="clear" w:color="auto" w:fill="FFFFFF"/>
        </w:rPr>
        <w:t>s</w:t>
      </w:r>
      <w:r w:rsidRPr="002E2B5B">
        <w:rPr>
          <w:rFonts w:ascii="Calibri" w:hAnsi="Calibri" w:cs="Calibri"/>
          <w:sz w:val="22"/>
          <w:szCs w:val="22"/>
          <w:shd w:val="clear" w:color="auto" w:fill="FFFFFF"/>
        </w:rPr>
        <w:t xml:space="preserve"> Direitos de uso de Comunicação</w:t>
      </w:r>
      <w:r w:rsidR="00F62B8F" w:rsidRPr="002E2B5B">
        <w:rPr>
          <w:rFonts w:ascii="Calibri" w:hAnsi="Calibri" w:cs="Calibri"/>
          <w:sz w:val="22"/>
          <w:szCs w:val="22"/>
          <w:shd w:val="clear" w:color="auto" w:fill="FFFFFF"/>
        </w:rPr>
        <w:t xml:space="preserve"> são direitos junto às empresas de telefonia que estão sendo reclamados pela VALEC.</w:t>
      </w:r>
    </w:p>
    <w:p w14:paraId="6B5C9FE8" w14:textId="2651E70F" w:rsidR="00B87A63" w:rsidRPr="002E2B5B" w:rsidRDefault="0045528D" w:rsidP="000A571A">
      <w:pPr>
        <w:pStyle w:val="Textoembloco"/>
        <w:spacing w:after="120" w:line="240" w:lineRule="auto"/>
        <w:ind w:left="0" w:right="57"/>
        <w:rPr>
          <w:rFonts w:ascii="Calibri" w:hAnsi="Calibri" w:cs="Calibri"/>
          <w:sz w:val="22"/>
          <w:szCs w:val="22"/>
          <w:shd w:val="clear" w:color="auto" w:fill="FFFFFF"/>
        </w:rPr>
      </w:pPr>
      <w:r w:rsidRPr="002E2B5B">
        <w:rPr>
          <w:rFonts w:ascii="Calibri" w:hAnsi="Calibri" w:cs="Calibri"/>
          <w:sz w:val="22"/>
          <w:szCs w:val="22"/>
          <w:shd w:val="clear" w:color="auto" w:fill="FFFFFF"/>
        </w:rPr>
        <w:t>Os</w:t>
      </w:r>
      <w:r w:rsidR="00F62B8F" w:rsidRPr="002E2B5B">
        <w:rPr>
          <w:rFonts w:ascii="Calibri" w:hAnsi="Calibri" w:cs="Calibri"/>
          <w:sz w:val="22"/>
          <w:szCs w:val="22"/>
          <w:shd w:val="clear" w:color="auto" w:fill="FFFFFF"/>
        </w:rPr>
        <w:t xml:space="preserve"> “Softwares” são amortizados ao longo de sua vida útil estimada em 05 anos. </w:t>
      </w:r>
    </w:p>
    <w:p w14:paraId="52875E74" w14:textId="48F22DE8" w:rsidR="00A00571" w:rsidRDefault="00F62B8F" w:rsidP="000A571A">
      <w:pPr>
        <w:pStyle w:val="Textoembloco"/>
        <w:spacing w:after="120" w:line="240" w:lineRule="auto"/>
        <w:ind w:left="0" w:right="57"/>
        <w:rPr>
          <w:rFonts w:ascii="Calibri" w:hAnsi="Calibri" w:cs="Calibri"/>
          <w:sz w:val="22"/>
          <w:szCs w:val="22"/>
          <w:shd w:val="clear" w:color="auto" w:fill="FFFFFF"/>
        </w:rPr>
      </w:pPr>
      <w:r w:rsidRPr="002E2B5B">
        <w:rPr>
          <w:rFonts w:ascii="Calibri" w:hAnsi="Calibri" w:cs="Calibri"/>
          <w:sz w:val="22"/>
          <w:szCs w:val="22"/>
          <w:shd w:val="clear" w:color="auto" w:fill="FFFFFF"/>
        </w:rPr>
        <w:t>An</w:t>
      </w:r>
      <w:r w:rsidR="00645FAA" w:rsidRPr="002E2B5B">
        <w:rPr>
          <w:rFonts w:ascii="Calibri" w:hAnsi="Calibri" w:cs="Calibri"/>
          <w:sz w:val="22"/>
          <w:szCs w:val="22"/>
          <w:shd w:val="clear" w:color="auto" w:fill="FFFFFF"/>
        </w:rPr>
        <w:t>u</w:t>
      </w:r>
      <w:r w:rsidRPr="002E2B5B">
        <w:rPr>
          <w:rFonts w:ascii="Calibri" w:hAnsi="Calibri" w:cs="Calibri"/>
          <w:sz w:val="22"/>
          <w:szCs w:val="22"/>
          <w:shd w:val="clear" w:color="auto" w:fill="FFFFFF"/>
        </w:rPr>
        <w:t xml:space="preserve">almente, é realizado o inventário dos intangíveis da VALEC e testado sua servibilidade. Os intangíveis que se apresentarem como inservíveis são doados ou baixados do sistema patrimonial bem como da contabilidade. </w:t>
      </w:r>
    </w:p>
    <w:p w14:paraId="0E594671" w14:textId="25F14DA6" w:rsidR="005F2B24" w:rsidRDefault="005F2B24" w:rsidP="00937ED9">
      <w:pPr>
        <w:pStyle w:val="Textoembloco"/>
        <w:spacing w:after="120" w:line="240" w:lineRule="auto"/>
        <w:ind w:left="0" w:right="57"/>
        <w:rPr>
          <w:rFonts w:ascii="Calibri" w:hAnsi="Calibri" w:cs="Calibri"/>
          <w:sz w:val="22"/>
          <w:szCs w:val="22"/>
          <w:shd w:val="clear" w:color="auto" w:fill="FFFFFF"/>
        </w:rPr>
      </w:pPr>
      <w:r w:rsidRPr="00414D1A">
        <w:rPr>
          <w:rFonts w:ascii="Calibri" w:hAnsi="Calibri" w:cs="Calibri"/>
          <w:sz w:val="22"/>
          <w:szCs w:val="22"/>
          <w:shd w:val="clear" w:color="auto" w:fill="FFFFFF"/>
        </w:rPr>
        <w:t>No 4º trimestre de 2021, a Superintendência de Tecnologia da Informação da V</w:t>
      </w:r>
      <w:r w:rsidR="00414D1A">
        <w:rPr>
          <w:rFonts w:ascii="Calibri" w:hAnsi="Calibri" w:cs="Calibri"/>
          <w:sz w:val="22"/>
          <w:szCs w:val="22"/>
          <w:shd w:val="clear" w:color="auto" w:fill="FFFFFF"/>
        </w:rPr>
        <w:t>ALEC</w:t>
      </w:r>
      <w:r w:rsidRPr="00414D1A">
        <w:rPr>
          <w:rFonts w:ascii="Calibri" w:hAnsi="Calibri" w:cs="Calibri"/>
          <w:sz w:val="22"/>
          <w:szCs w:val="22"/>
          <w:shd w:val="clear" w:color="auto" w:fill="FFFFFF"/>
        </w:rPr>
        <w:t xml:space="preserve"> elaborou laudo de avaliação da situação dos bens intangíveis referente aos softwares, com data base em 30 de novembro de 2021 (LAUDO DE AVALIAÇÃO Nº 12/2021/SUPTI-VALEC/DIRAF-VALEC</w:t>
      </w:r>
      <w:r w:rsidR="00984E2F" w:rsidRPr="00414D1A">
        <w:rPr>
          <w:rFonts w:ascii="Calibri" w:hAnsi="Calibri" w:cs="Calibri"/>
          <w:sz w:val="22"/>
          <w:szCs w:val="22"/>
          <w:shd w:val="clear" w:color="auto" w:fill="FFFFFF"/>
        </w:rPr>
        <w:t>)</w:t>
      </w:r>
      <w:r w:rsidRPr="00414D1A">
        <w:rPr>
          <w:rFonts w:ascii="Calibri" w:hAnsi="Calibri" w:cs="Calibri"/>
          <w:sz w:val="22"/>
          <w:szCs w:val="22"/>
          <w:shd w:val="clear" w:color="auto" w:fill="FFFFFF"/>
        </w:rPr>
        <w:t>, no qual certifica que todos os bens intangíveis contabilizados, na situação “em uso” na data de novembro de 2021, estão em funcionamento, fato que pode ser auferido em consulta aos logs de uso da aplicação. </w:t>
      </w:r>
    </w:p>
    <w:p w14:paraId="3834F103" w14:textId="300BD505" w:rsidR="009E7936" w:rsidRDefault="00D22F5E" w:rsidP="00937ED9">
      <w:pPr>
        <w:pStyle w:val="Ttulo4"/>
        <w:tabs>
          <w:tab w:val="left" w:pos="0"/>
        </w:tabs>
        <w:spacing w:after="120" w:line="240" w:lineRule="auto"/>
        <w:rPr>
          <w:rFonts w:ascii="Calibri" w:hAnsi="Calibri" w:cs="Calibri"/>
          <w:bCs w:val="0"/>
          <w:sz w:val="22"/>
          <w:szCs w:val="22"/>
        </w:rPr>
      </w:pPr>
      <w:r w:rsidRPr="002E2B5B">
        <w:rPr>
          <w:rFonts w:ascii="Calibri" w:hAnsi="Calibri" w:cs="Calibri"/>
          <w:bCs w:val="0"/>
          <w:sz w:val="22"/>
          <w:szCs w:val="22"/>
        </w:rPr>
        <w:t>NOTA 1</w:t>
      </w:r>
      <w:r w:rsidR="00DD4B99">
        <w:rPr>
          <w:rFonts w:ascii="Calibri" w:hAnsi="Calibri" w:cs="Calibri"/>
          <w:bCs w:val="0"/>
          <w:sz w:val="22"/>
          <w:szCs w:val="22"/>
        </w:rPr>
        <w:t>0</w:t>
      </w:r>
      <w:r w:rsidR="00462791" w:rsidRPr="002E2B5B">
        <w:rPr>
          <w:rFonts w:ascii="Calibri" w:hAnsi="Calibri" w:cs="Calibri"/>
          <w:bCs w:val="0"/>
          <w:sz w:val="22"/>
          <w:szCs w:val="22"/>
        </w:rPr>
        <w:t xml:space="preserve"> - </w:t>
      </w:r>
      <w:r w:rsidR="0052342E" w:rsidRPr="002E2B5B">
        <w:rPr>
          <w:rFonts w:ascii="Calibri" w:hAnsi="Calibri" w:cs="Calibri"/>
          <w:bCs w:val="0"/>
          <w:sz w:val="22"/>
          <w:szCs w:val="22"/>
        </w:rPr>
        <w:t xml:space="preserve">COMPROMISSOS A </w:t>
      </w:r>
      <w:r w:rsidR="00C82443" w:rsidRPr="002E2B5B">
        <w:rPr>
          <w:rFonts w:ascii="Calibri" w:hAnsi="Calibri" w:cs="Calibri"/>
          <w:bCs w:val="0"/>
          <w:sz w:val="22"/>
          <w:szCs w:val="22"/>
        </w:rPr>
        <w:t>CURTO</w:t>
      </w:r>
      <w:r w:rsidR="0052342E" w:rsidRPr="002E2B5B">
        <w:rPr>
          <w:rFonts w:ascii="Calibri" w:hAnsi="Calibri" w:cs="Calibri"/>
          <w:bCs w:val="0"/>
          <w:sz w:val="22"/>
          <w:szCs w:val="22"/>
        </w:rPr>
        <w:t xml:space="preserve"> PRAZO </w:t>
      </w:r>
    </w:p>
    <w:p w14:paraId="620EC732" w14:textId="2044A9D0" w:rsidR="00CE2B17" w:rsidRDefault="003F2E5C" w:rsidP="00937ED9">
      <w:pPr>
        <w:numPr>
          <w:ilvl w:val="0"/>
          <w:numId w:val="2"/>
        </w:numPr>
        <w:spacing w:after="120"/>
        <w:ind w:left="284" w:hanging="284"/>
        <w:rPr>
          <w:rFonts w:ascii="Calibri" w:hAnsi="Calibri" w:cs="Calibri"/>
          <w:b/>
          <w:sz w:val="22"/>
          <w:szCs w:val="22"/>
        </w:rPr>
      </w:pPr>
      <w:r w:rsidRPr="002E2B5B">
        <w:rPr>
          <w:rFonts w:ascii="Calibri" w:hAnsi="Calibri" w:cs="Calibri"/>
          <w:b/>
          <w:sz w:val="22"/>
          <w:szCs w:val="22"/>
        </w:rPr>
        <w:t>Fornecedores</w:t>
      </w:r>
    </w:p>
    <w:tbl>
      <w:tblPr>
        <w:tblW w:w="5000" w:type="pct"/>
        <w:tblCellMar>
          <w:left w:w="70" w:type="dxa"/>
          <w:right w:w="70" w:type="dxa"/>
        </w:tblCellMar>
        <w:tblLook w:val="04A0" w:firstRow="1" w:lastRow="0" w:firstColumn="1" w:lastColumn="0" w:noHBand="0" w:noVBand="1"/>
      </w:tblPr>
      <w:tblGrid>
        <w:gridCol w:w="4257"/>
        <w:gridCol w:w="611"/>
        <w:gridCol w:w="611"/>
        <w:gridCol w:w="1666"/>
        <w:gridCol w:w="1666"/>
        <w:gridCol w:w="1656"/>
      </w:tblGrid>
      <w:tr w:rsidR="009D23D9" w:rsidRPr="002E2B5B" w14:paraId="02065A15" w14:textId="77777777" w:rsidTr="00282F12">
        <w:trPr>
          <w:trHeight w:hRule="exact" w:val="227"/>
        </w:trPr>
        <w:tc>
          <w:tcPr>
            <w:tcW w:w="2616" w:type="pct"/>
            <w:gridSpan w:val="3"/>
            <w:tcBorders>
              <w:top w:val="nil"/>
              <w:left w:val="nil"/>
              <w:bottom w:val="single" w:sz="8" w:space="0" w:color="auto"/>
              <w:right w:val="nil"/>
            </w:tcBorders>
            <w:shd w:val="clear" w:color="auto" w:fill="auto"/>
            <w:noWrap/>
            <w:vAlign w:val="center"/>
            <w:hideMark/>
          </w:tcPr>
          <w:p w14:paraId="5830F613" w14:textId="77777777" w:rsidR="009D23D9" w:rsidRPr="002E2B5B" w:rsidRDefault="009D23D9" w:rsidP="00937ED9">
            <w:pPr>
              <w:spacing w:after="120"/>
              <w:rPr>
                <w:rFonts w:ascii="Calibri" w:hAnsi="Calibri" w:cs="Calibri"/>
                <w:b/>
                <w:bCs/>
                <w:color w:val="000000"/>
                <w:sz w:val="16"/>
                <w:szCs w:val="16"/>
              </w:rPr>
            </w:pPr>
            <w:r w:rsidRPr="002E2B5B">
              <w:rPr>
                <w:rFonts w:ascii="Calibri" w:hAnsi="Calibri" w:cs="Calibri"/>
                <w:b/>
                <w:bCs/>
                <w:color w:val="000000"/>
                <w:sz w:val="16"/>
                <w:szCs w:val="16"/>
              </w:rPr>
              <w:t xml:space="preserve">FORNECEDORES </w:t>
            </w:r>
          </w:p>
        </w:tc>
        <w:tc>
          <w:tcPr>
            <w:tcW w:w="796" w:type="pct"/>
            <w:tcBorders>
              <w:top w:val="nil"/>
              <w:left w:val="nil"/>
              <w:bottom w:val="single" w:sz="8" w:space="0" w:color="auto"/>
              <w:right w:val="nil"/>
            </w:tcBorders>
            <w:shd w:val="clear" w:color="auto" w:fill="auto"/>
            <w:noWrap/>
            <w:vAlign w:val="center"/>
          </w:tcPr>
          <w:p w14:paraId="695D1AA1" w14:textId="77777777" w:rsidR="009D23D9" w:rsidRPr="002E2B5B" w:rsidRDefault="009D23D9" w:rsidP="00937ED9">
            <w:pPr>
              <w:spacing w:after="120"/>
              <w:jc w:val="right"/>
              <w:rPr>
                <w:rFonts w:ascii="Calibri" w:hAnsi="Calibri" w:cs="Calibri"/>
                <w:b/>
                <w:bCs/>
                <w:color w:val="000000"/>
                <w:sz w:val="16"/>
                <w:szCs w:val="16"/>
              </w:rPr>
            </w:pPr>
          </w:p>
        </w:tc>
        <w:tc>
          <w:tcPr>
            <w:tcW w:w="796" w:type="pct"/>
            <w:tcBorders>
              <w:top w:val="nil"/>
              <w:left w:val="nil"/>
              <w:bottom w:val="single" w:sz="8" w:space="0" w:color="auto"/>
              <w:right w:val="nil"/>
            </w:tcBorders>
            <w:shd w:val="clear" w:color="auto" w:fill="auto"/>
            <w:noWrap/>
            <w:vAlign w:val="center"/>
            <w:hideMark/>
          </w:tcPr>
          <w:p w14:paraId="33D389A0" w14:textId="719A665F" w:rsidR="009D23D9" w:rsidRPr="002E2B5B" w:rsidRDefault="003B60A7" w:rsidP="00937ED9">
            <w:pPr>
              <w:spacing w:after="120"/>
              <w:jc w:val="right"/>
              <w:rPr>
                <w:rFonts w:ascii="Calibri" w:hAnsi="Calibri" w:cs="Calibri"/>
                <w:b/>
                <w:bCs/>
                <w:color w:val="000000"/>
                <w:sz w:val="16"/>
                <w:szCs w:val="16"/>
              </w:rPr>
            </w:pPr>
            <w:r>
              <w:rPr>
                <w:rFonts w:ascii="Calibri" w:hAnsi="Calibri" w:cs="Calibri"/>
                <w:b/>
                <w:bCs/>
                <w:color w:val="000000"/>
                <w:sz w:val="16"/>
                <w:szCs w:val="16"/>
              </w:rPr>
              <w:t>3</w:t>
            </w:r>
            <w:r w:rsidR="002B4EE5">
              <w:rPr>
                <w:rFonts w:ascii="Calibri" w:hAnsi="Calibri" w:cs="Calibri"/>
                <w:b/>
                <w:bCs/>
                <w:color w:val="000000"/>
                <w:sz w:val="16"/>
                <w:szCs w:val="16"/>
              </w:rPr>
              <w:t>0</w:t>
            </w:r>
            <w:r>
              <w:rPr>
                <w:rFonts w:ascii="Calibri" w:hAnsi="Calibri" w:cs="Calibri"/>
                <w:b/>
                <w:bCs/>
                <w:color w:val="000000"/>
                <w:sz w:val="16"/>
                <w:szCs w:val="16"/>
              </w:rPr>
              <w:t>/</w:t>
            </w:r>
            <w:r w:rsidR="00282F12">
              <w:rPr>
                <w:rFonts w:ascii="Calibri" w:hAnsi="Calibri" w:cs="Calibri"/>
                <w:b/>
                <w:bCs/>
                <w:color w:val="000000"/>
                <w:sz w:val="16"/>
                <w:szCs w:val="16"/>
              </w:rPr>
              <w:t>0</w:t>
            </w:r>
            <w:r w:rsidR="002B4EE5">
              <w:rPr>
                <w:rFonts w:ascii="Calibri" w:hAnsi="Calibri" w:cs="Calibri"/>
                <w:b/>
                <w:bCs/>
                <w:color w:val="000000"/>
                <w:sz w:val="16"/>
                <w:szCs w:val="16"/>
              </w:rPr>
              <w:t>6</w:t>
            </w:r>
            <w:r>
              <w:rPr>
                <w:rFonts w:ascii="Calibri" w:hAnsi="Calibri" w:cs="Calibri"/>
                <w:b/>
                <w:bCs/>
                <w:color w:val="000000"/>
                <w:sz w:val="16"/>
                <w:szCs w:val="16"/>
              </w:rPr>
              <w:t>/202</w:t>
            </w:r>
            <w:r w:rsidR="00282F12">
              <w:rPr>
                <w:rFonts w:ascii="Calibri" w:hAnsi="Calibri" w:cs="Calibri"/>
                <w:b/>
                <w:bCs/>
                <w:color w:val="000000"/>
                <w:sz w:val="16"/>
                <w:szCs w:val="16"/>
              </w:rPr>
              <w:t>2</w:t>
            </w:r>
          </w:p>
        </w:tc>
        <w:tc>
          <w:tcPr>
            <w:tcW w:w="792" w:type="pct"/>
            <w:tcBorders>
              <w:top w:val="nil"/>
              <w:left w:val="nil"/>
              <w:bottom w:val="single" w:sz="8" w:space="0" w:color="auto"/>
              <w:right w:val="nil"/>
            </w:tcBorders>
            <w:shd w:val="clear" w:color="auto" w:fill="auto"/>
            <w:noWrap/>
            <w:vAlign w:val="center"/>
            <w:hideMark/>
          </w:tcPr>
          <w:p w14:paraId="5553919F" w14:textId="2837E2D5" w:rsidR="009D23D9" w:rsidRPr="002E2B5B" w:rsidRDefault="009D23D9" w:rsidP="00937ED9">
            <w:pPr>
              <w:spacing w:after="120"/>
              <w:jc w:val="right"/>
              <w:rPr>
                <w:rFonts w:ascii="Calibri" w:hAnsi="Calibri" w:cs="Calibri"/>
                <w:b/>
                <w:bCs/>
                <w:color w:val="000000"/>
                <w:sz w:val="16"/>
                <w:szCs w:val="16"/>
              </w:rPr>
            </w:pPr>
            <w:r w:rsidRPr="002E2B5B">
              <w:rPr>
                <w:rFonts w:ascii="Calibri" w:hAnsi="Calibri" w:cs="Calibri"/>
                <w:b/>
                <w:bCs/>
                <w:color w:val="000000"/>
                <w:sz w:val="16"/>
                <w:szCs w:val="16"/>
              </w:rPr>
              <w:t>31/12/20</w:t>
            </w:r>
            <w:r w:rsidR="00B63CA3">
              <w:rPr>
                <w:rFonts w:ascii="Calibri" w:hAnsi="Calibri" w:cs="Calibri"/>
                <w:b/>
                <w:bCs/>
                <w:color w:val="000000"/>
                <w:sz w:val="16"/>
                <w:szCs w:val="16"/>
              </w:rPr>
              <w:t>2</w:t>
            </w:r>
            <w:r w:rsidR="00282F12">
              <w:rPr>
                <w:rFonts w:ascii="Calibri" w:hAnsi="Calibri" w:cs="Calibri"/>
                <w:b/>
                <w:bCs/>
                <w:color w:val="000000"/>
                <w:sz w:val="16"/>
                <w:szCs w:val="16"/>
              </w:rPr>
              <w:t>1</w:t>
            </w:r>
          </w:p>
        </w:tc>
      </w:tr>
      <w:tr w:rsidR="00282F12" w:rsidRPr="002E2B5B" w14:paraId="5A1815AA" w14:textId="77777777" w:rsidTr="00282F12">
        <w:trPr>
          <w:trHeight w:hRule="exact" w:val="227"/>
        </w:trPr>
        <w:tc>
          <w:tcPr>
            <w:tcW w:w="2616" w:type="pct"/>
            <w:gridSpan w:val="3"/>
            <w:tcBorders>
              <w:top w:val="single" w:sz="8" w:space="0" w:color="auto"/>
              <w:left w:val="nil"/>
              <w:bottom w:val="nil"/>
              <w:right w:val="nil"/>
            </w:tcBorders>
            <w:shd w:val="clear" w:color="auto" w:fill="auto"/>
            <w:noWrap/>
            <w:vAlign w:val="center"/>
            <w:hideMark/>
          </w:tcPr>
          <w:p w14:paraId="48BA7886" w14:textId="77777777" w:rsidR="00282F12" w:rsidRPr="002E2B5B" w:rsidRDefault="00282F12" w:rsidP="00282F12">
            <w:pPr>
              <w:spacing w:after="120"/>
              <w:rPr>
                <w:rFonts w:ascii="Calibri" w:hAnsi="Calibri" w:cs="Calibri"/>
                <w:color w:val="000000"/>
                <w:sz w:val="16"/>
                <w:szCs w:val="16"/>
              </w:rPr>
            </w:pPr>
            <w:r w:rsidRPr="002E2B5B">
              <w:rPr>
                <w:rFonts w:ascii="Calibri" w:hAnsi="Calibri" w:cs="Calibri"/>
                <w:color w:val="000000"/>
                <w:sz w:val="16"/>
                <w:szCs w:val="16"/>
              </w:rPr>
              <w:t xml:space="preserve"> Saldo anterior</w:t>
            </w:r>
          </w:p>
        </w:tc>
        <w:tc>
          <w:tcPr>
            <w:tcW w:w="796" w:type="pct"/>
            <w:tcBorders>
              <w:top w:val="nil"/>
              <w:left w:val="nil"/>
              <w:bottom w:val="nil"/>
              <w:right w:val="nil"/>
            </w:tcBorders>
            <w:shd w:val="clear" w:color="auto" w:fill="auto"/>
            <w:noWrap/>
            <w:vAlign w:val="center"/>
          </w:tcPr>
          <w:p w14:paraId="34AE7C8E" w14:textId="77777777" w:rsidR="00282F12" w:rsidRPr="002E2B5B" w:rsidRDefault="00282F12" w:rsidP="00282F12">
            <w:pPr>
              <w:spacing w:after="120"/>
              <w:jc w:val="right"/>
              <w:rPr>
                <w:rFonts w:ascii="Calibri" w:hAnsi="Calibri" w:cs="Calibri"/>
                <w:color w:val="000000"/>
                <w:sz w:val="16"/>
                <w:szCs w:val="16"/>
              </w:rPr>
            </w:pPr>
          </w:p>
        </w:tc>
        <w:tc>
          <w:tcPr>
            <w:tcW w:w="796" w:type="pct"/>
            <w:tcBorders>
              <w:top w:val="nil"/>
              <w:left w:val="nil"/>
              <w:bottom w:val="nil"/>
              <w:right w:val="nil"/>
            </w:tcBorders>
            <w:shd w:val="clear" w:color="auto" w:fill="auto"/>
            <w:noWrap/>
            <w:vAlign w:val="center"/>
            <w:hideMark/>
          </w:tcPr>
          <w:p w14:paraId="24ED3632" w14:textId="064F4A3D" w:rsidR="00282F12" w:rsidRPr="002E2B5B" w:rsidRDefault="00282F12" w:rsidP="00282F12">
            <w:pPr>
              <w:spacing w:after="120"/>
              <w:jc w:val="right"/>
              <w:rPr>
                <w:rFonts w:ascii="Calibri" w:hAnsi="Calibri" w:cs="Calibri"/>
                <w:color w:val="000000"/>
                <w:sz w:val="16"/>
                <w:szCs w:val="16"/>
              </w:rPr>
            </w:pPr>
            <w:r w:rsidRPr="00282F12">
              <w:rPr>
                <w:rFonts w:ascii="Calibri" w:hAnsi="Calibri" w:cs="Calibri"/>
                <w:color w:val="000000"/>
                <w:sz w:val="16"/>
                <w:szCs w:val="16"/>
              </w:rPr>
              <w:t>35.830</w:t>
            </w:r>
          </w:p>
        </w:tc>
        <w:tc>
          <w:tcPr>
            <w:tcW w:w="792" w:type="pct"/>
            <w:tcBorders>
              <w:top w:val="nil"/>
              <w:left w:val="nil"/>
              <w:bottom w:val="nil"/>
              <w:right w:val="nil"/>
            </w:tcBorders>
            <w:shd w:val="clear" w:color="auto" w:fill="auto"/>
            <w:noWrap/>
            <w:vAlign w:val="center"/>
            <w:hideMark/>
          </w:tcPr>
          <w:p w14:paraId="3B44D124" w14:textId="4ACC28D0" w:rsidR="00282F12" w:rsidRPr="002E2B5B" w:rsidRDefault="00282F12" w:rsidP="00282F12">
            <w:pPr>
              <w:spacing w:after="120"/>
              <w:jc w:val="right"/>
              <w:rPr>
                <w:rFonts w:ascii="Calibri" w:hAnsi="Calibri" w:cs="Calibri"/>
                <w:color w:val="000000"/>
                <w:sz w:val="16"/>
                <w:szCs w:val="16"/>
              </w:rPr>
            </w:pPr>
            <w:r>
              <w:rPr>
                <w:rFonts w:ascii="Calibri" w:hAnsi="Calibri" w:cs="Calibri"/>
                <w:color w:val="000000"/>
                <w:sz w:val="16"/>
                <w:szCs w:val="16"/>
              </w:rPr>
              <w:t>0</w:t>
            </w:r>
          </w:p>
        </w:tc>
      </w:tr>
      <w:tr w:rsidR="00282F12" w:rsidRPr="002E2B5B" w14:paraId="0C13925B" w14:textId="77777777" w:rsidTr="00282F12">
        <w:trPr>
          <w:trHeight w:hRule="exact" w:val="227"/>
        </w:trPr>
        <w:tc>
          <w:tcPr>
            <w:tcW w:w="2616" w:type="pct"/>
            <w:gridSpan w:val="3"/>
            <w:tcBorders>
              <w:top w:val="nil"/>
              <w:left w:val="nil"/>
              <w:bottom w:val="nil"/>
              <w:right w:val="nil"/>
            </w:tcBorders>
            <w:shd w:val="clear" w:color="auto" w:fill="auto"/>
            <w:noWrap/>
            <w:vAlign w:val="center"/>
            <w:hideMark/>
          </w:tcPr>
          <w:p w14:paraId="6903EE73" w14:textId="77777777" w:rsidR="00282F12" w:rsidRPr="002E2B5B" w:rsidRDefault="00282F12" w:rsidP="00282F12">
            <w:pPr>
              <w:spacing w:after="120"/>
              <w:rPr>
                <w:rFonts w:ascii="Calibri" w:hAnsi="Calibri" w:cs="Calibri"/>
                <w:color w:val="000000"/>
                <w:sz w:val="16"/>
                <w:szCs w:val="16"/>
              </w:rPr>
            </w:pPr>
            <w:r w:rsidRPr="002E2B5B">
              <w:rPr>
                <w:rFonts w:ascii="Calibri" w:hAnsi="Calibri" w:cs="Calibri"/>
                <w:color w:val="000000"/>
                <w:sz w:val="16"/>
                <w:szCs w:val="16"/>
              </w:rPr>
              <w:t xml:space="preserve"> Reconhecimento de obrigações</w:t>
            </w:r>
          </w:p>
        </w:tc>
        <w:tc>
          <w:tcPr>
            <w:tcW w:w="796" w:type="pct"/>
            <w:tcBorders>
              <w:top w:val="nil"/>
              <w:left w:val="nil"/>
              <w:bottom w:val="nil"/>
              <w:right w:val="nil"/>
            </w:tcBorders>
            <w:shd w:val="clear" w:color="auto" w:fill="auto"/>
            <w:noWrap/>
            <w:vAlign w:val="center"/>
          </w:tcPr>
          <w:p w14:paraId="56DFADDC" w14:textId="77777777" w:rsidR="00282F12" w:rsidRPr="002E2B5B" w:rsidRDefault="00282F12" w:rsidP="00282F12">
            <w:pPr>
              <w:spacing w:after="120"/>
              <w:jc w:val="right"/>
              <w:rPr>
                <w:rFonts w:ascii="Calibri" w:hAnsi="Calibri" w:cs="Calibri"/>
                <w:color w:val="000000"/>
                <w:sz w:val="16"/>
                <w:szCs w:val="16"/>
              </w:rPr>
            </w:pPr>
          </w:p>
        </w:tc>
        <w:tc>
          <w:tcPr>
            <w:tcW w:w="796" w:type="pct"/>
            <w:tcBorders>
              <w:top w:val="nil"/>
              <w:left w:val="nil"/>
              <w:bottom w:val="nil"/>
              <w:right w:val="nil"/>
            </w:tcBorders>
            <w:shd w:val="clear" w:color="auto" w:fill="auto"/>
            <w:noWrap/>
            <w:vAlign w:val="center"/>
            <w:hideMark/>
          </w:tcPr>
          <w:p w14:paraId="5E1DA2F8" w14:textId="7DF7CF88" w:rsidR="00282F12" w:rsidRPr="002E2B5B" w:rsidRDefault="003E3786" w:rsidP="00282F12">
            <w:pPr>
              <w:spacing w:after="120"/>
              <w:jc w:val="right"/>
              <w:rPr>
                <w:rFonts w:ascii="Calibri" w:hAnsi="Calibri" w:cs="Calibri"/>
                <w:color w:val="000000"/>
                <w:sz w:val="16"/>
                <w:szCs w:val="16"/>
              </w:rPr>
            </w:pPr>
            <w:r>
              <w:rPr>
                <w:rFonts w:ascii="Calibri" w:hAnsi="Calibri" w:cs="Calibri"/>
                <w:color w:val="000000"/>
                <w:sz w:val="16"/>
                <w:szCs w:val="16"/>
              </w:rPr>
              <w:t>133.342.992</w:t>
            </w:r>
          </w:p>
        </w:tc>
        <w:tc>
          <w:tcPr>
            <w:tcW w:w="792" w:type="pct"/>
            <w:tcBorders>
              <w:top w:val="nil"/>
              <w:left w:val="nil"/>
              <w:bottom w:val="nil"/>
              <w:right w:val="nil"/>
            </w:tcBorders>
            <w:shd w:val="clear" w:color="auto" w:fill="auto"/>
            <w:noWrap/>
            <w:vAlign w:val="center"/>
            <w:hideMark/>
          </w:tcPr>
          <w:p w14:paraId="3201D9F6" w14:textId="4E21804C" w:rsidR="00282F12" w:rsidRPr="002E2B5B" w:rsidRDefault="00282F12" w:rsidP="00282F12">
            <w:pPr>
              <w:spacing w:after="120"/>
              <w:jc w:val="right"/>
              <w:rPr>
                <w:rFonts w:ascii="Calibri" w:hAnsi="Calibri" w:cs="Calibri"/>
                <w:color w:val="000000"/>
                <w:sz w:val="16"/>
                <w:szCs w:val="16"/>
              </w:rPr>
            </w:pPr>
            <w:r>
              <w:rPr>
                <w:rFonts w:ascii="Calibri" w:hAnsi="Calibri" w:cs="Calibri"/>
                <w:color w:val="000000"/>
                <w:sz w:val="16"/>
                <w:szCs w:val="16"/>
              </w:rPr>
              <w:t>413.795.941</w:t>
            </w:r>
          </w:p>
        </w:tc>
      </w:tr>
      <w:tr w:rsidR="00282F12" w:rsidRPr="002E2B5B" w14:paraId="58331C79" w14:textId="77777777" w:rsidTr="00282F12">
        <w:trPr>
          <w:trHeight w:hRule="exact" w:val="227"/>
        </w:trPr>
        <w:tc>
          <w:tcPr>
            <w:tcW w:w="2616" w:type="pct"/>
            <w:gridSpan w:val="3"/>
            <w:tcBorders>
              <w:top w:val="nil"/>
              <w:left w:val="nil"/>
              <w:bottom w:val="single" w:sz="4" w:space="0" w:color="auto"/>
              <w:right w:val="nil"/>
            </w:tcBorders>
            <w:shd w:val="clear" w:color="auto" w:fill="auto"/>
            <w:noWrap/>
            <w:vAlign w:val="center"/>
            <w:hideMark/>
          </w:tcPr>
          <w:p w14:paraId="65E25452" w14:textId="77777777" w:rsidR="00282F12" w:rsidRPr="002E2B5B" w:rsidRDefault="00282F12" w:rsidP="00282F12">
            <w:pPr>
              <w:spacing w:after="120"/>
              <w:rPr>
                <w:rFonts w:ascii="Calibri" w:hAnsi="Calibri" w:cs="Calibri"/>
                <w:color w:val="000000"/>
                <w:sz w:val="16"/>
                <w:szCs w:val="16"/>
              </w:rPr>
            </w:pPr>
            <w:r w:rsidRPr="002E2B5B">
              <w:rPr>
                <w:rFonts w:ascii="Calibri" w:hAnsi="Calibri" w:cs="Calibri"/>
                <w:color w:val="000000"/>
                <w:sz w:val="16"/>
                <w:szCs w:val="16"/>
              </w:rPr>
              <w:t xml:space="preserve"> Pagamento de fornecedores</w:t>
            </w:r>
          </w:p>
        </w:tc>
        <w:tc>
          <w:tcPr>
            <w:tcW w:w="796" w:type="pct"/>
            <w:tcBorders>
              <w:top w:val="nil"/>
              <w:left w:val="nil"/>
              <w:bottom w:val="single" w:sz="4" w:space="0" w:color="auto"/>
              <w:right w:val="nil"/>
            </w:tcBorders>
            <w:shd w:val="clear" w:color="auto" w:fill="auto"/>
            <w:noWrap/>
            <w:vAlign w:val="center"/>
          </w:tcPr>
          <w:p w14:paraId="36C9AE86" w14:textId="77777777" w:rsidR="00282F12" w:rsidRPr="002E2B5B" w:rsidRDefault="00282F12" w:rsidP="00282F12">
            <w:pPr>
              <w:spacing w:after="120"/>
              <w:jc w:val="right"/>
              <w:rPr>
                <w:rFonts w:ascii="Calibri" w:hAnsi="Calibri" w:cs="Calibri"/>
                <w:color w:val="000000"/>
                <w:sz w:val="16"/>
                <w:szCs w:val="16"/>
              </w:rPr>
            </w:pPr>
          </w:p>
        </w:tc>
        <w:tc>
          <w:tcPr>
            <w:tcW w:w="796" w:type="pct"/>
            <w:tcBorders>
              <w:top w:val="nil"/>
              <w:left w:val="nil"/>
              <w:bottom w:val="single" w:sz="4" w:space="0" w:color="auto"/>
              <w:right w:val="nil"/>
            </w:tcBorders>
            <w:shd w:val="clear" w:color="auto" w:fill="auto"/>
            <w:noWrap/>
            <w:vAlign w:val="center"/>
            <w:hideMark/>
          </w:tcPr>
          <w:p w14:paraId="72391142" w14:textId="464CB183" w:rsidR="00282F12" w:rsidRPr="002E2B5B" w:rsidRDefault="00282F12" w:rsidP="00282F12">
            <w:pPr>
              <w:spacing w:after="120"/>
              <w:jc w:val="right"/>
              <w:rPr>
                <w:rFonts w:ascii="Calibri" w:hAnsi="Calibri" w:cs="Calibri"/>
                <w:color w:val="000000"/>
                <w:sz w:val="16"/>
                <w:szCs w:val="16"/>
              </w:rPr>
            </w:pPr>
            <w:r w:rsidRPr="002E2B5B">
              <w:rPr>
                <w:rFonts w:ascii="Calibri" w:hAnsi="Calibri" w:cs="Calibri"/>
                <w:color w:val="000000"/>
                <w:sz w:val="16"/>
                <w:szCs w:val="16"/>
              </w:rPr>
              <w:t>(</w:t>
            </w:r>
            <w:r w:rsidR="003E3786">
              <w:rPr>
                <w:rFonts w:ascii="Calibri" w:hAnsi="Calibri" w:cs="Calibri"/>
                <w:color w:val="000000"/>
                <w:sz w:val="16"/>
                <w:szCs w:val="16"/>
              </w:rPr>
              <w:t>132.709.763</w:t>
            </w:r>
            <w:r w:rsidRPr="002E2B5B">
              <w:rPr>
                <w:rFonts w:ascii="Calibri" w:hAnsi="Calibri" w:cs="Calibri"/>
                <w:color w:val="000000"/>
                <w:sz w:val="16"/>
                <w:szCs w:val="16"/>
              </w:rPr>
              <w:t>)</w:t>
            </w:r>
          </w:p>
        </w:tc>
        <w:tc>
          <w:tcPr>
            <w:tcW w:w="792" w:type="pct"/>
            <w:tcBorders>
              <w:top w:val="nil"/>
              <w:left w:val="nil"/>
              <w:bottom w:val="single" w:sz="4" w:space="0" w:color="auto"/>
              <w:right w:val="nil"/>
            </w:tcBorders>
            <w:shd w:val="clear" w:color="auto" w:fill="auto"/>
            <w:noWrap/>
            <w:vAlign w:val="center"/>
            <w:hideMark/>
          </w:tcPr>
          <w:p w14:paraId="1258153A" w14:textId="209C6CE2" w:rsidR="00282F12" w:rsidRPr="002E2B5B" w:rsidRDefault="00282F12" w:rsidP="00282F12">
            <w:pPr>
              <w:spacing w:after="120"/>
              <w:jc w:val="right"/>
              <w:rPr>
                <w:rFonts w:ascii="Calibri" w:hAnsi="Calibri" w:cs="Calibri"/>
                <w:color w:val="000000"/>
                <w:sz w:val="16"/>
                <w:szCs w:val="16"/>
              </w:rPr>
            </w:pPr>
            <w:r w:rsidRPr="002E2B5B">
              <w:rPr>
                <w:rFonts w:ascii="Calibri" w:hAnsi="Calibri" w:cs="Calibri"/>
                <w:color w:val="000000"/>
                <w:sz w:val="16"/>
                <w:szCs w:val="16"/>
              </w:rPr>
              <w:t>(</w:t>
            </w:r>
            <w:r>
              <w:rPr>
                <w:rFonts w:ascii="Calibri" w:hAnsi="Calibri" w:cs="Calibri"/>
                <w:color w:val="000000"/>
                <w:sz w:val="16"/>
                <w:szCs w:val="16"/>
              </w:rPr>
              <w:t>413.760.111</w:t>
            </w:r>
            <w:r w:rsidRPr="002E2B5B">
              <w:rPr>
                <w:rFonts w:ascii="Calibri" w:hAnsi="Calibri" w:cs="Calibri"/>
                <w:color w:val="000000"/>
                <w:sz w:val="16"/>
                <w:szCs w:val="16"/>
              </w:rPr>
              <w:t>)</w:t>
            </w:r>
          </w:p>
        </w:tc>
      </w:tr>
      <w:tr w:rsidR="00282F12" w:rsidRPr="002E2B5B" w14:paraId="2D65B965" w14:textId="77777777" w:rsidTr="00282F12">
        <w:trPr>
          <w:trHeight w:hRule="exact" w:val="227"/>
        </w:trPr>
        <w:tc>
          <w:tcPr>
            <w:tcW w:w="2033" w:type="pct"/>
            <w:tcBorders>
              <w:top w:val="single" w:sz="4" w:space="0" w:color="auto"/>
              <w:left w:val="nil"/>
              <w:bottom w:val="single" w:sz="8" w:space="0" w:color="auto"/>
              <w:right w:val="nil"/>
            </w:tcBorders>
            <w:shd w:val="clear" w:color="auto" w:fill="auto"/>
            <w:noWrap/>
            <w:vAlign w:val="center"/>
            <w:hideMark/>
          </w:tcPr>
          <w:p w14:paraId="2A69B5D6" w14:textId="77777777" w:rsidR="00282F12" w:rsidRPr="002E2B5B" w:rsidRDefault="00282F12" w:rsidP="00282F12">
            <w:pPr>
              <w:spacing w:after="120"/>
              <w:rPr>
                <w:rFonts w:ascii="Calibri" w:hAnsi="Calibri" w:cs="Calibri"/>
                <w:b/>
                <w:bCs/>
                <w:color w:val="000000"/>
                <w:sz w:val="16"/>
                <w:szCs w:val="16"/>
              </w:rPr>
            </w:pPr>
            <w:r w:rsidRPr="002E2B5B">
              <w:rPr>
                <w:rFonts w:ascii="Calibri" w:hAnsi="Calibri" w:cs="Calibri"/>
                <w:b/>
                <w:bCs/>
                <w:color w:val="000000"/>
                <w:sz w:val="16"/>
                <w:szCs w:val="16"/>
              </w:rPr>
              <w:t xml:space="preserve"> TOTAL </w:t>
            </w:r>
          </w:p>
        </w:tc>
        <w:tc>
          <w:tcPr>
            <w:tcW w:w="292" w:type="pct"/>
            <w:tcBorders>
              <w:top w:val="single" w:sz="4" w:space="0" w:color="auto"/>
              <w:left w:val="nil"/>
              <w:bottom w:val="single" w:sz="8" w:space="0" w:color="auto"/>
              <w:right w:val="nil"/>
            </w:tcBorders>
            <w:shd w:val="clear" w:color="auto" w:fill="auto"/>
            <w:noWrap/>
            <w:vAlign w:val="center"/>
            <w:hideMark/>
          </w:tcPr>
          <w:p w14:paraId="347192A8" w14:textId="77777777" w:rsidR="00282F12" w:rsidRPr="002E2B5B" w:rsidRDefault="00282F12" w:rsidP="00282F12">
            <w:pPr>
              <w:spacing w:after="120"/>
              <w:rPr>
                <w:rFonts w:ascii="Calibri" w:hAnsi="Calibri" w:cs="Calibri"/>
                <w:color w:val="000000"/>
                <w:sz w:val="16"/>
                <w:szCs w:val="16"/>
              </w:rPr>
            </w:pPr>
            <w:r w:rsidRPr="002E2B5B">
              <w:rPr>
                <w:rFonts w:ascii="Calibri" w:hAnsi="Calibri" w:cs="Calibri"/>
                <w:color w:val="000000"/>
                <w:sz w:val="16"/>
                <w:szCs w:val="16"/>
              </w:rPr>
              <w:t> </w:t>
            </w:r>
          </w:p>
        </w:tc>
        <w:tc>
          <w:tcPr>
            <w:tcW w:w="292" w:type="pct"/>
            <w:tcBorders>
              <w:top w:val="single" w:sz="4" w:space="0" w:color="auto"/>
              <w:left w:val="nil"/>
              <w:bottom w:val="single" w:sz="8" w:space="0" w:color="auto"/>
              <w:right w:val="nil"/>
            </w:tcBorders>
            <w:shd w:val="clear" w:color="auto" w:fill="auto"/>
            <w:noWrap/>
            <w:vAlign w:val="center"/>
            <w:hideMark/>
          </w:tcPr>
          <w:p w14:paraId="04140E8D" w14:textId="77777777" w:rsidR="00282F12" w:rsidRPr="002E2B5B" w:rsidRDefault="00282F12" w:rsidP="00282F12">
            <w:pPr>
              <w:spacing w:after="120"/>
              <w:rPr>
                <w:rFonts w:ascii="Calibri" w:hAnsi="Calibri" w:cs="Calibri"/>
                <w:color w:val="000000"/>
                <w:sz w:val="16"/>
                <w:szCs w:val="16"/>
              </w:rPr>
            </w:pPr>
            <w:r w:rsidRPr="002E2B5B">
              <w:rPr>
                <w:rFonts w:ascii="Calibri" w:hAnsi="Calibri" w:cs="Calibri"/>
                <w:color w:val="000000"/>
                <w:sz w:val="16"/>
                <w:szCs w:val="16"/>
              </w:rPr>
              <w:t> </w:t>
            </w:r>
          </w:p>
        </w:tc>
        <w:tc>
          <w:tcPr>
            <w:tcW w:w="796" w:type="pct"/>
            <w:tcBorders>
              <w:top w:val="single" w:sz="4" w:space="0" w:color="auto"/>
              <w:left w:val="nil"/>
              <w:bottom w:val="single" w:sz="8" w:space="0" w:color="auto"/>
              <w:right w:val="nil"/>
            </w:tcBorders>
            <w:shd w:val="clear" w:color="auto" w:fill="auto"/>
            <w:noWrap/>
            <w:vAlign w:val="center"/>
          </w:tcPr>
          <w:p w14:paraId="107EF0B2" w14:textId="77777777" w:rsidR="00282F12" w:rsidRPr="002E2B5B" w:rsidRDefault="00282F12" w:rsidP="00282F12">
            <w:pPr>
              <w:spacing w:after="120"/>
              <w:jc w:val="right"/>
              <w:rPr>
                <w:rFonts w:ascii="Calibri" w:hAnsi="Calibri" w:cs="Calibri"/>
                <w:b/>
                <w:bCs/>
                <w:color w:val="000000"/>
                <w:sz w:val="16"/>
                <w:szCs w:val="16"/>
              </w:rPr>
            </w:pPr>
          </w:p>
        </w:tc>
        <w:tc>
          <w:tcPr>
            <w:tcW w:w="796" w:type="pct"/>
            <w:tcBorders>
              <w:top w:val="single" w:sz="4" w:space="0" w:color="auto"/>
              <w:left w:val="nil"/>
              <w:bottom w:val="single" w:sz="8" w:space="0" w:color="auto"/>
              <w:right w:val="nil"/>
            </w:tcBorders>
            <w:shd w:val="clear" w:color="auto" w:fill="auto"/>
            <w:noWrap/>
            <w:vAlign w:val="center"/>
            <w:hideMark/>
          </w:tcPr>
          <w:p w14:paraId="70E49C5A" w14:textId="14007A31" w:rsidR="00282F12" w:rsidRPr="002E2B5B" w:rsidRDefault="003E3786" w:rsidP="00282F12">
            <w:pPr>
              <w:spacing w:after="120"/>
              <w:jc w:val="right"/>
              <w:rPr>
                <w:rFonts w:ascii="Calibri" w:hAnsi="Calibri" w:cs="Calibri"/>
                <w:b/>
                <w:bCs/>
                <w:color w:val="000000"/>
                <w:sz w:val="16"/>
                <w:szCs w:val="16"/>
              </w:rPr>
            </w:pPr>
            <w:r>
              <w:rPr>
                <w:rFonts w:ascii="Calibri" w:hAnsi="Calibri" w:cs="Calibri"/>
                <w:b/>
                <w:bCs/>
                <w:color w:val="000000"/>
                <w:sz w:val="16"/>
                <w:szCs w:val="16"/>
              </w:rPr>
              <w:t>669.059</w:t>
            </w:r>
          </w:p>
        </w:tc>
        <w:tc>
          <w:tcPr>
            <w:tcW w:w="792" w:type="pct"/>
            <w:tcBorders>
              <w:top w:val="single" w:sz="4" w:space="0" w:color="auto"/>
              <w:left w:val="nil"/>
              <w:bottom w:val="single" w:sz="8" w:space="0" w:color="auto"/>
              <w:right w:val="nil"/>
            </w:tcBorders>
            <w:shd w:val="clear" w:color="auto" w:fill="auto"/>
            <w:noWrap/>
            <w:vAlign w:val="center"/>
            <w:hideMark/>
          </w:tcPr>
          <w:p w14:paraId="0D4F11AC" w14:textId="2A5B351F" w:rsidR="00282F12" w:rsidRPr="002E2B5B" w:rsidRDefault="00282F12" w:rsidP="00282F12">
            <w:pPr>
              <w:spacing w:after="120"/>
              <w:jc w:val="right"/>
              <w:rPr>
                <w:rFonts w:ascii="Calibri" w:hAnsi="Calibri" w:cs="Calibri"/>
                <w:b/>
                <w:bCs/>
                <w:color w:val="000000"/>
                <w:sz w:val="16"/>
                <w:szCs w:val="16"/>
              </w:rPr>
            </w:pPr>
            <w:r>
              <w:rPr>
                <w:rFonts w:ascii="Calibri" w:hAnsi="Calibri" w:cs="Calibri"/>
                <w:b/>
                <w:bCs/>
                <w:color w:val="000000"/>
                <w:sz w:val="16"/>
                <w:szCs w:val="16"/>
              </w:rPr>
              <w:t>35.830</w:t>
            </w:r>
          </w:p>
        </w:tc>
      </w:tr>
    </w:tbl>
    <w:p w14:paraId="5E1C0320" w14:textId="71D8B2D0" w:rsidR="00E54177" w:rsidRPr="002E2B5B" w:rsidRDefault="00CE2B17" w:rsidP="000B3A75">
      <w:pPr>
        <w:pStyle w:val="Textoembloco"/>
        <w:spacing w:before="120" w:after="120" w:line="240" w:lineRule="auto"/>
        <w:ind w:left="0" w:right="57"/>
        <w:rPr>
          <w:rFonts w:ascii="Calibri" w:hAnsi="Calibri" w:cs="Calibri"/>
          <w:sz w:val="22"/>
          <w:szCs w:val="22"/>
          <w:shd w:val="clear" w:color="auto" w:fill="FFFFFF"/>
        </w:rPr>
      </w:pPr>
      <w:r w:rsidRPr="002E2B5B">
        <w:rPr>
          <w:rFonts w:ascii="Calibri" w:hAnsi="Calibri" w:cs="Calibri"/>
          <w:sz w:val="22"/>
          <w:szCs w:val="22"/>
          <w:shd w:val="clear" w:color="auto" w:fill="FFFFFF"/>
        </w:rPr>
        <w:t>O saldo da conta de “Fornecedores” compreende as obrigações com prestadores de serviços e fornecedores de materiais à VALEC.</w:t>
      </w:r>
      <w:r w:rsidR="008C1E34" w:rsidRPr="002E2B5B">
        <w:rPr>
          <w:rFonts w:ascii="Calibri" w:hAnsi="Calibri" w:cs="Calibri"/>
          <w:sz w:val="22"/>
          <w:szCs w:val="22"/>
          <w:shd w:val="clear" w:color="auto" w:fill="FFFFFF"/>
        </w:rPr>
        <w:t xml:space="preserve"> </w:t>
      </w:r>
    </w:p>
    <w:p w14:paraId="081E95A7" w14:textId="4E4AB30B" w:rsidR="00B02B62" w:rsidRPr="00AE620A" w:rsidRDefault="003F2E5C" w:rsidP="00937ED9">
      <w:pPr>
        <w:numPr>
          <w:ilvl w:val="0"/>
          <w:numId w:val="2"/>
        </w:numPr>
        <w:spacing w:after="120"/>
        <w:ind w:left="284" w:hanging="284"/>
        <w:jc w:val="both"/>
        <w:rPr>
          <w:rFonts w:ascii="Calibri" w:hAnsi="Calibri" w:cs="Calibri"/>
          <w:b/>
          <w:sz w:val="22"/>
          <w:szCs w:val="22"/>
        </w:rPr>
      </w:pPr>
      <w:r w:rsidRPr="00AE620A">
        <w:rPr>
          <w:rFonts w:ascii="Calibri" w:hAnsi="Calibri" w:cs="Calibri"/>
          <w:b/>
          <w:sz w:val="22"/>
          <w:szCs w:val="22"/>
        </w:rPr>
        <w:t xml:space="preserve">Férias </w:t>
      </w:r>
      <w:r w:rsidR="00BC41DF" w:rsidRPr="00AE620A">
        <w:rPr>
          <w:rFonts w:ascii="Calibri" w:hAnsi="Calibri" w:cs="Calibri"/>
          <w:b/>
          <w:sz w:val="22"/>
          <w:szCs w:val="22"/>
        </w:rPr>
        <w:t>e</w:t>
      </w:r>
      <w:r w:rsidRPr="00AE620A">
        <w:rPr>
          <w:rFonts w:ascii="Calibri" w:hAnsi="Calibri" w:cs="Calibri"/>
          <w:b/>
          <w:sz w:val="22"/>
          <w:szCs w:val="22"/>
        </w:rPr>
        <w:t xml:space="preserve"> Encargos</w:t>
      </w:r>
      <w:r w:rsidR="00270763">
        <w:rPr>
          <w:rFonts w:ascii="Calibri" w:hAnsi="Calibri" w:cs="Calibri"/>
          <w:b/>
          <w:sz w:val="22"/>
          <w:szCs w:val="22"/>
        </w:rPr>
        <w:t xml:space="preserve"> a pa</w:t>
      </w:r>
      <w:r w:rsidR="00227382">
        <w:rPr>
          <w:rFonts w:ascii="Calibri" w:hAnsi="Calibri" w:cs="Calibri"/>
          <w:b/>
          <w:sz w:val="22"/>
          <w:szCs w:val="22"/>
        </w:rPr>
        <w:t>gar</w:t>
      </w:r>
    </w:p>
    <w:tbl>
      <w:tblPr>
        <w:tblW w:w="5000" w:type="pct"/>
        <w:tblCellMar>
          <w:left w:w="70" w:type="dxa"/>
          <w:right w:w="70" w:type="dxa"/>
        </w:tblCellMar>
        <w:tblLook w:val="04A0" w:firstRow="1" w:lastRow="0" w:firstColumn="1" w:lastColumn="0" w:noHBand="0" w:noVBand="1"/>
      </w:tblPr>
      <w:tblGrid>
        <w:gridCol w:w="3837"/>
        <w:gridCol w:w="473"/>
        <w:gridCol w:w="473"/>
        <w:gridCol w:w="1365"/>
        <w:gridCol w:w="1457"/>
        <w:gridCol w:w="1457"/>
        <w:gridCol w:w="1405"/>
      </w:tblGrid>
      <w:tr w:rsidR="00B628E5" w:rsidRPr="002E2B5B" w14:paraId="734D82D7" w14:textId="77777777" w:rsidTr="00C34E8D">
        <w:trPr>
          <w:trHeight w:hRule="exact" w:val="227"/>
        </w:trPr>
        <w:tc>
          <w:tcPr>
            <w:tcW w:w="2285" w:type="pct"/>
            <w:gridSpan w:val="3"/>
            <w:tcBorders>
              <w:top w:val="single" w:sz="8" w:space="0" w:color="auto"/>
              <w:left w:val="nil"/>
              <w:bottom w:val="single" w:sz="8" w:space="0" w:color="auto"/>
              <w:right w:val="nil"/>
            </w:tcBorders>
            <w:shd w:val="clear" w:color="auto" w:fill="auto"/>
            <w:noWrap/>
            <w:vAlign w:val="center"/>
            <w:hideMark/>
          </w:tcPr>
          <w:p w14:paraId="185FCAAA" w14:textId="055C8636" w:rsidR="00B628E5" w:rsidRPr="002E2B5B" w:rsidRDefault="00B628E5" w:rsidP="00937ED9">
            <w:pPr>
              <w:spacing w:after="120"/>
              <w:rPr>
                <w:rFonts w:ascii="Calibri" w:hAnsi="Calibri" w:cs="Calibri"/>
                <w:b/>
                <w:bCs/>
                <w:color w:val="000000"/>
                <w:sz w:val="16"/>
                <w:szCs w:val="16"/>
              </w:rPr>
            </w:pPr>
            <w:r w:rsidRPr="002E2B5B">
              <w:rPr>
                <w:rFonts w:ascii="Calibri" w:hAnsi="Calibri" w:cs="Calibri"/>
                <w:b/>
                <w:bCs/>
                <w:color w:val="000000"/>
                <w:sz w:val="16"/>
                <w:szCs w:val="16"/>
              </w:rPr>
              <w:t>FÉRIAS E ENCARGOS</w:t>
            </w:r>
            <w:r w:rsidR="00227382">
              <w:rPr>
                <w:rFonts w:ascii="Calibri" w:hAnsi="Calibri" w:cs="Calibri"/>
                <w:b/>
                <w:bCs/>
                <w:color w:val="000000"/>
                <w:sz w:val="16"/>
                <w:szCs w:val="16"/>
              </w:rPr>
              <w:t xml:space="preserve"> A PAGAR</w:t>
            </w:r>
          </w:p>
        </w:tc>
        <w:tc>
          <w:tcPr>
            <w:tcW w:w="652" w:type="pct"/>
            <w:tcBorders>
              <w:top w:val="single" w:sz="8" w:space="0" w:color="auto"/>
              <w:left w:val="nil"/>
              <w:bottom w:val="single" w:sz="8" w:space="0" w:color="auto"/>
              <w:right w:val="nil"/>
            </w:tcBorders>
            <w:shd w:val="clear" w:color="auto" w:fill="auto"/>
            <w:vAlign w:val="center"/>
            <w:hideMark/>
          </w:tcPr>
          <w:p w14:paraId="2DEE8891" w14:textId="77777777" w:rsidR="00B628E5" w:rsidRPr="002E2B5B" w:rsidRDefault="00B628E5" w:rsidP="00937ED9">
            <w:pPr>
              <w:spacing w:after="120"/>
              <w:jc w:val="right"/>
              <w:rPr>
                <w:rFonts w:ascii="Calibri" w:hAnsi="Calibri" w:cs="Calibri"/>
                <w:b/>
                <w:bCs/>
                <w:color w:val="000000"/>
                <w:sz w:val="16"/>
                <w:szCs w:val="16"/>
              </w:rPr>
            </w:pPr>
            <w:r w:rsidRPr="002E2B5B">
              <w:rPr>
                <w:rFonts w:ascii="Calibri" w:hAnsi="Calibri" w:cs="Calibri"/>
                <w:b/>
                <w:bCs/>
                <w:color w:val="000000"/>
                <w:sz w:val="16"/>
                <w:szCs w:val="16"/>
              </w:rPr>
              <w:t> </w:t>
            </w:r>
          </w:p>
        </w:tc>
        <w:tc>
          <w:tcPr>
            <w:tcW w:w="696" w:type="pct"/>
            <w:tcBorders>
              <w:top w:val="single" w:sz="8" w:space="0" w:color="auto"/>
              <w:left w:val="nil"/>
              <w:bottom w:val="single" w:sz="8" w:space="0" w:color="auto"/>
              <w:right w:val="nil"/>
            </w:tcBorders>
            <w:shd w:val="clear" w:color="auto" w:fill="auto"/>
            <w:noWrap/>
            <w:vAlign w:val="center"/>
          </w:tcPr>
          <w:p w14:paraId="32F9EDFB" w14:textId="77777777" w:rsidR="00B628E5" w:rsidRPr="002E2B5B" w:rsidRDefault="00B628E5" w:rsidP="00937ED9">
            <w:pPr>
              <w:spacing w:after="120"/>
              <w:jc w:val="right"/>
              <w:rPr>
                <w:rFonts w:ascii="Calibri" w:hAnsi="Calibri" w:cs="Calibri"/>
                <w:b/>
                <w:bCs/>
                <w:color w:val="000000"/>
                <w:sz w:val="16"/>
                <w:szCs w:val="16"/>
              </w:rPr>
            </w:pPr>
          </w:p>
        </w:tc>
        <w:tc>
          <w:tcPr>
            <w:tcW w:w="696" w:type="pct"/>
            <w:tcBorders>
              <w:top w:val="single" w:sz="8" w:space="0" w:color="auto"/>
              <w:left w:val="nil"/>
              <w:bottom w:val="single" w:sz="8" w:space="0" w:color="auto"/>
              <w:right w:val="nil"/>
            </w:tcBorders>
            <w:shd w:val="clear" w:color="auto" w:fill="auto"/>
            <w:noWrap/>
            <w:vAlign w:val="center"/>
            <w:hideMark/>
          </w:tcPr>
          <w:p w14:paraId="392B7EB7" w14:textId="1DC525BB" w:rsidR="00B628E5" w:rsidRPr="002E2B5B" w:rsidRDefault="003B60A7" w:rsidP="00937ED9">
            <w:pPr>
              <w:spacing w:after="120"/>
              <w:jc w:val="right"/>
              <w:rPr>
                <w:rFonts w:ascii="Calibri" w:hAnsi="Calibri" w:cs="Calibri"/>
                <w:b/>
                <w:bCs/>
                <w:color w:val="000000"/>
                <w:sz w:val="16"/>
                <w:szCs w:val="16"/>
              </w:rPr>
            </w:pPr>
            <w:r>
              <w:rPr>
                <w:rFonts w:ascii="Calibri" w:hAnsi="Calibri" w:cs="Calibri"/>
                <w:b/>
                <w:bCs/>
                <w:color w:val="000000"/>
                <w:sz w:val="16"/>
                <w:szCs w:val="16"/>
              </w:rPr>
              <w:t>3</w:t>
            </w:r>
            <w:r w:rsidR="003E3786">
              <w:rPr>
                <w:rFonts w:ascii="Calibri" w:hAnsi="Calibri" w:cs="Calibri"/>
                <w:b/>
                <w:bCs/>
                <w:color w:val="000000"/>
                <w:sz w:val="16"/>
                <w:szCs w:val="16"/>
              </w:rPr>
              <w:t>0</w:t>
            </w:r>
            <w:r>
              <w:rPr>
                <w:rFonts w:ascii="Calibri" w:hAnsi="Calibri" w:cs="Calibri"/>
                <w:b/>
                <w:bCs/>
                <w:color w:val="000000"/>
                <w:sz w:val="16"/>
                <w:szCs w:val="16"/>
              </w:rPr>
              <w:t>/</w:t>
            </w:r>
            <w:r w:rsidR="00282F12">
              <w:rPr>
                <w:rFonts w:ascii="Calibri" w:hAnsi="Calibri" w:cs="Calibri"/>
                <w:b/>
                <w:bCs/>
                <w:color w:val="000000"/>
                <w:sz w:val="16"/>
                <w:szCs w:val="16"/>
              </w:rPr>
              <w:t>0</w:t>
            </w:r>
            <w:r w:rsidR="003E3786">
              <w:rPr>
                <w:rFonts w:ascii="Calibri" w:hAnsi="Calibri" w:cs="Calibri"/>
                <w:b/>
                <w:bCs/>
                <w:color w:val="000000"/>
                <w:sz w:val="16"/>
                <w:szCs w:val="16"/>
              </w:rPr>
              <w:t>6</w:t>
            </w:r>
            <w:r>
              <w:rPr>
                <w:rFonts w:ascii="Calibri" w:hAnsi="Calibri" w:cs="Calibri"/>
                <w:b/>
                <w:bCs/>
                <w:color w:val="000000"/>
                <w:sz w:val="16"/>
                <w:szCs w:val="16"/>
              </w:rPr>
              <w:t>/202</w:t>
            </w:r>
            <w:r w:rsidR="00282F12">
              <w:rPr>
                <w:rFonts w:ascii="Calibri" w:hAnsi="Calibri" w:cs="Calibri"/>
                <w:b/>
                <w:bCs/>
                <w:color w:val="000000"/>
                <w:sz w:val="16"/>
                <w:szCs w:val="16"/>
              </w:rPr>
              <w:t>2</w:t>
            </w:r>
          </w:p>
        </w:tc>
        <w:tc>
          <w:tcPr>
            <w:tcW w:w="671" w:type="pct"/>
            <w:tcBorders>
              <w:top w:val="single" w:sz="8" w:space="0" w:color="auto"/>
              <w:left w:val="nil"/>
              <w:bottom w:val="single" w:sz="8" w:space="0" w:color="auto"/>
              <w:right w:val="nil"/>
            </w:tcBorders>
            <w:shd w:val="clear" w:color="auto" w:fill="auto"/>
            <w:noWrap/>
            <w:vAlign w:val="center"/>
            <w:hideMark/>
          </w:tcPr>
          <w:p w14:paraId="54A905BA" w14:textId="46D3D1A4" w:rsidR="00B628E5" w:rsidRPr="002E2B5B" w:rsidRDefault="00B628E5" w:rsidP="00937ED9">
            <w:pPr>
              <w:spacing w:after="120"/>
              <w:jc w:val="right"/>
              <w:rPr>
                <w:rFonts w:ascii="Calibri" w:hAnsi="Calibri" w:cs="Calibri"/>
                <w:b/>
                <w:bCs/>
                <w:color w:val="000000"/>
                <w:sz w:val="16"/>
                <w:szCs w:val="16"/>
              </w:rPr>
            </w:pPr>
            <w:r w:rsidRPr="002E2B5B">
              <w:rPr>
                <w:rFonts w:ascii="Calibri" w:hAnsi="Calibri" w:cs="Calibri"/>
                <w:b/>
                <w:bCs/>
                <w:color w:val="000000"/>
                <w:sz w:val="16"/>
                <w:szCs w:val="16"/>
              </w:rPr>
              <w:t>31/12/20</w:t>
            </w:r>
            <w:r w:rsidR="009750C8">
              <w:rPr>
                <w:rFonts w:ascii="Calibri" w:hAnsi="Calibri" w:cs="Calibri"/>
                <w:b/>
                <w:bCs/>
                <w:color w:val="000000"/>
                <w:sz w:val="16"/>
                <w:szCs w:val="16"/>
              </w:rPr>
              <w:t>2</w:t>
            </w:r>
            <w:r w:rsidR="00282F12">
              <w:rPr>
                <w:rFonts w:ascii="Calibri" w:hAnsi="Calibri" w:cs="Calibri"/>
                <w:b/>
                <w:bCs/>
                <w:color w:val="000000"/>
                <w:sz w:val="16"/>
                <w:szCs w:val="16"/>
              </w:rPr>
              <w:t>1</w:t>
            </w:r>
          </w:p>
        </w:tc>
      </w:tr>
      <w:tr w:rsidR="00282F12" w:rsidRPr="002E2B5B" w14:paraId="618D9975" w14:textId="77777777" w:rsidTr="003E0A8B">
        <w:trPr>
          <w:trHeight w:hRule="exact" w:val="227"/>
        </w:trPr>
        <w:tc>
          <w:tcPr>
            <w:tcW w:w="1833" w:type="pct"/>
            <w:tcBorders>
              <w:top w:val="nil"/>
              <w:left w:val="nil"/>
              <w:bottom w:val="nil"/>
              <w:right w:val="nil"/>
            </w:tcBorders>
            <w:shd w:val="clear" w:color="auto" w:fill="auto"/>
            <w:noWrap/>
            <w:vAlign w:val="center"/>
            <w:hideMark/>
          </w:tcPr>
          <w:p w14:paraId="7FA15CE0" w14:textId="77777777" w:rsidR="00282F12" w:rsidRPr="002E2B5B" w:rsidRDefault="00282F12" w:rsidP="00282F12">
            <w:pPr>
              <w:spacing w:after="120"/>
              <w:rPr>
                <w:rFonts w:ascii="Calibri" w:hAnsi="Calibri" w:cs="Calibri"/>
                <w:color w:val="000000"/>
                <w:sz w:val="16"/>
                <w:szCs w:val="16"/>
              </w:rPr>
            </w:pPr>
            <w:r w:rsidRPr="002E2B5B">
              <w:rPr>
                <w:rFonts w:ascii="Calibri" w:hAnsi="Calibri" w:cs="Calibri"/>
                <w:color w:val="000000"/>
                <w:sz w:val="16"/>
                <w:szCs w:val="16"/>
              </w:rPr>
              <w:t>RFFSA</w:t>
            </w:r>
          </w:p>
        </w:tc>
        <w:tc>
          <w:tcPr>
            <w:tcW w:w="226" w:type="pct"/>
            <w:tcBorders>
              <w:top w:val="nil"/>
              <w:left w:val="nil"/>
              <w:bottom w:val="nil"/>
              <w:right w:val="nil"/>
            </w:tcBorders>
            <w:shd w:val="clear" w:color="auto" w:fill="auto"/>
            <w:noWrap/>
            <w:vAlign w:val="center"/>
            <w:hideMark/>
          </w:tcPr>
          <w:p w14:paraId="6C74F76E" w14:textId="77777777" w:rsidR="00282F12" w:rsidRPr="002E2B5B" w:rsidRDefault="00282F12" w:rsidP="00282F12">
            <w:pPr>
              <w:spacing w:after="120"/>
              <w:rPr>
                <w:rFonts w:ascii="Calibri" w:hAnsi="Calibri" w:cs="Calibri"/>
                <w:color w:val="000000"/>
                <w:sz w:val="16"/>
                <w:szCs w:val="16"/>
              </w:rPr>
            </w:pPr>
          </w:p>
        </w:tc>
        <w:tc>
          <w:tcPr>
            <w:tcW w:w="226" w:type="pct"/>
            <w:tcBorders>
              <w:top w:val="nil"/>
              <w:left w:val="nil"/>
              <w:bottom w:val="nil"/>
              <w:right w:val="nil"/>
            </w:tcBorders>
            <w:shd w:val="clear" w:color="auto" w:fill="auto"/>
            <w:noWrap/>
            <w:vAlign w:val="center"/>
            <w:hideMark/>
          </w:tcPr>
          <w:p w14:paraId="5E45331E" w14:textId="77777777" w:rsidR="00282F12" w:rsidRPr="002E2B5B" w:rsidRDefault="00282F12" w:rsidP="00282F12">
            <w:pPr>
              <w:spacing w:after="120"/>
              <w:rPr>
                <w:rFonts w:ascii="Calibri" w:hAnsi="Calibri" w:cs="Calibri"/>
                <w:sz w:val="16"/>
                <w:szCs w:val="16"/>
              </w:rPr>
            </w:pPr>
          </w:p>
        </w:tc>
        <w:tc>
          <w:tcPr>
            <w:tcW w:w="652" w:type="pct"/>
            <w:tcBorders>
              <w:top w:val="nil"/>
              <w:left w:val="nil"/>
              <w:bottom w:val="nil"/>
              <w:right w:val="nil"/>
            </w:tcBorders>
            <w:shd w:val="clear" w:color="auto" w:fill="auto"/>
            <w:vAlign w:val="center"/>
            <w:hideMark/>
          </w:tcPr>
          <w:p w14:paraId="1FC6DEFE" w14:textId="77777777" w:rsidR="00282F12" w:rsidRPr="002E2B5B" w:rsidRDefault="00282F12" w:rsidP="00282F12">
            <w:pPr>
              <w:spacing w:after="120"/>
              <w:rPr>
                <w:rFonts w:ascii="Calibri" w:hAnsi="Calibri" w:cs="Calibri"/>
                <w:sz w:val="16"/>
                <w:szCs w:val="16"/>
              </w:rPr>
            </w:pPr>
          </w:p>
        </w:tc>
        <w:tc>
          <w:tcPr>
            <w:tcW w:w="696" w:type="pct"/>
            <w:tcBorders>
              <w:top w:val="nil"/>
              <w:left w:val="nil"/>
              <w:bottom w:val="nil"/>
              <w:right w:val="nil"/>
            </w:tcBorders>
            <w:shd w:val="clear" w:color="auto" w:fill="auto"/>
            <w:noWrap/>
            <w:vAlign w:val="center"/>
          </w:tcPr>
          <w:p w14:paraId="2B6568A0" w14:textId="77777777" w:rsidR="00282F12" w:rsidRPr="002E2B5B" w:rsidRDefault="00282F12" w:rsidP="00282F12">
            <w:pPr>
              <w:spacing w:after="120"/>
              <w:jc w:val="right"/>
              <w:rPr>
                <w:rFonts w:ascii="Calibri" w:hAnsi="Calibri" w:cs="Calibri"/>
                <w:color w:val="000000"/>
                <w:sz w:val="16"/>
                <w:szCs w:val="16"/>
              </w:rPr>
            </w:pPr>
          </w:p>
        </w:tc>
        <w:tc>
          <w:tcPr>
            <w:tcW w:w="696" w:type="pct"/>
            <w:tcBorders>
              <w:top w:val="nil"/>
              <w:left w:val="nil"/>
              <w:bottom w:val="nil"/>
              <w:right w:val="nil"/>
            </w:tcBorders>
            <w:shd w:val="clear" w:color="auto" w:fill="auto"/>
            <w:noWrap/>
            <w:vAlign w:val="center"/>
            <w:hideMark/>
          </w:tcPr>
          <w:p w14:paraId="6C6B9E5C" w14:textId="7EEBA0A6" w:rsidR="00282F12" w:rsidRPr="002E2B5B" w:rsidRDefault="00DF1149" w:rsidP="00282F12">
            <w:pPr>
              <w:spacing w:after="120"/>
              <w:jc w:val="right"/>
              <w:rPr>
                <w:rFonts w:ascii="Calibri" w:hAnsi="Calibri" w:cs="Calibri"/>
                <w:color w:val="000000"/>
                <w:sz w:val="16"/>
                <w:szCs w:val="16"/>
              </w:rPr>
            </w:pPr>
            <w:r>
              <w:rPr>
                <w:rFonts w:ascii="Calibri" w:hAnsi="Calibri" w:cs="Calibri"/>
                <w:color w:val="000000"/>
                <w:sz w:val="16"/>
                <w:szCs w:val="16"/>
              </w:rPr>
              <w:t>2.</w:t>
            </w:r>
            <w:r w:rsidR="00E83F1D">
              <w:rPr>
                <w:rFonts w:ascii="Calibri" w:hAnsi="Calibri" w:cs="Calibri"/>
                <w:color w:val="000000"/>
                <w:sz w:val="16"/>
                <w:szCs w:val="16"/>
              </w:rPr>
              <w:t>456.996</w:t>
            </w:r>
          </w:p>
        </w:tc>
        <w:tc>
          <w:tcPr>
            <w:tcW w:w="671" w:type="pct"/>
            <w:tcBorders>
              <w:top w:val="nil"/>
              <w:left w:val="nil"/>
              <w:bottom w:val="nil"/>
              <w:right w:val="nil"/>
            </w:tcBorders>
            <w:shd w:val="clear" w:color="auto" w:fill="auto"/>
            <w:noWrap/>
            <w:vAlign w:val="center"/>
            <w:hideMark/>
          </w:tcPr>
          <w:p w14:paraId="77A72043" w14:textId="1EEB9578" w:rsidR="00282F12" w:rsidRPr="002E2B5B" w:rsidRDefault="00282F12" w:rsidP="00282F12">
            <w:pPr>
              <w:spacing w:after="120"/>
              <w:jc w:val="right"/>
              <w:rPr>
                <w:rFonts w:ascii="Calibri" w:hAnsi="Calibri" w:cs="Calibri"/>
                <w:color w:val="000000"/>
                <w:sz w:val="16"/>
                <w:szCs w:val="16"/>
              </w:rPr>
            </w:pPr>
            <w:r>
              <w:rPr>
                <w:rFonts w:ascii="Calibri" w:hAnsi="Calibri" w:cs="Calibri"/>
                <w:color w:val="000000"/>
                <w:sz w:val="16"/>
                <w:szCs w:val="16"/>
              </w:rPr>
              <w:t>1.964.051</w:t>
            </w:r>
          </w:p>
        </w:tc>
      </w:tr>
      <w:tr w:rsidR="00282F12" w:rsidRPr="002E2B5B" w14:paraId="75F79A9E" w14:textId="77777777" w:rsidTr="003E0A8B">
        <w:trPr>
          <w:trHeight w:hRule="exact" w:val="227"/>
        </w:trPr>
        <w:tc>
          <w:tcPr>
            <w:tcW w:w="1833" w:type="pct"/>
            <w:tcBorders>
              <w:top w:val="nil"/>
              <w:left w:val="nil"/>
              <w:bottom w:val="nil"/>
              <w:right w:val="nil"/>
            </w:tcBorders>
            <w:shd w:val="clear" w:color="auto" w:fill="auto"/>
            <w:noWrap/>
            <w:vAlign w:val="center"/>
            <w:hideMark/>
          </w:tcPr>
          <w:p w14:paraId="104505BB" w14:textId="77777777" w:rsidR="00282F12" w:rsidRPr="002E2B5B" w:rsidRDefault="00282F12" w:rsidP="00282F12">
            <w:pPr>
              <w:spacing w:after="120"/>
              <w:rPr>
                <w:rFonts w:ascii="Calibri" w:hAnsi="Calibri" w:cs="Calibri"/>
                <w:color w:val="000000"/>
                <w:sz w:val="16"/>
                <w:szCs w:val="16"/>
              </w:rPr>
            </w:pPr>
            <w:r w:rsidRPr="002E2B5B">
              <w:rPr>
                <w:rFonts w:ascii="Calibri" w:hAnsi="Calibri" w:cs="Calibri"/>
                <w:color w:val="000000"/>
                <w:sz w:val="16"/>
                <w:szCs w:val="16"/>
              </w:rPr>
              <w:t>GEIPOT</w:t>
            </w:r>
          </w:p>
        </w:tc>
        <w:tc>
          <w:tcPr>
            <w:tcW w:w="226" w:type="pct"/>
            <w:tcBorders>
              <w:top w:val="nil"/>
              <w:left w:val="nil"/>
              <w:bottom w:val="nil"/>
              <w:right w:val="nil"/>
            </w:tcBorders>
            <w:shd w:val="clear" w:color="auto" w:fill="auto"/>
            <w:noWrap/>
            <w:vAlign w:val="center"/>
            <w:hideMark/>
          </w:tcPr>
          <w:p w14:paraId="42F9A3CF" w14:textId="77777777" w:rsidR="00282F12" w:rsidRPr="002E2B5B" w:rsidRDefault="00282F12" w:rsidP="00282F12">
            <w:pPr>
              <w:spacing w:after="120"/>
              <w:rPr>
                <w:rFonts w:ascii="Calibri" w:hAnsi="Calibri" w:cs="Calibri"/>
                <w:color w:val="000000"/>
                <w:sz w:val="16"/>
                <w:szCs w:val="16"/>
              </w:rPr>
            </w:pPr>
          </w:p>
        </w:tc>
        <w:tc>
          <w:tcPr>
            <w:tcW w:w="226" w:type="pct"/>
            <w:tcBorders>
              <w:top w:val="nil"/>
              <w:left w:val="nil"/>
              <w:bottom w:val="nil"/>
              <w:right w:val="nil"/>
            </w:tcBorders>
            <w:shd w:val="clear" w:color="auto" w:fill="auto"/>
            <w:noWrap/>
            <w:vAlign w:val="center"/>
            <w:hideMark/>
          </w:tcPr>
          <w:p w14:paraId="7E0E23F9" w14:textId="77777777" w:rsidR="00282F12" w:rsidRPr="002E2B5B" w:rsidRDefault="00282F12" w:rsidP="00282F12">
            <w:pPr>
              <w:spacing w:after="120"/>
              <w:rPr>
                <w:rFonts w:ascii="Calibri" w:hAnsi="Calibri" w:cs="Calibri"/>
                <w:sz w:val="16"/>
                <w:szCs w:val="16"/>
              </w:rPr>
            </w:pPr>
          </w:p>
        </w:tc>
        <w:tc>
          <w:tcPr>
            <w:tcW w:w="652" w:type="pct"/>
            <w:tcBorders>
              <w:top w:val="nil"/>
              <w:left w:val="nil"/>
              <w:bottom w:val="nil"/>
              <w:right w:val="nil"/>
            </w:tcBorders>
            <w:shd w:val="clear" w:color="auto" w:fill="auto"/>
            <w:vAlign w:val="center"/>
            <w:hideMark/>
          </w:tcPr>
          <w:p w14:paraId="7F86F73F" w14:textId="77777777" w:rsidR="00282F12" w:rsidRPr="002E2B5B" w:rsidRDefault="00282F12" w:rsidP="00282F12">
            <w:pPr>
              <w:spacing w:after="120"/>
              <w:rPr>
                <w:rFonts w:ascii="Calibri" w:hAnsi="Calibri" w:cs="Calibri"/>
                <w:sz w:val="16"/>
                <w:szCs w:val="16"/>
              </w:rPr>
            </w:pPr>
          </w:p>
        </w:tc>
        <w:tc>
          <w:tcPr>
            <w:tcW w:w="696" w:type="pct"/>
            <w:tcBorders>
              <w:top w:val="nil"/>
              <w:left w:val="nil"/>
              <w:bottom w:val="nil"/>
              <w:right w:val="nil"/>
            </w:tcBorders>
            <w:shd w:val="clear" w:color="auto" w:fill="auto"/>
            <w:noWrap/>
            <w:vAlign w:val="center"/>
          </w:tcPr>
          <w:p w14:paraId="77C82C63" w14:textId="77777777" w:rsidR="00282F12" w:rsidRPr="002E2B5B" w:rsidRDefault="00282F12" w:rsidP="00282F12">
            <w:pPr>
              <w:spacing w:after="120"/>
              <w:jc w:val="right"/>
              <w:rPr>
                <w:rFonts w:ascii="Calibri" w:hAnsi="Calibri" w:cs="Calibri"/>
                <w:color w:val="000000"/>
                <w:sz w:val="16"/>
                <w:szCs w:val="16"/>
              </w:rPr>
            </w:pPr>
          </w:p>
        </w:tc>
        <w:tc>
          <w:tcPr>
            <w:tcW w:w="696" w:type="pct"/>
            <w:tcBorders>
              <w:top w:val="nil"/>
              <w:left w:val="nil"/>
              <w:bottom w:val="nil"/>
              <w:right w:val="nil"/>
            </w:tcBorders>
            <w:shd w:val="clear" w:color="auto" w:fill="auto"/>
            <w:noWrap/>
            <w:vAlign w:val="center"/>
            <w:hideMark/>
          </w:tcPr>
          <w:p w14:paraId="555BBF95" w14:textId="301556AF" w:rsidR="00282F12" w:rsidRPr="002E2B5B" w:rsidRDefault="00E83F1D" w:rsidP="00282F12">
            <w:pPr>
              <w:spacing w:after="120"/>
              <w:jc w:val="right"/>
              <w:rPr>
                <w:rFonts w:ascii="Calibri" w:hAnsi="Calibri" w:cs="Calibri"/>
                <w:color w:val="000000"/>
                <w:sz w:val="16"/>
                <w:szCs w:val="16"/>
              </w:rPr>
            </w:pPr>
            <w:r>
              <w:rPr>
                <w:rFonts w:ascii="Calibri" w:hAnsi="Calibri" w:cs="Calibri"/>
                <w:color w:val="000000"/>
                <w:sz w:val="16"/>
                <w:szCs w:val="16"/>
              </w:rPr>
              <w:t>635.440</w:t>
            </w:r>
          </w:p>
        </w:tc>
        <w:tc>
          <w:tcPr>
            <w:tcW w:w="671" w:type="pct"/>
            <w:tcBorders>
              <w:top w:val="nil"/>
              <w:left w:val="nil"/>
              <w:bottom w:val="nil"/>
              <w:right w:val="nil"/>
            </w:tcBorders>
            <w:shd w:val="clear" w:color="auto" w:fill="auto"/>
            <w:noWrap/>
            <w:vAlign w:val="center"/>
            <w:hideMark/>
          </w:tcPr>
          <w:p w14:paraId="3BD1AD71" w14:textId="669D40DE" w:rsidR="00282F12" w:rsidRPr="002E2B5B" w:rsidRDefault="00282F12" w:rsidP="00282F12">
            <w:pPr>
              <w:spacing w:after="120"/>
              <w:jc w:val="right"/>
              <w:rPr>
                <w:rFonts w:ascii="Calibri" w:hAnsi="Calibri" w:cs="Calibri"/>
                <w:color w:val="000000"/>
                <w:sz w:val="16"/>
                <w:szCs w:val="16"/>
              </w:rPr>
            </w:pPr>
            <w:r>
              <w:rPr>
                <w:rFonts w:ascii="Calibri" w:hAnsi="Calibri" w:cs="Calibri"/>
                <w:color w:val="000000"/>
                <w:sz w:val="16"/>
                <w:szCs w:val="16"/>
              </w:rPr>
              <w:t>590.546</w:t>
            </w:r>
          </w:p>
        </w:tc>
      </w:tr>
      <w:tr w:rsidR="00282F12" w:rsidRPr="002E2B5B" w14:paraId="36D7B286" w14:textId="77777777" w:rsidTr="003E0A8B">
        <w:trPr>
          <w:trHeight w:hRule="exact" w:val="227"/>
        </w:trPr>
        <w:tc>
          <w:tcPr>
            <w:tcW w:w="1833" w:type="pct"/>
            <w:tcBorders>
              <w:top w:val="nil"/>
              <w:left w:val="nil"/>
              <w:right w:val="nil"/>
            </w:tcBorders>
            <w:shd w:val="clear" w:color="auto" w:fill="auto"/>
            <w:noWrap/>
            <w:vAlign w:val="center"/>
            <w:hideMark/>
          </w:tcPr>
          <w:p w14:paraId="36F3A60C" w14:textId="77777777" w:rsidR="00282F12" w:rsidRPr="002E2B5B" w:rsidRDefault="00282F12" w:rsidP="00282F12">
            <w:pPr>
              <w:spacing w:after="120"/>
              <w:rPr>
                <w:rFonts w:ascii="Calibri" w:hAnsi="Calibri" w:cs="Calibri"/>
                <w:color w:val="000000"/>
                <w:sz w:val="16"/>
                <w:szCs w:val="16"/>
              </w:rPr>
            </w:pPr>
            <w:r w:rsidRPr="002E2B5B">
              <w:rPr>
                <w:rFonts w:ascii="Calibri" w:hAnsi="Calibri" w:cs="Calibri"/>
                <w:color w:val="000000"/>
                <w:sz w:val="16"/>
                <w:szCs w:val="16"/>
              </w:rPr>
              <w:t>VALEC</w:t>
            </w:r>
          </w:p>
        </w:tc>
        <w:tc>
          <w:tcPr>
            <w:tcW w:w="226" w:type="pct"/>
            <w:tcBorders>
              <w:top w:val="nil"/>
              <w:left w:val="nil"/>
              <w:right w:val="nil"/>
            </w:tcBorders>
            <w:shd w:val="clear" w:color="auto" w:fill="auto"/>
            <w:noWrap/>
            <w:vAlign w:val="center"/>
            <w:hideMark/>
          </w:tcPr>
          <w:p w14:paraId="3C35DD92" w14:textId="77777777" w:rsidR="00282F12" w:rsidRPr="002E2B5B" w:rsidRDefault="00282F12" w:rsidP="00282F12">
            <w:pPr>
              <w:spacing w:after="120"/>
              <w:rPr>
                <w:rFonts w:ascii="Calibri" w:hAnsi="Calibri" w:cs="Calibri"/>
                <w:color w:val="000000"/>
                <w:sz w:val="16"/>
                <w:szCs w:val="16"/>
              </w:rPr>
            </w:pPr>
            <w:r w:rsidRPr="002E2B5B">
              <w:rPr>
                <w:rFonts w:ascii="Calibri" w:hAnsi="Calibri" w:cs="Calibri"/>
                <w:color w:val="000000"/>
                <w:sz w:val="16"/>
                <w:szCs w:val="16"/>
              </w:rPr>
              <w:t> </w:t>
            </w:r>
          </w:p>
        </w:tc>
        <w:tc>
          <w:tcPr>
            <w:tcW w:w="226" w:type="pct"/>
            <w:tcBorders>
              <w:top w:val="nil"/>
              <w:left w:val="nil"/>
              <w:right w:val="nil"/>
            </w:tcBorders>
            <w:shd w:val="clear" w:color="auto" w:fill="auto"/>
            <w:noWrap/>
            <w:vAlign w:val="center"/>
            <w:hideMark/>
          </w:tcPr>
          <w:p w14:paraId="79820141" w14:textId="77777777" w:rsidR="00282F12" w:rsidRPr="002E2B5B" w:rsidRDefault="00282F12" w:rsidP="00282F12">
            <w:pPr>
              <w:spacing w:after="120"/>
              <w:rPr>
                <w:rFonts w:ascii="Calibri" w:hAnsi="Calibri" w:cs="Calibri"/>
                <w:b/>
                <w:bCs/>
                <w:color w:val="000000"/>
                <w:sz w:val="16"/>
                <w:szCs w:val="16"/>
              </w:rPr>
            </w:pPr>
            <w:r w:rsidRPr="002E2B5B">
              <w:rPr>
                <w:rFonts w:ascii="Calibri" w:hAnsi="Calibri" w:cs="Calibri"/>
                <w:b/>
                <w:bCs/>
                <w:color w:val="000000"/>
                <w:sz w:val="16"/>
                <w:szCs w:val="16"/>
              </w:rPr>
              <w:t> </w:t>
            </w:r>
          </w:p>
        </w:tc>
        <w:tc>
          <w:tcPr>
            <w:tcW w:w="652" w:type="pct"/>
            <w:tcBorders>
              <w:top w:val="nil"/>
              <w:left w:val="nil"/>
              <w:right w:val="nil"/>
            </w:tcBorders>
            <w:shd w:val="clear" w:color="auto" w:fill="auto"/>
            <w:vAlign w:val="center"/>
            <w:hideMark/>
          </w:tcPr>
          <w:p w14:paraId="0B7704F1" w14:textId="77777777" w:rsidR="00282F12" w:rsidRPr="002E2B5B" w:rsidRDefault="00282F12" w:rsidP="00282F12">
            <w:pPr>
              <w:spacing w:after="120"/>
              <w:jc w:val="right"/>
              <w:rPr>
                <w:rFonts w:ascii="Calibri" w:hAnsi="Calibri" w:cs="Calibri"/>
                <w:color w:val="000000"/>
                <w:sz w:val="16"/>
                <w:szCs w:val="16"/>
              </w:rPr>
            </w:pPr>
            <w:r w:rsidRPr="002E2B5B">
              <w:rPr>
                <w:rFonts w:ascii="Calibri" w:hAnsi="Calibri" w:cs="Calibri"/>
                <w:color w:val="000000"/>
                <w:sz w:val="16"/>
                <w:szCs w:val="16"/>
              </w:rPr>
              <w:t> </w:t>
            </w:r>
          </w:p>
        </w:tc>
        <w:tc>
          <w:tcPr>
            <w:tcW w:w="696" w:type="pct"/>
            <w:tcBorders>
              <w:top w:val="nil"/>
              <w:left w:val="nil"/>
              <w:right w:val="nil"/>
            </w:tcBorders>
            <w:shd w:val="clear" w:color="auto" w:fill="auto"/>
            <w:noWrap/>
            <w:vAlign w:val="center"/>
          </w:tcPr>
          <w:p w14:paraId="70053B6F" w14:textId="77777777" w:rsidR="00282F12" w:rsidRPr="002E2B5B" w:rsidRDefault="00282F12" w:rsidP="00282F12">
            <w:pPr>
              <w:spacing w:after="120"/>
              <w:jc w:val="right"/>
              <w:rPr>
                <w:rFonts w:ascii="Calibri" w:hAnsi="Calibri" w:cs="Calibri"/>
                <w:color w:val="000000"/>
                <w:sz w:val="16"/>
                <w:szCs w:val="16"/>
              </w:rPr>
            </w:pPr>
          </w:p>
        </w:tc>
        <w:tc>
          <w:tcPr>
            <w:tcW w:w="696" w:type="pct"/>
            <w:tcBorders>
              <w:top w:val="nil"/>
              <w:left w:val="nil"/>
              <w:right w:val="nil"/>
            </w:tcBorders>
            <w:shd w:val="clear" w:color="auto" w:fill="auto"/>
            <w:noWrap/>
            <w:vAlign w:val="center"/>
            <w:hideMark/>
          </w:tcPr>
          <w:p w14:paraId="13C5FFC6" w14:textId="7303C091" w:rsidR="00282F12" w:rsidRPr="002E2B5B" w:rsidRDefault="00E83F1D" w:rsidP="00282F12">
            <w:pPr>
              <w:spacing w:after="120"/>
              <w:jc w:val="right"/>
              <w:rPr>
                <w:rFonts w:ascii="Calibri" w:hAnsi="Calibri" w:cs="Calibri"/>
                <w:color w:val="000000"/>
                <w:sz w:val="16"/>
                <w:szCs w:val="16"/>
              </w:rPr>
            </w:pPr>
            <w:r>
              <w:rPr>
                <w:rFonts w:ascii="Calibri" w:hAnsi="Calibri" w:cs="Calibri"/>
                <w:color w:val="000000"/>
                <w:sz w:val="16"/>
                <w:szCs w:val="16"/>
              </w:rPr>
              <w:t>11.801.018</w:t>
            </w:r>
          </w:p>
        </w:tc>
        <w:tc>
          <w:tcPr>
            <w:tcW w:w="671" w:type="pct"/>
            <w:tcBorders>
              <w:top w:val="nil"/>
              <w:left w:val="nil"/>
              <w:right w:val="nil"/>
            </w:tcBorders>
            <w:shd w:val="clear" w:color="auto" w:fill="auto"/>
            <w:noWrap/>
            <w:vAlign w:val="center"/>
            <w:hideMark/>
          </w:tcPr>
          <w:p w14:paraId="2DF1F884" w14:textId="3F02BC73" w:rsidR="00282F12" w:rsidRPr="002E2B5B" w:rsidRDefault="00282F12" w:rsidP="00282F12">
            <w:pPr>
              <w:spacing w:after="120"/>
              <w:jc w:val="right"/>
              <w:rPr>
                <w:rFonts w:ascii="Calibri" w:hAnsi="Calibri" w:cs="Calibri"/>
                <w:color w:val="000000"/>
                <w:sz w:val="16"/>
                <w:szCs w:val="16"/>
              </w:rPr>
            </w:pPr>
            <w:r>
              <w:rPr>
                <w:rFonts w:ascii="Calibri" w:hAnsi="Calibri" w:cs="Calibri"/>
                <w:color w:val="000000"/>
                <w:sz w:val="16"/>
                <w:szCs w:val="16"/>
              </w:rPr>
              <w:t>8.920.468</w:t>
            </w:r>
          </w:p>
        </w:tc>
      </w:tr>
      <w:tr w:rsidR="00B628E5" w:rsidRPr="002E2B5B" w14:paraId="687D89F1" w14:textId="77777777" w:rsidTr="00F177F2">
        <w:trPr>
          <w:trHeight w:hRule="exact" w:val="227"/>
        </w:trPr>
        <w:tc>
          <w:tcPr>
            <w:tcW w:w="1833" w:type="pct"/>
            <w:tcBorders>
              <w:top w:val="single" w:sz="4" w:space="0" w:color="auto"/>
              <w:left w:val="nil"/>
              <w:bottom w:val="single" w:sz="8" w:space="0" w:color="auto"/>
              <w:right w:val="nil"/>
            </w:tcBorders>
            <w:shd w:val="clear" w:color="auto" w:fill="auto"/>
            <w:noWrap/>
            <w:vAlign w:val="center"/>
            <w:hideMark/>
          </w:tcPr>
          <w:p w14:paraId="0BE89EF7" w14:textId="77777777" w:rsidR="00B628E5" w:rsidRPr="002E2B5B" w:rsidRDefault="00B628E5" w:rsidP="00937ED9">
            <w:pPr>
              <w:spacing w:after="120"/>
              <w:rPr>
                <w:rFonts w:ascii="Calibri" w:hAnsi="Calibri" w:cs="Calibri"/>
                <w:b/>
                <w:bCs/>
                <w:color w:val="000000"/>
                <w:sz w:val="16"/>
                <w:szCs w:val="16"/>
              </w:rPr>
            </w:pPr>
            <w:r w:rsidRPr="002E2B5B">
              <w:rPr>
                <w:rFonts w:ascii="Calibri" w:hAnsi="Calibri" w:cs="Calibri"/>
                <w:b/>
                <w:bCs/>
                <w:color w:val="000000"/>
                <w:sz w:val="16"/>
                <w:szCs w:val="16"/>
              </w:rPr>
              <w:t xml:space="preserve">TOTAL </w:t>
            </w:r>
          </w:p>
        </w:tc>
        <w:tc>
          <w:tcPr>
            <w:tcW w:w="226" w:type="pct"/>
            <w:tcBorders>
              <w:top w:val="single" w:sz="4" w:space="0" w:color="auto"/>
              <w:left w:val="nil"/>
              <w:bottom w:val="single" w:sz="8" w:space="0" w:color="auto"/>
              <w:right w:val="nil"/>
            </w:tcBorders>
            <w:shd w:val="clear" w:color="auto" w:fill="auto"/>
            <w:noWrap/>
            <w:vAlign w:val="center"/>
            <w:hideMark/>
          </w:tcPr>
          <w:p w14:paraId="76272CDD" w14:textId="77777777" w:rsidR="00B628E5" w:rsidRPr="002E2B5B" w:rsidRDefault="00B628E5" w:rsidP="00937ED9">
            <w:pPr>
              <w:spacing w:after="120"/>
              <w:rPr>
                <w:rFonts w:ascii="Calibri" w:hAnsi="Calibri" w:cs="Calibri"/>
                <w:color w:val="000000"/>
                <w:sz w:val="16"/>
                <w:szCs w:val="16"/>
              </w:rPr>
            </w:pPr>
            <w:r w:rsidRPr="002E2B5B">
              <w:rPr>
                <w:rFonts w:ascii="Calibri" w:hAnsi="Calibri" w:cs="Calibri"/>
                <w:color w:val="000000"/>
                <w:sz w:val="16"/>
                <w:szCs w:val="16"/>
              </w:rPr>
              <w:t> </w:t>
            </w:r>
          </w:p>
        </w:tc>
        <w:tc>
          <w:tcPr>
            <w:tcW w:w="226" w:type="pct"/>
            <w:tcBorders>
              <w:top w:val="single" w:sz="4" w:space="0" w:color="auto"/>
              <w:left w:val="nil"/>
              <w:bottom w:val="single" w:sz="8" w:space="0" w:color="auto"/>
              <w:right w:val="nil"/>
            </w:tcBorders>
            <w:shd w:val="clear" w:color="auto" w:fill="auto"/>
            <w:noWrap/>
            <w:vAlign w:val="center"/>
            <w:hideMark/>
          </w:tcPr>
          <w:p w14:paraId="57F110E5" w14:textId="77777777" w:rsidR="00B628E5" w:rsidRPr="002E2B5B" w:rsidRDefault="00B628E5" w:rsidP="00937ED9">
            <w:pPr>
              <w:spacing w:after="120"/>
              <w:rPr>
                <w:rFonts w:ascii="Calibri" w:hAnsi="Calibri" w:cs="Calibri"/>
                <w:color w:val="000000"/>
                <w:sz w:val="16"/>
                <w:szCs w:val="16"/>
              </w:rPr>
            </w:pPr>
            <w:r w:rsidRPr="002E2B5B">
              <w:rPr>
                <w:rFonts w:ascii="Calibri" w:hAnsi="Calibri" w:cs="Calibri"/>
                <w:color w:val="000000"/>
                <w:sz w:val="16"/>
                <w:szCs w:val="16"/>
              </w:rPr>
              <w:t> </w:t>
            </w:r>
          </w:p>
        </w:tc>
        <w:tc>
          <w:tcPr>
            <w:tcW w:w="652" w:type="pct"/>
            <w:tcBorders>
              <w:top w:val="single" w:sz="4" w:space="0" w:color="auto"/>
              <w:left w:val="nil"/>
              <w:bottom w:val="single" w:sz="8" w:space="0" w:color="auto"/>
              <w:right w:val="nil"/>
            </w:tcBorders>
            <w:shd w:val="clear" w:color="auto" w:fill="auto"/>
            <w:vAlign w:val="center"/>
            <w:hideMark/>
          </w:tcPr>
          <w:p w14:paraId="56220FB6" w14:textId="77777777" w:rsidR="00B628E5" w:rsidRPr="002E2B5B" w:rsidRDefault="00B628E5" w:rsidP="00937ED9">
            <w:pPr>
              <w:spacing w:after="120"/>
              <w:jc w:val="right"/>
              <w:rPr>
                <w:rFonts w:ascii="Calibri" w:hAnsi="Calibri" w:cs="Calibri"/>
                <w:b/>
                <w:bCs/>
                <w:color w:val="000000"/>
                <w:sz w:val="16"/>
                <w:szCs w:val="16"/>
              </w:rPr>
            </w:pPr>
            <w:r w:rsidRPr="002E2B5B">
              <w:rPr>
                <w:rFonts w:ascii="Calibri" w:hAnsi="Calibri" w:cs="Calibri"/>
                <w:b/>
                <w:bCs/>
                <w:color w:val="000000"/>
                <w:sz w:val="16"/>
                <w:szCs w:val="16"/>
              </w:rPr>
              <w:t> </w:t>
            </w:r>
          </w:p>
        </w:tc>
        <w:tc>
          <w:tcPr>
            <w:tcW w:w="696" w:type="pct"/>
            <w:tcBorders>
              <w:top w:val="single" w:sz="4" w:space="0" w:color="auto"/>
              <w:left w:val="nil"/>
              <w:bottom w:val="single" w:sz="8" w:space="0" w:color="auto"/>
              <w:right w:val="nil"/>
            </w:tcBorders>
            <w:shd w:val="clear" w:color="auto" w:fill="auto"/>
            <w:noWrap/>
            <w:vAlign w:val="center"/>
          </w:tcPr>
          <w:p w14:paraId="73C18FE2" w14:textId="77777777" w:rsidR="00B628E5" w:rsidRPr="002E2B5B" w:rsidRDefault="00B628E5" w:rsidP="00937ED9">
            <w:pPr>
              <w:spacing w:after="120"/>
              <w:jc w:val="right"/>
              <w:rPr>
                <w:rFonts w:ascii="Calibri" w:hAnsi="Calibri" w:cs="Calibri"/>
                <w:b/>
                <w:bCs/>
                <w:color w:val="000000"/>
                <w:sz w:val="16"/>
                <w:szCs w:val="16"/>
              </w:rPr>
            </w:pPr>
          </w:p>
        </w:tc>
        <w:tc>
          <w:tcPr>
            <w:tcW w:w="696" w:type="pct"/>
            <w:tcBorders>
              <w:top w:val="single" w:sz="4" w:space="0" w:color="auto"/>
              <w:left w:val="nil"/>
              <w:bottom w:val="single" w:sz="8" w:space="0" w:color="auto"/>
              <w:right w:val="nil"/>
            </w:tcBorders>
            <w:shd w:val="clear" w:color="auto" w:fill="auto"/>
            <w:noWrap/>
            <w:vAlign w:val="center"/>
            <w:hideMark/>
          </w:tcPr>
          <w:p w14:paraId="63B9B7FA" w14:textId="2C1589D4" w:rsidR="00B628E5" w:rsidRPr="002E2B5B" w:rsidRDefault="00E83F1D" w:rsidP="00937ED9">
            <w:pPr>
              <w:spacing w:after="120"/>
              <w:jc w:val="right"/>
              <w:rPr>
                <w:rFonts w:ascii="Calibri" w:hAnsi="Calibri" w:cs="Calibri"/>
                <w:b/>
                <w:bCs/>
                <w:color w:val="000000"/>
                <w:sz w:val="16"/>
                <w:szCs w:val="16"/>
              </w:rPr>
            </w:pPr>
            <w:r>
              <w:rPr>
                <w:rFonts w:ascii="Calibri" w:hAnsi="Calibri" w:cs="Calibri"/>
                <w:b/>
                <w:bCs/>
                <w:color w:val="000000"/>
                <w:sz w:val="16"/>
                <w:szCs w:val="16"/>
              </w:rPr>
              <w:t>14.893.454</w:t>
            </w:r>
          </w:p>
        </w:tc>
        <w:tc>
          <w:tcPr>
            <w:tcW w:w="671" w:type="pct"/>
            <w:tcBorders>
              <w:top w:val="single" w:sz="4" w:space="0" w:color="auto"/>
              <w:left w:val="nil"/>
              <w:bottom w:val="single" w:sz="8" w:space="0" w:color="auto"/>
              <w:right w:val="nil"/>
            </w:tcBorders>
            <w:shd w:val="clear" w:color="auto" w:fill="auto"/>
            <w:noWrap/>
            <w:vAlign w:val="center"/>
            <w:hideMark/>
          </w:tcPr>
          <w:p w14:paraId="66D3DACB" w14:textId="27E6F753" w:rsidR="00B628E5" w:rsidRPr="002E2B5B" w:rsidRDefault="00282F12" w:rsidP="00937ED9">
            <w:pPr>
              <w:spacing w:after="120"/>
              <w:jc w:val="right"/>
              <w:rPr>
                <w:rFonts w:ascii="Calibri" w:hAnsi="Calibri" w:cs="Calibri"/>
                <w:b/>
                <w:bCs/>
                <w:color w:val="000000"/>
                <w:sz w:val="16"/>
                <w:szCs w:val="16"/>
              </w:rPr>
            </w:pPr>
            <w:r>
              <w:rPr>
                <w:rFonts w:ascii="Calibri" w:hAnsi="Calibri" w:cs="Calibri"/>
                <w:b/>
                <w:bCs/>
                <w:color w:val="000000"/>
                <w:sz w:val="16"/>
                <w:szCs w:val="16"/>
              </w:rPr>
              <w:t>11.475.065</w:t>
            </w:r>
          </w:p>
        </w:tc>
      </w:tr>
    </w:tbl>
    <w:p w14:paraId="31EE86DC" w14:textId="76E74058" w:rsidR="002F2B7B" w:rsidRPr="002E2B5B" w:rsidRDefault="002F2B7B" w:rsidP="000B3A75">
      <w:pPr>
        <w:pStyle w:val="Textoembloco"/>
        <w:spacing w:before="120" w:after="120" w:line="240" w:lineRule="auto"/>
        <w:ind w:left="0" w:right="57"/>
        <w:rPr>
          <w:rFonts w:ascii="Calibri" w:hAnsi="Calibri" w:cs="Calibri"/>
          <w:sz w:val="22"/>
          <w:szCs w:val="22"/>
          <w:shd w:val="clear" w:color="auto" w:fill="FFFFFF"/>
        </w:rPr>
      </w:pPr>
      <w:r w:rsidRPr="002E2B5B">
        <w:rPr>
          <w:rFonts w:ascii="Calibri" w:hAnsi="Calibri" w:cs="Calibri"/>
          <w:sz w:val="22"/>
          <w:szCs w:val="22"/>
          <w:shd w:val="clear" w:color="auto" w:fill="FFFFFF"/>
        </w:rPr>
        <w:t>A VALEC</w:t>
      </w:r>
      <w:r w:rsidR="00FC06D2" w:rsidRPr="002E2B5B">
        <w:rPr>
          <w:rFonts w:ascii="Calibri" w:hAnsi="Calibri" w:cs="Calibri"/>
          <w:sz w:val="22"/>
          <w:szCs w:val="22"/>
          <w:shd w:val="clear" w:color="auto" w:fill="FFFFFF"/>
        </w:rPr>
        <w:t>, a partir da Lei nº 11.772</w:t>
      </w:r>
      <w:r w:rsidR="00BD7C0B" w:rsidRPr="002E2B5B">
        <w:rPr>
          <w:rFonts w:ascii="Calibri" w:hAnsi="Calibri" w:cs="Calibri"/>
          <w:sz w:val="22"/>
          <w:szCs w:val="22"/>
          <w:shd w:val="clear" w:color="auto" w:fill="FFFFFF"/>
        </w:rPr>
        <w:t xml:space="preserve">, de 17 de setembro </w:t>
      </w:r>
      <w:r w:rsidR="00FC06D2" w:rsidRPr="002E2B5B">
        <w:rPr>
          <w:rFonts w:ascii="Calibri" w:hAnsi="Calibri" w:cs="Calibri"/>
          <w:sz w:val="22"/>
          <w:szCs w:val="22"/>
          <w:shd w:val="clear" w:color="auto" w:fill="FFFFFF"/>
        </w:rPr>
        <w:t>200</w:t>
      </w:r>
      <w:r w:rsidR="00BD7C0B" w:rsidRPr="002E2B5B">
        <w:rPr>
          <w:rFonts w:ascii="Calibri" w:hAnsi="Calibri" w:cs="Calibri"/>
          <w:sz w:val="22"/>
          <w:szCs w:val="22"/>
          <w:shd w:val="clear" w:color="auto" w:fill="FFFFFF"/>
        </w:rPr>
        <w:t>8</w:t>
      </w:r>
      <w:r w:rsidR="00FC06D2" w:rsidRPr="002E2B5B">
        <w:rPr>
          <w:rFonts w:ascii="Calibri" w:hAnsi="Calibri" w:cs="Calibri"/>
          <w:sz w:val="22"/>
          <w:szCs w:val="22"/>
          <w:shd w:val="clear" w:color="auto" w:fill="FFFFFF"/>
        </w:rPr>
        <w:t xml:space="preserve">, passou a ser também responsável pelo quadro de pessoal das extintas empresas: Rede Ferroviária Federal S/A – RFFSA e Empresa Brasileira de Planejamento de Transportes – GEIPOT.  As despesas com férias </w:t>
      </w:r>
      <w:r w:rsidR="00FF1CB6" w:rsidRPr="002E2B5B">
        <w:rPr>
          <w:rFonts w:ascii="Calibri" w:hAnsi="Calibri" w:cs="Calibri"/>
          <w:sz w:val="22"/>
          <w:szCs w:val="22"/>
          <w:shd w:val="clear" w:color="auto" w:fill="FFFFFF"/>
        </w:rPr>
        <w:t>e</w:t>
      </w:r>
      <w:r w:rsidR="00FC06D2" w:rsidRPr="002E2B5B">
        <w:rPr>
          <w:rFonts w:ascii="Calibri" w:hAnsi="Calibri" w:cs="Calibri"/>
          <w:sz w:val="22"/>
          <w:szCs w:val="22"/>
          <w:shd w:val="clear" w:color="auto" w:fill="FFFFFF"/>
        </w:rPr>
        <w:t xml:space="preserve"> os encargos são provisionad</w:t>
      </w:r>
      <w:r w:rsidRPr="002E2B5B">
        <w:rPr>
          <w:rFonts w:ascii="Calibri" w:hAnsi="Calibri" w:cs="Calibri"/>
          <w:sz w:val="22"/>
          <w:szCs w:val="22"/>
          <w:shd w:val="clear" w:color="auto" w:fill="FFFFFF"/>
        </w:rPr>
        <w:t>a</w:t>
      </w:r>
      <w:r w:rsidR="00FC06D2" w:rsidRPr="002E2B5B">
        <w:rPr>
          <w:rFonts w:ascii="Calibri" w:hAnsi="Calibri" w:cs="Calibri"/>
          <w:sz w:val="22"/>
          <w:szCs w:val="22"/>
          <w:shd w:val="clear" w:color="auto" w:fill="FFFFFF"/>
        </w:rPr>
        <w:t xml:space="preserve">s conforme </w:t>
      </w:r>
      <w:r w:rsidRPr="002E2B5B">
        <w:rPr>
          <w:rFonts w:ascii="Calibri" w:hAnsi="Calibri" w:cs="Calibri"/>
          <w:sz w:val="22"/>
          <w:szCs w:val="22"/>
          <w:shd w:val="clear" w:color="auto" w:fill="FFFFFF"/>
        </w:rPr>
        <w:t>demonstrativos emitidos</w:t>
      </w:r>
      <w:r w:rsidR="00FC06D2" w:rsidRPr="002E2B5B">
        <w:rPr>
          <w:rFonts w:ascii="Calibri" w:hAnsi="Calibri" w:cs="Calibri"/>
          <w:sz w:val="22"/>
          <w:szCs w:val="22"/>
          <w:shd w:val="clear" w:color="auto" w:fill="FFFFFF"/>
        </w:rPr>
        <w:t>, mensalmente,</w:t>
      </w:r>
      <w:r w:rsidRPr="002E2B5B">
        <w:rPr>
          <w:rFonts w:ascii="Calibri" w:hAnsi="Calibri" w:cs="Calibri"/>
          <w:sz w:val="22"/>
          <w:szCs w:val="22"/>
          <w:shd w:val="clear" w:color="auto" w:fill="FFFFFF"/>
        </w:rPr>
        <w:t xml:space="preserve"> pela Superintendência de Gestão de Pessoas </w:t>
      </w:r>
      <w:r w:rsidR="004B2DFA">
        <w:rPr>
          <w:rFonts w:ascii="Calibri" w:hAnsi="Calibri" w:cs="Calibri"/>
          <w:sz w:val="22"/>
          <w:szCs w:val="22"/>
          <w:shd w:val="clear" w:color="auto" w:fill="FFFFFF"/>
        </w:rPr>
        <w:t xml:space="preserve">- </w:t>
      </w:r>
      <w:r w:rsidRPr="002E2B5B">
        <w:rPr>
          <w:rFonts w:ascii="Calibri" w:hAnsi="Calibri" w:cs="Calibri"/>
          <w:sz w:val="22"/>
          <w:szCs w:val="22"/>
          <w:shd w:val="clear" w:color="auto" w:fill="FFFFFF"/>
        </w:rPr>
        <w:t xml:space="preserve">SUGEP. </w:t>
      </w:r>
    </w:p>
    <w:p w14:paraId="26B88336" w14:textId="4D6C35E7" w:rsidR="002F2B7B" w:rsidRPr="002E2B5B" w:rsidRDefault="002F2B7B" w:rsidP="00937ED9">
      <w:pPr>
        <w:pStyle w:val="Textoembloco"/>
        <w:spacing w:after="120" w:line="240" w:lineRule="auto"/>
        <w:ind w:left="0" w:right="57"/>
        <w:rPr>
          <w:rFonts w:ascii="Calibri" w:hAnsi="Calibri" w:cs="Calibri"/>
          <w:sz w:val="22"/>
          <w:szCs w:val="22"/>
          <w:shd w:val="clear" w:color="auto" w:fill="FFFFFF"/>
        </w:rPr>
      </w:pPr>
      <w:r w:rsidRPr="002E2B5B">
        <w:rPr>
          <w:rFonts w:ascii="Calibri" w:hAnsi="Calibri" w:cs="Calibri"/>
          <w:sz w:val="22"/>
          <w:szCs w:val="22"/>
          <w:shd w:val="clear" w:color="auto" w:fill="FFFFFF"/>
        </w:rPr>
        <w:lastRenderedPageBreak/>
        <w:t xml:space="preserve">Para cálculo </w:t>
      </w:r>
      <w:r w:rsidR="001A21B2">
        <w:rPr>
          <w:rFonts w:ascii="Calibri" w:hAnsi="Calibri" w:cs="Calibri"/>
          <w:sz w:val="22"/>
          <w:szCs w:val="22"/>
          <w:shd w:val="clear" w:color="auto" w:fill="FFFFFF"/>
        </w:rPr>
        <w:t xml:space="preserve">de </w:t>
      </w:r>
      <w:r w:rsidRPr="002E2B5B">
        <w:rPr>
          <w:rFonts w:ascii="Calibri" w:hAnsi="Calibri" w:cs="Calibri"/>
          <w:sz w:val="22"/>
          <w:szCs w:val="22"/>
          <w:shd w:val="clear" w:color="auto" w:fill="FFFFFF"/>
        </w:rPr>
        <w:t>férias</w:t>
      </w:r>
      <w:r w:rsidR="001A21B2">
        <w:rPr>
          <w:rFonts w:ascii="Calibri" w:hAnsi="Calibri" w:cs="Calibri"/>
          <w:sz w:val="22"/>
          <w:szCs w:val="22"/>
          <w:shd w:val="clear" w:color="auto" w:fill="FFFFFF"/>
        </w:rPr>
        <w:t xml:space="preserve"> a pagar</w:t>
      </w:r>
      <w:r w:rsidRPr="002E2B5B">
        <w:rPr>
          <w:rFonts w:ascii="Calibri" w:hAnsi="Calibri" w:cs="Calibri"/>
          <w:sz w:val="22"/>
          <w:szCs w:val="22"/>
          <w:shd w:val="clear" w:color="auto" w:fill="FFFFFF"/>
        </w:rPr>
        <w:t xml:space="preserve"> é considerado o salário do período de gozo de férias mais o adicional de 1/3.</w:t>
      </w:r>
      <w:r w:rsidR="00FC06D2" w:rsidRPr="002E2B5B">
        <w:rPr>
          <w:rFonts w:ascii="Calibri" w:hAnsi="Calibri" w:cs="Calibri"/>
          <w:sz w:val="22"/>
          <w:szCs w:val="22"/>
          <w:shd w:val="clear" w:color="auto" w:fill="FFFFFF"/>
        </w:rPr>
        <w:t xml:space="preserve"> </w:t>
      </w:r>
    </w:p>
    <w:p w14:paraId="45077BBC" w14:textId="3FC132CC" w:rsidR="00D947B7" w:rsidRPr="002E2B5B" w:rsidRDefault="00D22F5E" w:rsidP="00937ED9">
      <w:pPr>
        <w:pStyle w:val="Ttulo4"/>
        <w:tabs>
          <w:tab w:val="left" w:pos="0"/>
        </w:tabs>
        <w:spacing w:after="120" w:line="240" w:lineRule="auto"/>
        <w:rPr>
          <w:rFonts w:ascii="Calibri" w:hAnsi="Calibri" w:cs="Calibri"/>
          <w:bCs w:val="0"/>
          <w:sz w:val="22"/>
          <w:szCs w:val="22"/>
        </w:rPr>
      </w:pPr>
      <w:r w:rsidRPr="002E2B5B">
        <w:rPr>
          <w:rFonts w:ascii="Calibri" w:hAnsi="Calibri" w:cs="Calibri"/>
          <w:bCs w:val="0"/>
          <w:sz w:val="22"/>
          <w:szCs w:val="22"/>
        </w:rPr>
        <w:t>NOTA 1</w:t>
      </w:r>
      <w:r w:rsidR="00DD4B99">
        <w:rPr>
          <w:rFonts w:ascii="Calibri" w:hAnsi="Calibri" w:cs="Calibri"/>
          <w:bCs w:val="0"/>
          <w:sz w:val="22"/>
          <w:szCs w:val="22"/>
        </w:rPr>
        <w:t>1</w:t>
      </w:r>
      <w:r w:rsidR="00BE1376" w:rsidRPr="002E2B5B">
        <w:rPr>
          <w:rFonts w:ascii="Calibri" w:hAnsi="Calibri" w:cs="Calibri"/>
          <w:bCs w:val="0"/>
          <w:sz w:val="22"/>
          <w:szCs w:val="22"/>
        </w:rPr>
        <w:t xml:space="preserve"> </w:t>
      </w:r>
      <w:r w:rsidR="007E5F20" w:rsidRPr="002E2B5B">
        <w:rPr>
          <w:rFonts w:ascii="Calibri" w:hAnsi="Calibri" w:cs="Calibri"/>
          <w:bCs w:val="0"/>
          <w:sz w:val="22"/>
          <w:szCs w:val="22"/>
        </w:rPr>
        <w:t>- COMPROMISSOS</w:t>
      </w:r>
      <w:r w:rsidR="00894308" w:rsidRPr="002E2B5B">
        <w:rPr>
          <w:rFonts w:ascii="Calibri" w:hAnsi="Calibri" w:cs="Calibri"/>
          <w:bCs w:val="0"/>
          <w:sz w:val="22"/>
          <w:szCs w:val="22"/>
        </w:rPr>
        <w:t xml:space="preserve"> A LONGO PRAZO </w:t>
      </w:r>
      <w:r w:rsidR="00823DAA" w:rsidRPr="002E2B5B">
        <w:rPr>
          <w:rFonts w:ascii="Calibri" w:hAnsi="Calibri" w:cs="Calibri"/>
          <w:bCs w:val="0"/>
          <w:sz w:val="22"/>
          <w:szCs w:val="22"/>
        </w:rPr>
        <w:t xml:space="preserve"> </w:t>
      </w:r>
    </w:p>
    <w:p w14:paraId="0FE7763B" w14:textId="78F6D80D" w:rsidR="00B02B62" w:rsidRDefault="000568B0" w:rsidP="00937ED9">
      <w:pPr>
        <w:numPr>
          <w:ilvl w:val="0"/>
          <w:numId w:val="5"/>
        </w:numPr>
        <w:spacing w:after="120"/>
        <w:ind w:left="284" w:hanging="284"/>
        <w:rPr>
          <w:rFonts w:ascii="Calibri" w:hAnsi="Calibri" w:cs="Calibri"/>
          <w:b/>
          <w:sz w:val="22"/>
          <w:szCs w:val="22"/>
        </w:rPr>
      </w:pPr>
      <w:r w:rsidRPr="002E2B5B">
        <w:rPr>
          <w:rFonts w:ascii="Calibri" w:hAnsi="Calibri" w:cs="Calibri"/>
          <w:b/>
          <w:sz w:val="22"/>
          <w:szCs w:val="22"/>
        </w:rPr>
        <w:t>Depósitos Retidos sobre Fornecedores</w:t>
      </w:r>
    </w:p>
    <w:tbl>
      <w:tblPr>
        <w:tblW w:w="5000" w:type="pct"/>
        <w:tblCellMar>
          <w:left w:w="70" w:type="dxa"/>
          <w:right w:w="70" w:type="dxa"/>
        </w:tblCellMar>
        <w:tblLook w:val="04A0" w:firstRow="1" w:lastRow="0" w:firstColumn="1" w:lastColumn="0" w:noHBand="0" w:noVBand="1"/>
      </w:tblPr>
      <w:tblGrid>
        <w:gridCol w:w="3973"/>
        <w:gridCol w:w="536"/>
        <w:gridCol w:w="534"/>
        <w:gridCol w:w="1459"/>
        <w:gridCol w:w="2412"/>
        <w:gridCol w:w="1553"/>
      </w:tblGrid>
      <w:tr w:rsidR="00AF7492" w14:paraId="080B8D0C" w14:textId="77777777" w:rsidTr="00C34E8D">
        <w:trPr>
          <w:trHeight w:hRule="exact" w:val="227"/>
        </w:trPr>
        <w:tc>
          <w:tcPr>
            <w:tcW w:w="2409" w:type="pct"/>
            <w:gridSpan w:val="3"/>
            <w:tcBorders>
              <w:top w:val="nil"/>
              <w:left w:val="nil"/>
              <w:bottom w:val="single" w:sz="8" w:space="0" w:color="auto"/>
              <w:right w:val="nil"/>
            </w:tcBorders>
            <w:shd w:val="clear" w:color="auto" w:fill="auto"/>
            <w:noWrap/>
            <w:vAlign w:val="center"/>
            <w:hideMark/>
          </w:tcPr>
          <w:p w14:paraId="0E6BFF3C" w14:textId="77777777" w:rsidR="00AF7492" w:rsidRDefault="00AF7492" w:rsidP="00937ED9">
            <w:pPr>
              <w:spacing w:after="120"/>
              <w:rPr>
                <w:rFonts w:ascii="Calibri" w:hAnsi="Calibri" w:cs="Calibri"/>
                <w:b/>
                <w:bCs/>
                <w:color w:val="000000"/>
                <w:sz w:val="16"/>
                <w:szCs w:val="16"/>
              </w:rPr>
            </w:pPr>
            <w:r>
              <w:rPr>
                <w:rFonts w:ascii="Calibri" w:hAnsi="Calibri" w:cs="Calibri"/>
                <w:b/>
                <w:bCs/>
                <w:color w:val="000000"/>
                <w:sz w:val="16"/>
                <w:szCs w:val="16"/>
              </w:rPr>
              <w:t>DEPÓSITOS RETIDOS SOBRE FORNECEDORES</w:t>
            </w:r>
          </w:p>
        </w:tc>
        <w:tc>
          <w:tcPr>
            <w:tcW w:w="697" w:type="pct"/>
            <w:tcBorders>
              <w:top w:val="nil"/>
              <w:left w:val="nil"/>
              <w:bottom w:val="single" w:sz="8" w:space="0" w:color="auto"/>
              <w:right w:val="nil"/>
            </w:tcBorders>
            <w:shd w:val="clear" w:color="auto" w:fill="auto"/>
            <w:noWrap/>
            <w:vAlign w:val="center"/>
            <w:hideMark/>
          </w:tcPr>
          <w:p w14:paraId="602B4CDA" w14:textId="77777777" w:rsidR="00AF7492" w:rsidRDefault="00AF7492" w:rsidP="00937ED9">
            <w:pPr>
              <w:spacing w:after="120"/>
              <w:jc w:val="right"/>
              <w:rPr>
                <w:rFonts w:ascii="Calibri" w:hAnsi="Calibri" w:cs="Calibri"/>
                <w:b/>
                <w:bCs/>
                <w:color w:val="000000"/>
                <w:sz w:val="16"/>
                <w:szCs w:val="16"/>
              </w:rPr>
            </w:pPr>
            <w:r>
              <w:rPr>
                <w:rFonts w:ascii="Calibri" w:hAnsi="Calibri" w:cs="Calibri"/>
                <w:b/>
                <w:bCs/>
                <w:color w:val="000000"/>
                <w:sz w:val="16"/>
                <w:szCs w:val="16"/>
              </w:rPr>
              <w:t> </w:t>
            </w:r>
          </w:p>
        </w:tc>
        <w:tc>
          <w:tcPr>
            <w:tcW w:w="1152" w:type="pct"/>
            <w:tcBorders>
              <w:top w:val="nil"/>
              <w:left w:val="nil"/>
              <w:bottom w:val="single" w:sz="8" w:space="0" w:color="auto"/>
              <w:right w:val="nil"/>
            </w:tcBorders>
            <w:shd w:val="clear" w:color="auto" w:fill="auto"/>
            <w:noWrap/>
            <w:vAlign w:val="center"/>
            <w:hideMark/>
          </w:tcPr>
          <w:p w14:paraId="78303FE7" w14:textId="4B362DBE" w:rsidR="00AF7492" w:rsidRDefault="00AF7492" w:rsidP="00937ED9">
            <w:pPr>
              <w:spacing w:after="120"/>
              <w:jc w:val="right"/>
              <w:rPr>
                <w:rFonts w:ascii="Calibri" w:hAnsi="Calibri" w:cs="Calibri"/>
                <w:b/>
                <w:bCs/>
                <w:color w:val="000000"/>
                <w:sz w:val="16"/>
                <w:szCs w:val="16"/>
              </w:rPr>
            </w:pPr>
            <w:r>
              <w:rPr>
                <w:rFonts w:ascii="Calibri" w:hAnsi="Calibri" w:cs="Calibri"/>
                <w:b/>
                <w:bCs/>
                <w:color w:val="000000"/>
                <w:sz w:val="16"/>
                <w:szCs w:val="16"/>
              </w:rPr>
              <w:t>3</w:t>
            </w:r>
            <w:r w:rsidR="00E83F1D">
              <w:rPr>
                <w:rFonts w:ascii="Calibri" w:hAnsi="Calibri" w:cs="Calibri"/>
                <w:b/>
                <w:bCs/>
                <w:color w:val="000000"/>
                <w:sz w:val="16"/>
                <w:szCs w:val="16"/>
              </w:rPr>
              <w:t>0</w:t>
            </w:r>
            <w:r>
              <w:rPr>
                <w:rFonts w:ascii="Calibri" w:hAnsi="Calibri" w:cs="Calibri"/>
                <w:b/>
                <w:bCs/>
                <w:color w:val="000000"/>
                <w:sz w:val="16"/>
                <w:szCs w:val="16"/>
              </w:rPr>
              <w:t>/</w:t>
            </w:r>
            <w:r w:rsidR="00C9591E">
              <w:rPr>
                <w:rFonts w:ascii="Calibri" w:hAnsi="Calibri" w:cs="Calibri"/>
                <w:b/>
                <w:bCs/>
                <w:color w:val="000000"/>
                <w:sz w:val="16"/>
                <w:szCs w:val="16"/>
              </w:rPr>
              <w:t>0</w:t>
            </w:r>
            <w:r w:rsidR="00E83F1D">
              <w:rPr>
                <w:rFonts w:ascii="Calibri" w:hAnsi="Calibri" w:cs="Calibri"/>
                <w:b/>
                <w:bCs/>
                <w:color w:val="000000"/>
                <w:sz w:val="16"/>
                <w:szCs w:val="16"/>
              </w:rPr>
              <w:t>6</w:t>
            </w:r>
            <w:r>
              <w:rPr>
                <w:rFonts w:ascii="Calibri" w:hAnsi="Calibri" w:cs="Calibri"/>
                <w:b/>
                <w:bCs/>
                <w:color w:val="000000"/>
                <w:sz w:val="16"/>
                <w:szCs w:val="16"/>
              </w:rPr>
              <w:t>/202</w:t>
            </w:r>
            <w:r w:rsidR="00C9591E">
              <w:rPr>
                <w:rFonts w:ascii="Calibri" w:hAnsi="Calibri" w:cs="Calibri"/>
                <w:b/>
                <w:bCs/>
                <w:color w:val="000000"/>
                <w:sz w:val="16"/>
                <w:szCs w:val="16"/>
              </w:rPr>
              <w:t>2</w:t>
            </w:r>
          </w:p>
        </w:tc>
        <w:tc>
          <w:tcPr>
            <w:tcW w:w="742" w:type="pct"/>
            <w:tcBorders>
              <w:top w:val="nil"/>
              <w:left w:val="nil"/>
              <w:bottom w:val="single" w:sz="8" w:space="0" w:color="auto"/>
              <w:right w:val="nil"/>
            </w:tcBorders>
            <w:shd w:val="clear" w:color="auto" w:fill="auto"/>
            <w:noWrap/>
            <w:vAlign w:val="center"/>
            <w:hideMark/>
          </w:tcPr>
          <w:p w14:paraId="6E1072A8" w14:textId="21371B85" w:rsidR="00AF7492" w:rsidRDefault="00AF7492" w:rsidP="00937ED9">
            <w:pPr>
              <w:spacing w:after="120"/>
              <w:jc w:val="right"/>
              <w:rPr>
                <w:rFonts w:ascii="Calibri" w:hAnsi="Calibri" w:cs="Calibri"/>
                <w:b/>
                <w:bCs/>
                <w:color w:val="000000"/>
                <w:sz w:val="16"/>
                <w:szCs w:val="16"/>
              </w:rPr>
            </w:pPr>
            <w:r>
              <w:rPr>
                <w:rFonts w:ascii="Calibri" w:hAnsi="Calibri" w:cs="Calibri"/>
                <w:b/>
                <w:bCs/>
                <w:color w:val="000000"/>
                <w:sz w:val="16"/>
                <w:szCs w:val="16"/>
              </w:rPr>
              <w:t>31/12/202</w:t>
            </w:r>
            <w:r w:rsidR="00DF1149">
              <w:rPr>
                <w:rFonts w:ascii="Calibri" w:hAnsi="Calibri" w:cs="Calibri"/>
                <w:b/>
                <w:bCs/>
                <w:color w:val="000000"/>
                <w:sz w:val="16"/>
                <w:szCs w:val="16"/>
              </w:rPr>
              <w:t>1</w:t>
            </w:r>
          </w:p>
        </w:tc>
      </w:tr>
      <w:tr w:rsidR="00AF7492" w14:paraId="2761BB15" w14:textId="77777777" w:rsidTr="00C34E8D">
        <w:trPr>
          <w:trHeight w:hRule="exact" w:val="227"/>
        </w:trPr>
        <w:tc>
          <w:tcPr>
            <w:tcW w:w="2154" w:type="pct"/>
            <w:gridSpan w:val="2"/>
            <w:tcBorders>
              <w:top w:val="single" w:sz="8" w:space="0" w:color="auto"/>
              <w:left w:val="nil"/>
              <w:bottom w:val="nil"/>
              <w:right w:val="nil"/>
            </w:tcBorders>
            <w:shd w:val="clear" w:color="auto" w:fill="auto"/>
            <w:noWrap/>
            <w:vAlign w:val="center"/>
            <w:hideMark/>
          </w:tcPr>
          <w:p w14:paraId="3E2EBC22" w14:textId="77777777" w:rsidR="00AF7492" w:rsidRDefault="00AF7492" w:rsidP="00937ED9">
            <w:pPr>
              <w:spacing w:after="120"/>
              <w:rPr>
                <w:rFonts w:ascii="Calibri" w:hAnsi="Calibri" w:cs="Calibri"/>
                <w:color w:val="000000"/>
                <w:sz w:val="16"/>
                <w:szCs w:val="16"/>
              </w:rPr>
            </w:pPr>
            <w:r>
              <w:rPr>
                <w:rFonts w:ascii="Calibri" w:hAnsi="Calibri" w:cs="Calibri"/>
                <w:color w:val="000000"/>
                <w:sz w:val="16"/>
                <w:szCs w:val="16"/>
              </w:rPr>
              <w:t xml:space="preserve"> Saldo anterior</w:t>
            </w:r>
          </w:p>
        </w:tc>
        <w:tc>
          <w:tcPr>
            <w:tcW w:w="255" w:type="pct"/>
            <w:tcBorders>
              <w:top w:val="nil"/>
              <w:left w:val="nil"/>
              <w:bottom w:val="nil"/>
              <w:right w:val="nil"/>
            </w:tcBorders>
            <w:shd w:val="clear" w:color="auto" w:fill="auto"/>
            <w:noWrap/>
            <w:vAlign w:val="center"/>
            <w:hideMark/>
          </w:tcPr>
          <w:p w14:paraId="21F435BA" w14:textId="77777777" w:rsidR="00AF7492" w:rsidRDefault="00AF7492" w:rsidP="00937ED9">
            <w:pPr>
              <w:spacing w:after="120"/>
              <w:rPr>
                <w:rFonts w:ascii="Calibri" w:hAnsi="Calibri" w:cs="Calibri"/>
                <w:color w:val="000000"/>
                <w:sz w:val="16"/>
                <w:szCs w:val="16"/>
              </w:rPr>
            </w:pPr>
          </w:p>
        </w:tc>
        <w:tc>
          <w:tcPr>
            <w:tcW w:w="697" w:type="pct"/>
            <w:tcBorders>
              <w:top w:val="nil"/>
              <w:left w:val="nil"/>
              <w:bottom w:val="nil"/>
              <w:right w:val="nil"/>
            </w:tcBorders>
            <w:shd w:val="clear" w:color="auto" w:fill="auto"/>
            <w:noWrap/>
            <w:vAlign w:val="center"/>
            <w:hideMark/>
          </w:tcPr>
          <w:p w14:paraId="30BDDE16" w14:textId="77777777" w:rsidR="00AF7492" w:rsidRDefault="00AF7492" w:rsidP="00937ED9">
            <w:pPr>
              <w:spacing w:after="120"/>
              <w:rPr>
                <w:sz w:val="20"/>
                <w:szCs w:val="20"/>
              </w:rPr>
            </w:pPr>
          </w:p>
        </w:tc>
        <w:tc>
          <w:tcPr>
            <w:tcW w:w="1152" w:type="pct"/>
            <w:tcBorders>
              <w:top w:val="nil"/>
              <w:left w:val="nil"/>
              <w:bottom w:val="nil"/>
              <w:right w:val="nil"/>
            </w:tcBorders>
            <w:shd w:val="clear" w:color="auto" w:fill="auto"/>
            <w:noWrap/>
            <w:vAlign w:val="center"/>
            <w:hideMark/>
          </w:tcPr>
          <w:p w14:paraId="7EFDD0B3" w14:textId="5E05582F" w:rsidR="00AF7492" w:rsidRDefault="00C9591E" w:rsidP="00937ED9">
            <w:pPr>
              <w:spacing w:after="120"/>
              <w:jc w:val="right"/>
              <w:rPr>
                <w:rFonts w:ascii="Calibri" w:hAnsi="Calibri" w:cs="Calibri"/>
                <w:color w:val="000000"/>
                <w:sz w:val="16"/>
                <w:szCs w:val="16"/>
              </w:rPr>
            </w:pPr>
            <w:r w:rsidRPr="00C9591E">
              <w:rPr>
                <w:rFonts w:ascii="Calibri" w:hAnsi="Calibri" w:cs="Calibri"/>
                <w:color w:val="000000"/>
                <w:sz w:val="16"/>
                <w:szCs w:val="16"/>
              </w:rPr>
              <w:t>27.082.990</w:t>
            </w:r>
          </w:p>
        </w:tc>
        <w:tc>
          <w:tcPr>
            <w:tcW w:w="742" w:type="pct"/>
            <w:tcBorders>
              <w:top w:val="nil"/>
              <w:left w:val="nil"/>
              <w:bottom w:val="nil"/>
              <w:right w:val="nil"/>
            </w:tcBorders>
            <w:shd w:val="clear" w:color="auto" w:fill="auto"/>
            <w:noWrap/>
            <w:vAlign w:val="center"/>
            <w:hideMark/>
          </w:tcPr>
          <w:p w14:paraId="6A3C53A4" w14:textId="4DA8FF08" w:rsidR="00AF7492" w:rsidRDefault="00DF1149" w:rsidP="00937ED9">
            <w:pPr>
              <w:spacing w:after="120"/>
              <w:jc w:val="right"/>
              <w:rPr>
                <w:rFonts w:ascii="Calibri" w:hAnsi="Calibri" w:cs="Calibri"/>
                <w:color w:val="000000"/>
                <w:sz w:val="16"/>
                <w:szCs w:val="16"/>
              </w:rPr>
            </w:pPr>
            <w:r>
              <w:rPr>
                <w:rFonts w:ascii="Calibri" w:hAnsi="Calibri" w:cs="Calibri"/>
                <w:color w:val="000000"/>
                <w:sz w:val="16"/>
                <w:szCs w:val="16"/>
              </w:rPr>
              <w:t>38.526.493</w:t>
            </w:r>
          </w:p>
        </w:tc>
      </w:tr>
      <w:tr w:rsidR="00AF7492" w14:paraId="63D035AD" w14:textId="77777777" w:rsidTr="00C34E8D">
        <w:trPr>
          <w:trHeight w:hRule="exact" w:val="227"/>
        </w:trPr>
        <w:tc>
          <w:tcPr>
            <w:tcW w:w="2409" w:type="pct"/>
            <w:gridSpan w:val="3"/>
            <w:tcBorders>
              <w:top w:val="nil"/>
              <w:left w:val="nil"/>
              <w:bottom w:val="nil"/>
              <w:right w:val="nil"/>
            </w:tcBorders>
            <w:shd w:val="clear" w:color="auto" w:fill="auto"/>
            <w:noWrap/>
            <w:vAlign w:val="center"/>
            <w:hideMark/>
          </w:tcPr>
          <w:p w14:paraId="6B52DBCF" w14:textId="77777777" w:rsidR="00AF7492" w:rsidRDefault="00AF7492" w:rsidP="00937ED9">
            <w:pPr>
              <w:spacing w:after="120"/>
              <w:rPr>
                <w:rFonts w:ascii="Calibri" w:hAnsi="Calibri" w:cs="Calibri"/>
                <w:color w:val="000000"/>
                <w:sz w:val="16"/>
                <w:szCs w:val="16"/>
              </w:rPr>
            </w:pPr>
            <w:r>
              <w:rPr>
                <w:rFonts w:ascii="Calibri" w:hAnsi="Calibri" w:cs="Calibri"/>
                <w:color w:val="000000"/>
                <w:sz w:val="16"/>
                <w:szCs w:val="16"/>
              </w:rPr>
              <w:t xml:space="preserve"> Retenções sobre fornecedores</w:t>
            </w:r>
          </w:p>
        </w:tc>
        <w:tc>
          <w:tcPr>
            <w:tcW w:w="697" w:type="pct"/>
            <w:tcBorders>
              <w:top w:val="nil"/>
              <w:left w:val="nil"/>
              <w:bottom w:val="nil"/>
              <w:right w:val="nil"/>
            </w:tcBorders>
            <w:shd w:val="clear" w:color="auto" w:fill="auto"/>
            <w:noWrap/>
            <w:vAlign w:val="center"/>
            <w:hideMark/>
          </w:tcPr>
          <w:p w14:paraId="64C78377" w14:textId="77777777" w:rsidR="00AF7492" w:rsidRDefault="00AF7492" w:rsidP="00937ED9">
            <w:pPr>
              <w:spacing w:after="120"/>
              <w:rPr>
                <w:rFonts w:ascii="Calibri" w:hAnsi="Calibri" w:cs="Calibri"/>
                <w:color w:val="000000"/>
                <w:sz w:val="16"/>
                <w:szCs w:val="16"/>
              </w:rPr>
            </w:pPr>
          </w:p>
        </w:tc>
        <w:tc>
          <w:tcPr>
            <w:tcW w:w="1152" w:type="pct"/>
            <w:tcBorders>
              <w:top w:val="nil"/>
              <w:left w:val="nil"/>
              <w:bottom w:val="nil"/>
              <w:right w:val="nil"/>
            </w:tcBorders>
            <w:shd w:val="clear" w:color="auto" w:fill="auto"/>
            <w:noWrap/>
            <w:vAlign w:val="center"/>
            <w:hideMark/>
          </w:tcPr>
          <w:p w14:paraId="550B6264" w14:textId="3F40A593" w:rsidR="00AF7492" w:rsidRDefault="00E83F1D" w:rsidP="00937ED9">
            <w:pPr>
              <w:spacing w:after="120"/>
              <w:jc w:val="right"/>
              <w:rPr>
                <w:rFonts w:ascii="Calibri" w:hAnsi="Calibri" w:cs="Calibri"/>
                <w:color w:val="000000"/>
                <w:sz w:val="16"/>
                <w:szCs w:val="16"/>
              </w:rPr>
            </w:pPr>
            <w:r>
              <w:rPr>
                <w:rFonts w:ascii="Calibri" w:hAnsi="Calibri" w:cs="Calibri"/>
                <w:color w:val="000000"/>
                <w:sz w:val="16"/>
                <w:szCs w:val="16"/>
              </w:rPr>
              <w:t>79.111</w:t>
            </w:r>
          </w:p>
        </w:tc>
        <w:tc>
          <w:tcPr>
            <w:tcW w:w="742" w:type="pct"/>
            <w:tcBorders>
              <w:top w:val="nil"/>
              <w:left w:val="nil"/>
              <w:bottom w:val="nil"/>
              <w:right w:val="nil"/>
            </w:tcBorders>
            <w:shd w:val="clear" w:color="auto" w:fill="auto"/>
            <w:noWrap/>
            <w:vAlign w:val="center"/>
            <w:hideMark/>
          </w:tcPr>
          <w:p w14:paraId="30CA8154" w14:textId="5391B5D0" w:rsidR="00AF7492" w:rsidRDefault="00DF1149" w:rsidP="00937ED9">
            <w:pPr>
              <w:spacing w:after="120"/>
              <w:jc w:val="right"/>
              <w:rPr>
                <w:rFonts w:ascii="Calibri" w:hAnsi="Calibri" w:cs="Calibri"/>
                <w:color w:val="000000"/>
                <w:sz w:val="16"/>
                <w:szCs w:val="16"/>
              </w:rPr>
            </w:pPr>
            <w:r>
              <w:rPr>
                <w:rFonts w:ascii="Calibri" w:hAnsi="Calibri" w:cs="Calibri"/>
                <w:color w:val="000000"/>
                <w:sz w:val="16"/>
                <w:szCs w:val="16"/>
              </w:rPr>
              <w:t>1.603.301</w:t>
            </w:r>
          </w:p>
        </w:tc>
      </w:tr>
      <w:tr w:rsidR="00AF7492" w14:paraId="70B13531" w14:textId="77777777" w:rsidTr="00C34E8D">
        <w:trPr>
          <w:trHeight w:hRule="exact" w:val="227"/>
        </w:trPr>
        <w:tc>
          <w:tcPr>
            <w:tcW w:w="2154" w:type="pct"/>
            <w:gridSpan w:val="2"/>
            <w:tcBorders>
              <w:top w:val="nil"/>
              <w:left w:val="nil"/>
              <w:bottom w:val="nil"/>
              <w:right w:val="nil"/>
            </w:tcBorders>
            <w:shd w:val="clear" w:color="auto" w:fill="auto"/>
            <w:noWrap/>
            <w:vAlign w:val="center"/>
            <w:hideMark/>
          </w:tcPr>
          <w:p w14:paraId="45A81699" w14:textId="77777777" w:rsidR="00AF7492" w:rsidRDefault="00AF7492" w:rsidP="00937ED9">
            <w:pPr>
              <w:spacing w:after="120"/>
              <w:rPr>
                <w:rFonts w:ascii="Calibri" w:hAnsi="Calibri" w:cs="Calibri"/>
                <w:color w:val="000000"/>
                <w:sz w:val="16"/>
                <w:szCs w:val="16"/>
              </w:rPr>
            </w:pPr>
            <w:r>
              <w:rPr>
                <w:rFonts w:ascii="Calibri" w:hAnsi="Calibri" w:cs="Calibri"/>
                <w:color w:val="000000"/>
                <w:sz w:val="16"/>
                <w:szCs w:val="16"/>
              </w:rPr>
              <w:t xml:space="preserve"> Baixa de depósitos</w:t>
            </w:r>
          </w:p>
        </w:tc>
        <w:tc>
          <w:tcPr>
            <w:tcW w:w="255" w:type="pct"/>
            <w:tcBorders>
              <w:top w:val="nil"/>
              <w:left w:val="nil"/>
              <w:bottom w:val="nil"/>
              <w:right w:val="nil"/>
            </w:tcBorders>
            <w:shd w:val="clear" w:color="auto" w:fill="auto"/>
            <w:noWrap/>
            <w:vAlign w:val="center"/>
            <w:hideMark/>
          </w:tcPr>
          <w:p w14:paraId="5C77C2DF" w14:textId="77777777" w:rsidR="00AF7492" w:rsidRDefault="00AF7492" w:rsidP="00937ED9">
            <w:pPr>
              <w:spacing w:after="120"/>
              <w:rPr>
                <w:rFonts w:ascii="Calibri" w:hAnsi="Calibri" w:cs="Calibri"/>
                <w:color w:val="000000"/>
                <w:sz w:val="16"/>
                <w:szCs w:val="16"/>
              </w:rPr>
            </w:pPr>
          </w:p>
        </w:tc>
        <w:tc>
          <w:tcPr>
            <w:tcW w:w="697" w:type="pct"/>
            <w:tcBorders>
              <w:top w:val="nil"/>
              <w:left w:val="nil"/>
              <w:bottom w:val="nil"/>
              <w:right w:val="nil"/>
            </w:tcBorders>
            <w:shd w:val="clear" w:color="auto" w:fill="auto"/>
            <w:noWrap/>
            <w:vAlign w:val="center"/>
            <w:hideMark/>
          </w:tcPr>
          <w:p w14:paraId="797BD64D" w14:textId="77777777" w:rsidR="00AF7492" w:rsidRDefault="00AF7492" w:rsidP="00937ED9">
            <w:pPr>
              <w:spacing w:after="120"/>
              <w:rPr>
                <w:sz w:val="20"/>
                <w:szCs w:val="20"/>
              </w:rPr>
            </w:pPr>
          </w:p>
        </w:tc>
        <w:tc>
          <w:tcPr>
            <w:tcW w:w="1152" w:type="pct"/>
            <w:tcBorders>
              <w:top w:val="nil"/>
              <w:left w:val="nil"/>
              <w:bottom w:val="nil"/>
              <w:right w:val="nil"/>
            </w:tcBorders>
            <w:shd w:val="clear" w:color="auto" w:fill="auto"/>
            <w:noWrap/>
            <w:vAlign w:val="center"/>
            <w:hideMark/>
          </w:tcPr>
          <w:p w14:paraId="1ED93A64" w14:textId="56624135" w:rsidR="00AF7492" w:rsidRDefault="00C9591E" w:rsidP="00937ED9">
            <w:pPr>
              <w:spacing w:after="120"/>
              <w:jc w:val="right"/>
              <w:rPr>
                <w:rFonts w:ascii="Calibri" w:hAnsi="Calibri" w:cs="Calibri"/>
                <w:color w:val="000000"/>
                <w:sz w:val="16"/>
                <w:szCs w:val="16"/>
              </w:rPr>
            </w:pPr>
            <w:r>
              <w:rPr>
                <w:rFonts w:ascii="Calibri" w:hAnsi="Calibri" w:cs="Calibri"/>
                <w:color w:val="000000"/>
                <w:sz w:val="16"/>
                <w:szCs w:val="16"/>
              </w:rPr>
              <w:t>0</w:t>
            </w:r>
          </w:p>
        </w:tc>
        <w:tc>
          <w:tcPr>
            <w:tcW w:w="742" w:type="pct"/>
            <w:tcBorders>
              <w:top w:val="nil"/>
              <w:left w:val="nil"/>
              <w:bottom w:val="nil"/>
              <w:right w:val="nil"/>
            </w:tcBorders>
            <w:shd w:val="clear" w:color="auto" w:fill="auto"/>
            <w:noWrap/>
            <w:vAlign w:val="center"/>
            <w:hideMark/>
          </w:tcPr>
          <w:p w14:paraId="0EA1CFE5" w14:textId="43ADBE9E" w:rsidR="00AF7492" w:rsidRDefault="00DF1149" w:rsidP="00937ED9">
            <w:pPr>
              <w:spacing w:after="120"/>
              <w:jc w:val="right"/>
              <w:rPr>
                <w:rFonts w:ascii="Calibri" w:hAnsi="Calibri" w:cs="Calibri"/>
                <w:color w:val="000000"/>
                <w:sz w:val="16"/>
                <w:szCs w:val="16"/>
              </w:rPr>
            </w:pPr>
            <w:r>
              <w:rPr>
                <w:rFonts w:ascii="Calibri" w:hAnsi="Calibri" w:cs="Calibri"/>
                <w:color w:val="000000"/>
                <w:sz w:val="16"/>
                <w:szCs w:val="16"/>
              </w:rPr>
              <w:t>(12.600.452)</w:t>
            </w:r>
          </w:p>
        </w:tc>
      </w:tr>
      <w:tr w:rsidR="00AF7492" w14:paraId="45A5C2AE" w14:textId="77777777" w:rsidTr="00C34E8D">
        <w:trPr>
          <w:trHeight w:hRule="exact" w:val="227"/>
        </w:trPr>
        <w:tc>
          <w:tcPr>
            <w:tcW w:w="2409" w:type="pct"/>
            <w:gridSpan w:val="3"/>
            <w:tcBorders>
              <w:top w:val="nil"/>
              <w:left w:val="nil"/>
              <w:bottom w:val="single" w:sz="8" w:space="0" w:color="auto"/>
              <w:right w:val="nil"/>
            </w:tcBorders>
            <w:shd w:val="clear" w:color="auto" w:fill="auto"/>
            <w:noWrap/>
            <w:vAlign w:val="center"/>
            <w:hideMark/>
          </w:tcPr>
          <w:p w14:paraId="5952910F" w14:textId="77777777" w:rsidR="00AF7492" w:rsidRDefault="00AF7492" w:rsidP="00937ED9">
            <w:pPr>
              <w:spacing w:after="120"/>
              <w:rPr>
                <w:rFonts w:ascii="Calibri" w:hAnsi="Calibri" w:cs="Calibri"/>
                <w:color w:val="000000"/>
                <w:sz w:val="16"/>
                <w:szCs w:val="16"/>
              </w:rPr>
            </w:pPr>
            <w:r>
              <w:rPr>
                <w:rFonts w:ascii="Calibri" w:hAnsi="Calibri" w:cs="Calibri"/>
                <w:color w:val="000000"/>
                <w:sz w:val="16"/>
                <w:szCs w:val="16"/>
              </w:rPr>
              <w:t xml:space="preserve"> Pagamento de Obrigações</w:t>
            </w:r>
          </w:p>
        </w:tc>
        <w:tc>
          <w:tcPr>
            <w:tcW w:w="697" w:type="pct"/>
            <w:tcBorders>
              <w:top w:val="nil"/>
              <w:left w:val="nil"/>
              <w:bottom w:val="single" w:sz="8" w:space="0" w:color="auto"/>
              <w:right w:val="nil"/>
            </w:tcBorders>
            <w:shd w:val="clear" w:color="auto" w:fill="auto"/>
            <w:noWrap/>
            <w:vAlign w:val="center"/>
            <w:hideMark/>
          </w:tcPr>
          <w:p w14:paraId="4F93DAD1" w14:textId="77777777" w:rsidR="00AF7492" w:rsidRDefault="00AF7492" w:rsidP="00937ED9">
            <w:pPr>
              <w:spacing w:after="120"/>
              <w:jc w:val="right"/>
              <w:rPr>
                <w:rFonts w:ascii="Calibri" w:hAnsi="Calibri" w:cs="Calibri"/>
                <w:color w:val="000000"/>
                <w:sz w:val="16"/>
                <w:szCs w:val="16"/>
              </w:rPr>
            </w:pPr>
            <w:r>
              <w:rPr>
                <w:rFonts w:ascii="Calibri" w:hAnsi="Calibri" w:cs="Calibri"/>
                <w:color w:val="000000"/>
                <w:sz w:val="16"/>
                <w:szCs w:val="16"/>
              </w:rPr>
              <w:t> </w:t>
            </w:r>
          </w:p>
        </w:tc>
        <w:tc>
          <w:tcPr>
            <w:tcW w:w="1152" w:type="pct"/>
            <w:tcBorders>
              <w:top w:val="nil"/>
              <w:left w:val="nil"/>
              <w:bottom w:val="single" w:sz="8" w:space="0" w:color="auto"/>
              <w:right w:val="nil"/>
            </w:tcBorders>
            <w:shd w:val="clear" w:color="auto" w:fill="auto"/>
            <w:noWrap/>
            <w:vAlign w:val="center"/>
            <w:hideMark/>
          </w:tcPr>
          <w:p w14:paraId="763E731E" w14:textId="7F4DB7E6" w:rsidR="00AF7492" w:rsidRDefault="00C9591E" w:rsidP="00937ED9">
            <w:pPr>
              <w:spacing w:after="120"/>
              <w:jc w:val="right"/>
              <w:rPr>
                <w:rFonts w:ascii="Calibri" w:hAnsi="Calibri" w:cs="Calibri"/>
                <w:color w:val="000000"/>
                <w:sz w:val="16"/>
                <w:szCs w:val="16"/>
              </w:rPr>
            </w:pPr>
            <w:r>
              <w:rPr>
                <w:rFonts w:ascii="Calibri" w:hAnsi="Calibri" w:cs="Calibri"/>
                <w:color w:val="000000"/>
                <w:sz w:val="16"/>
                <w:szCs w:val="16"/>
              </w:rPr>
              <w:t>0</w:t>
            </w:r>
          </w:p>
        </w:tc>
        <w:tc>
          <w:tcPr>
            <w:tcW w:w="742" w:type="pct"/>
            <w:tcBorders>
              <w:top w:val="nil"/>
              <w:left w:val="nil"/>
              <w:bottom w:val="single" w:sz="8" w:space="0" w:color="auto"/>
              <w:right w:val="nil"/>
            </w:tcBorders>
            <w:shd w:val="clear" w:color="auto" w:fill="auto"/>
            <w:noWrap/>
            <w:vAlign w:val="center"/>
            <w:hideMark/>
          </w:tcPr>
          <w:p w14:paraId="54D33504" w14:textId="1BE6AD5A" w:rsidR="00AF7492" w:rsidRDefault="00DF1149" w:rsidP="00937ED9">
            <w:pPr>
              <w:spacing w:after="120"/>
              <w:jc w:val="right"/>
              <w:rPr>
                <w:rFonts w:ascii="Calibri" w:hAnsi="Calibri" w:cs="Calibri"/>
                <w:color w:val="000000"/>
                <w:sz w:val="16"/>
                <w:szCs w:val="16"/>
              </w:rPr>
            </w:pPr>
            <w:r>
              <w:rPr>
                <w:rFonts w:ascii="Calibri" w:hAnsi="Calibri" w:cs="Calibri"/>
                <w:color w:val="000000"/>
                <w:sz w:val="16"/>
                <w:szCs w:val="16"/>
              </w:rPr>
              <w:t>(446.352)</w:t>
            </w:r>
          </w:p>
        </w:tc>
      </w:tr>
      <w:tr w:rsidR="00AF7492" w14:paraId="222D0A50" w14:textId="77777777" w:rsidTr="00C34E8D">
        <w:trPr>
          <w:trHeight w:hRule="exact" w:val="227"/>
        </w:trPr>
        <w:tc>
          <w:tcPr>
            <w:tcW w:w="1898" w:type="pct"/>
            <w:tcBorders>
              <w:top w:val="nil"/>
              <w:left w:val="nil"/>
              <w:bottom w:val="single" w:sz="8" w:space="0" w:color="auto"/>
              <w:right w:val="nil"/>
            </w:tcBorders>
            <w:shd w:val="clear" w:color="auto" w:fill="auto"/>
            <w:noWrap/>
            <w:vAlign w:val="center"/>
            <w:hideMark/>
          </w:tcPr>
          <w:p w14:paraId="032A5A17" w14:textId="77777777" w:rsidR="00AF7492" w:rsidRDefault="00AF7492" w:rsidP="00937ED9">
            <w:pPr>
              <w:spacing w:after="120"/>
              <w:rPr>
                <w:rFonts w:ascii="Calibri" w:hAnsi="Calibri" w:cs="Calibri"/>
                <w:b/>
                <w:bCs/>
                <w:color w:val="000000"/>
                <w:sz w:val="16"/>
                <w:szCs w:val="16"/>
              </w:rPr>
            </w:pPr>
            <w:r>
              <w:rPr>
                <w:rFonts w:ascii="Calibri" w:hAnsi="Calibri" w:cs="Calibri"/>
                <w:b/>
                <w:bCs/>
                <w:color w:val="000000"/>
                <w:sz w:val="16"/>
                <w:szCs w:val="16"/>
              </w:rPr>
              <w:t xml:space="preserve"> TOTAL</w:t>
            </w:r>
          </w:p>
        </w:tc>
        <w:tc>
          <w:tcPr>
            <w:tcW w:w="255" w:type="pct"/>
            <w:tcBorders>
              <w:top w:val="nil"/>
              <w:left w:val="nil"/>
              <w:bottom w:val="single" w:sz="8" w:space="0" w:color="auto"/>
              <w:right w:val="nil"/>
            </w:tcBorders>
            <w:shd w:val="clear" w:color="auto" w:fill="auto"/>
            <w:noWrap/>
            <w:vAlign w:val="center"/>
            <w:hideMark/>
          </w:tcPr>
          <w:p w14:paraId="0ACEE5C5" w14:textId="77777777" w:rsidR="00AF7492" w:rsidRDefault="00AF7492" w:rsidP="00937ED9">
            <w:pPr>
              <w:spacing w:after="120"/>
              <w:rPr>
                <w:rFonts w:ascii="Calibri" w:hAnsi="Calibri" w:cs="Calibri"/>
                <w:color w:val="000000"/>
                <w:sz w:val="16"/>
                <w:szCs w:val="16"/>
              </w:rPr>
            </w:pPr>
            <w:r>
              <w:rPr>
                <w:rFonts w:ascii="Calibri" w:hAnsi="Calibri" w:cs="Calibri"/>
                <w:color w:val="000000"/>
                <w:sz w:val="16"/>
                <w:szCs w:val="16"/>
              </w:rPr>
              <w:t> </w:t>
            </w:r>
          </w:p>
        </w:tc>
        <w:tc>
          <w:tcPr>
            <w:tcW w:w="255" w:type="pct"/>
            <w:tcBorders>
              <w:top w:val="nil"/>
              <w:left w:val="nil"/>
              <w:bottom w:val="single" w:sz="8" w:space="0" w:color="auto"/>
              <w:right w:val="nil"/>
            </w:tcBorders>
            <w:shd w:val="clear" w:color="auto" w:fill="auto"/>
            <w:noWrap/>
            <w:vAlign w:val="center"/>
            <w:hideMark/>
          </w:tcPr>
          <w:p w14:paraId="3E518000" w14:textId="77777777" w:rsidR="00AF7492" w:rsidRDefault="00AF7492" w:rsidP="00937ED9">
            <w:pPr>
              <w:spacing w:after="120"/>
              <w:rPr>
                <w:rFonts w:ascii="Calibri" w:hAnsi="Calibri" w:cs="Calibri"/>
                <w:color w:val="000000"/>
                <w:sz w:val="16"/>
                <w:szCs w:val="16"/>
              </w:rPr>
            </w:pPr>
            <w:r>
              <w:rPr>
                <w:rFonts w:ascii="Calibri" w:hAnsi="Calibri" w:cs="Calibri"/>
                <w:color w:val="000000"/>
                <w:sz w:val="16"/>
                <w:szCs w:val="16"/>
              </w:rPr>
              <w:t> </w:t>
            </w:r>
          </w:p>
        </w:tc>
        <w:tc>
          <w:tcPr>
            <w:tcW w:w="697" w:type="pct"/>
            <w:tcBorders>
              <w:top w:val="nil"/>
              <w:left w:val="nil"/>
              <w:bottom w:val="single" w:sz="8" w:space="0" w:color="auto"/>
              <w:right w:val="nil"/>
            </w:tcBorders>
            <w:shd w:val="clear" w:color="auto" w:fill="auto"/>
            <w:noWrap/>
            <w:vAlign w:val="center"/>
            <w:hideMark/>
          </w:tcPr>
          <w:p w14:paraId="57A84AC5" w14:textId="77777777" w:rsidR="00AF7492" w:rsidRDefault="00AF7492" w:rsidP="00937ED9">
            <w:pPr>
              <w:spacing w:after="120"/>
              <w:jc w:val="right"/>
              <w:rPr>
                <w:rFonts w:ascii="Calibri" w:hAnsi="Calibri" w:cs="Calibri"/>
                <w:b/>
                <w:bCs/>
                <w:color w:val="000000"/>
                <w:sz w:val="16"/>
                <w:szCs w:val="16"/>
              </w:rPr>
            </w:pPr>
            <w:r>
              <w:rPr>
                <w:rFonts w:ascii="Calibri" w:hAnsi="Calibri" w:cs="Calibri"/>
                <w:b/>
                <w:bCs/>
                <w:color w:val="000000"/>
                <w:sz w:val="16"/>
                <w:szCs w:val="16"/>
              </w:rPr>
              <w:t> </w:t>
            </w:r>
          </w:p>
        </w:tc>
        <w:tc>
          <w:tcPr>
            <w:tcW w:w="1152" w:type="pct"/>
            <w:tcBorders>
              <w:top w:val="nil"/>
              <w:left w:val="nil"/>
              <w:bottom w:val="single" w:sz="8" w:space="0" w:color="auto"/>
              <w:right w:val="nil"/>
            </w:tcBorders>
            <w:shd w:val="clear" w:color="auto" w:fill="auto"/>
            <w:noWrap/>
            <w:vAlign w:val="center"/>
            <w:hideMark/>
          </w:tcPr>
          <w:p w14:paraId="6E493CC2" w14:textId="3BF82FB9" w:rsidR="00AF7492" w:rsidRDefault="00E83F1D" w:rsidP="00937ED9">
            <w:pPr>
              <w:spacing w:after="120"/>
              <w:jc w:val="right"/>
              <w:rPr>
                <w:rFonts w:ascii="Calibri" w:hAnsi="Calibri" w:cs="Calibri"/>
                <w:b/>
                <w:bCs/>
                <w:color w:val="000000"/>
                <w:sz w:val="16"/>
                <w:szCs w:val="16"/>
              </w:rPr>
            </w:pPr>
            <w:r>
              <w:rPr>
                <w:rFonts w:ascii="Calibri" w:hAnsi="Calibri" w:cs="Calibri"/>
                <w:b/>
                <w:bCs/>
                <w:color w:val="000000"/>
                <w:sz w:val="16"/>
                <w:szCs w:val="16"/>
              </w:rPr>
              <w:t>27.162.101</w:t>
            </w:r>
          </w:p>
        </w:tc>
        <w:tc>
          <w:tcPr>
            <w:tcW w:w="742" w:type="pct"/>
            <w:tcBorders>
              <w:top w:val="nil"/>
              <w:left w:val="nil"/>
              <w:bottom w:val="single" w:sz="8" w:space="0" w:color="auto"/>
              <w:right w:val="nil"/>
            </w:tcBorders>
            <w:shd w:val="clear" w:color="auto" w:fill="auto"/>
            <w:noWrap/>
            <w:vAlign w:val="center"/>
            <w:hideMark/>
          </w:tcPr>
          <w:p w14:paraId="0AACCC7A" w14:textId="02B1114D" w:rsidR="00AF7492" w:rsidRDefault="00DF1149" w:rsidP="00937ED9">
            <w:pPr>
              <w:spacing w:after="120"/>
              <w:jc w:val="right"/>
              <w:rPr>
                <w:rFonts w:ascii="Calibri" w:hAnsi="Calibri" w:cs="Calibri"/>
                <w:b/>
                <w:bCs/>
                <w:color w:val="000000"/>
                <w:sz w:val="16"/>
                <w:szCs w:val="16"/>
              </w:rPr>
            </w:pPr>
            <w:r>
              <w:rPr>
                <w:rFonts w:ascii="Calibri" w:hAnsi="Calibri" w:cs="Calibri"/>
                <w:b/>
                <w:bCs/>
                <w:color w:val="000000"/>
                <w:sz w:val="16"/>
                <w:szCs w:val="16"/>
              </w:rPr>
              <w:t>27.082.990</w:t>
            </w:r>
          </w:p>
        </w:tc>
      </w:tr>
    </w:tbl>
    <w:p w14:paraId="74A291D1" w14:textId="77777777" w:rsidR="006E0CFB" w:rsidRDefault="00CE1621" w:rsidP="000B3A75">
      <w:pPr>
        <w:pStyle w:val="Textoembloco"/>
        <w:spacing w:before="120" w:after="120" w:line="240" w:lineRule="auto"/>
        <w:ind w:left="0" w:right="57"/>
        <w:rPr>
          <w:rFonts w:ascii="Calibri" w:hAnsi="Calibri" w:cs="Calibri"/>
          <w:sz w:val="22"/>
          <w:szCs w:val="22"/>
          <w:shd w:val="clear" w:color="auto" w:fill="FFFFFF"/>
        </w:rPr>
      </w:pPr>
      <w:r w:rsidRPr="002E2B5B">
        <w:rPr>
          <w:rFonts w:ascii="Calibri" w:hAnsi="Calibri" w:cs="Calibri"/>
          <w:sz w:val="22"/>
          <w:szCs w:val="22"/>
          <w:shd w:val="clear" w:color="auto" w:fill="FFFFFF"/>
        </w:rPr>
        <w:t xml:space="preserve">A conta “Depósitos Retidos de Fornecedores” registra as retenções contratuais sobre pagamentos a fornecedores e outras retenções como glosas por determinações dos Órgãos de Controle.  </w:t>
      </w:r>
    </w:p>
    <w:p w14:paraId="5622913B" w14:textId="7DB6C448" w:rsidR="00066BBD" w:rsidRPr="001E40FA" w:rsidRDefault="000568B0" w:rsidP="00937ED9">
      <w:pPr>
        <w:numPr>
          <w:ilvl w:val="0"/>
          <w:numId w:val="5"/>
        </w:numPr>
        <w:spacing w:after="120"/>
        <w:ind w:left="284" w:hanging="284"/>
        <w:jc w:val="both"/>
        <w:rPr>
          <w:rFonts w:ascii="Calibri" w:hAnsi="Calibri" w:cs="Calibri"/>
          <w:sz w:val="22"/>
          <w:szCs w:val="22"/>
        </w:rPr>
      </w:pPr>
      <w:r w:rsidRPr="001E40FA">
        <w:rPr>
          <w:rFonts w:ascii="Calibri" w:hAnsi="Calibri" w:cs="Calibri"/>
          <w:b/>
          <w:sz w:val="22"/>
          <w:szCs w:val="22"/>
        </w:rPr>
        <w:t xml:space="preserve">Provisões </w:t>
      </w:r>
      <w:r w:rsidR="001A21B2" w:rsidRPr="001E40FA">
        <w:rPr>
          <w:rFonts w:ascii="Calibri" w:hAnsi="Calibri" w:cs="Calibri"/>
          <w:b/>
          <w:sz w:val="22"/>
          <w:szCs w:val="22"/>
        </w:rPr>
        <w:t>para Contingências</w:t>
      </w:r>
      <w:r w:rsidRPr="001E40FA">
        <w:rPr>
          <w:rFonts w:ascii="Calibri" w:hAnsi="Calibri" w:cs="Calibri"/>
          <w:b/>
          <w:sz w:val="22"/>
          <w:szCs w:val="22"/>
        </w:rPr>
        <w:t xml:space="preserve"> </w:t>
      </w:r>
      <w:r w:rsidR="006E0CFB" w:rsidRPr="001E40FA">
        <w:rPr>
          <w:rFonts w:ascii="Calibri" w:hAnsi="Calibri" w:cs="Calibri"/>
          <w:b/>
          <w:sz w:val="22"/>
          <w:szCs w:val="22"/>
        </w:rPr>
        <w:t>Judiciais</w:t>
      </w:r>
    </w:p>
    <w:p w14:paraId="263874E2" w14:textId="671DD82A" w:rsidR="009303E0" w:rsidRPr="008D21F0" w:rsidRDefault="00894308" w:rsidP="00BD2A00">
      <w:pPr>
        <w:pStyle w:val="Textoembloco"/>
        <w:spacing w:after="120" w:line="240" w:lineRule="auto"/>
        <w:ind w:left="0" w:right="57"/>
        <w:rPr>
          <w:rFonts w:ascii="Calibri" w:hAnsi="Calibri" w:cs="Calibri"/>
          <w:sz w:val="22"/>
          <w:szCs w:val="22"/>
          <w:shd w:val="clear" w:color="auto" w:fill="FFFFFF"/>
        </w:rPr>
      </w:pPr>
      <w:r w:rsidRPr="008D21F0">
        <w:rPr>
          <w:rFonts w:ascii="Calibri" w:hAnsi="Calibri" w:cs="Calibri"/>
          <w:sz w:val="22"/>
          <w:szCs w:val="22"/>
          <w:shd w:val="clear" w:color="auto" w:fill="FFFFFF"/>
        </w:rPr>
        <w:t xml:space="preserve">A companhia </w:t>
      </w:r>
      <w:r w:rsidR="00B57353" w:rsidRPr="008D21F0">
        <w:rPr>
          <w:rFonts w:ascii="Calibri" w:hAnsi="Calibri" w:cs="Calibri"/>
          <w:sz w:val="22"/>
          <w:szCs w:val="22"/>
          <w:shd w:val="clear" w:color="auto" w:fill="FFFFFF"/>
        </w:rPr>
        <w:t>é responsável por</w:t>
      </w:r>
      <w:r w:rsidRPr="008D21F0">
        <w:rPr>
          <w:rFonts w:ascii="Calibri" w:hAnsi="Calibri" w:cs="Calibri"/>
          <w:sz w:val="22"/>
          <w:szCs w:val="22"/>
          <w:shd w:val="clear" w:color="auto" w:fill="FFFFFF"/>
        </w:rPr>
        <w:t xml:space="preserve"> ações trabalhistas e cíveis impetrad</w:t>
      </w:r>
      <w:r w:rsidR="00AD6E75" w:rsidRPr="008D21F0">
        <w:rPr>
          <w:rFonts w:ascii="Calibri" w:hAnsi="Calibri" w:cs="Calibri"/>
          <w:sz w:val="22"/>
          <w:szCs w:val="22"/>
          <w:shd w:val="clear" w:color="auto" w:fill="FFFFFF"/>
        </w:rPr>
        <w:t>a</w:t>
      </w:r>
      <w:r w:rsidRPr="008D21F0">
        <w:rPr>
          <w:rFonts w:ascii="Calibri" w:hAnsi="Calibri" w:cs="Calibri"/>
          <w:sz w:val="22"/>
          <w:szCs w:val="22"/>
          <w:shd w:val="clear" w:color="auto" w:fill="FFFFFF"/>
        </w:rPr>
        <w:t xml:space="preserve">s contra VALEC e as extintas empresas Rede Ferroviária Federal S/A – RFFSA e Empresa Brasileira de Planejamento de Transportes – GEIPOT. </w:t>
      </w:r>
    </w:p>
    <w:p w14:paraId="6D95ACC4" w14:textId="6794ECE6" w:rsidR="00C87F38" w:rsidRPr="008D21F0" w:rsidRDefault="00B35E5B" w:rsidP="00937ED9">
      <w:pPr>
        <w:pStyle w:val="Textoembloco"/>
        <w:spacing w:after="120" w:line="240" w:lineRule="auto"/>
        <w:ind w:left="0" w:right="57"/>
        <w:rPr>
          <w:rFonts w:ascii="Calibri" w:hAnsi="Calibri" w:cs="Calibri"/>
          <w:sz w:val="22"/>
          <w:szCs w:val="22"/>
          <w:shd w:val="clear" w:color="auto" w:fill="FFFFFF"/>
        </w:rPr>
      </w:pPr>
      <w:bookmarkStart w:id="5" w:name="_Hlk36047226"/>
      <w:r w:rsidRPr="008D21F0">
        <w:rPr>
          <w:rFonts w:ascii="Calibri" w:hAnsi="Calibri" w:cs="Calibri"/>
          <w:sz w:val="22"/>
          <w:szCs w:val="22"/>
          <w:shd w:val="clear" w:color="auto" w:fill="FFFFFF"/>
        </w:rPr>
        <w:t xml:space="preserve">As provisões para contingências são contabilizadas, com base na posição da </w:t>
      </w:r>
      <w:r w:rsidR="00FF1CB6" w:rsidRPr="008D21F0">
        <w:rPr>
          <w:rFonts w:ascii="Calibri" w:hAnsi="Calibri" w:cs="Calibri"/>
          <w:sz w:val="22"/>
          <w:szCs w:val="22"/>
          <w:shd w:val="clear" w:color="auto" w:fill="FFFFFF"/>
        </w:rPr>
        <w:t>Procuradoria</w:t>
      </w:r>
      <w:r w:rsidRPr="008D21F0">
        <w:rPr>
          <w:rFonts w:ascii="Calibri" w:hAnsi="Calibri" w:cs="Calibri"/>
          <w:sz w:val="22"/>
          <w:szCs w:val="22"/>
          <w:shd w:val="clear" w:color="auto" w:fill="FFFFFF"/>
        </w:rPr>
        <w:t xml:space="preserve"> Jurídica, a qual é formulada na análise técnica individual dos advogados, quando for considerado provável o risco de perda de uma ação judicial ou administrativa, e sempre que os montantes envolvidos forem mensuráveis com suficiente segurança. </w:t>
      </w:r>
      <w:r w:rsidR="00C87F38" w:rsidRPr="008D21F0">
        <w:rPr>
          <w:rFonts w:ascii="Calibri" w:hAnsi="Calibri" w:cs="Calibri"/>
          <w:sz w:val="22"/>
          <w:szCs w:val="22"/>
          <w:shd w:val="clear" w:color="auto" w:fill="FFFFFF"/>
        </w:rPr>
        <w:t xml:space="preserve">O valor reconhecido como provisão </w:t>
      </w:r>
      <w:r w:rsidR="002901F5" w:rsidRPr="008D21F0">
        <w:rPr>
          <w:rFonts w:ascii="Calibri" w:hAnsi="Calibri" w:cs="Calibri"/>
          <w:sz w:val="22"/>
          <w:szCs w:val="22"/>
          <w:shd w:val="clear" w:color="auto" w:fill="FFFFFF"/>
        </w:rPr>
        <w:t>foi</w:t>
      </w:r>
      <w:r w:rsidR="00C87F38" w:rsidRPr="008D21F0">
        <w:rPr>
          <w:rFonts w:ascii="Calibri" w:hAnsi="Calibri" w:cs="Calibri"/>
          <w:sz w:val="22"/>
          <w:szCs w:val="22"/>
          <w:shd w:val="clear" w:color="auto" w:fill="FFFFFF"/>
        </w:rPr>
        <w:t xml:space="preserve"> a melhor estimativa do desembolso exigido para liquidar a obrigação presente na data do balanço.</w:t>
      </w:r>
    </w:p>
    <w:p w14:paraId="73499D06" w14:textId="2BC8E2E7" w:rsidR="00B35E5B" w:rsidRPr="008D21F0" w:rsidRDefault="00B35E5B" w:rsidP="00937ED9">
      <w:pPr>
        <w:pStyle w:val="Textoembloco"/>
        <w:spacing w:after="120" w:line="240" w:lineRule="auto"/>
        <w:ind w:left="0" w:right="57"/>
        <w:rPr>
          <w:rFonts w:ascii="Calibri" w:hAnsi="Calibri" w:cs="Calibri"/>
          <w:sz w:val="22"/>
          <w:szCs w:val="22"/>
          <w:shd w:val="clear" w:color="auto" w:fill="FFFFFF"/>
        </w:rPr>
      </w:pPr>
      <w:r w:rsidRPr="008D21F0">
        <w:rPr>
          <w:rFonts w:ascii="Calibri" w:hAnsi="Calibri" w:cs="Calibri"/>
          <w:sz w:val="22"/>
          <w:szCs w:val="22"/>
          <w:shd w:val="clear" w:color="auto" w:fill="FFFFFF"/>
        </w:rPr>
        <w:t xml:space="preserve">As provisões classificadas como perdas possíveis pela </w:t>
      </w:r>
      <w:r w:rsidR="00FF1CB6" w:rsidRPr="008D21F0">
        <w:rPr>
          <w:rFonts w:ascii="Calibri" w:hAnsi="Calibri" w:cs="Calibri"/>
          <w:sz w:val="22"/>
          <w:szCs w:val="22"/>
          <w:shd w:val="clear" w:color="auto" w:fill="FFFFFF"/>
        </w:rPr>
        <w:t>Procuradoria</w:t>
      </w:r>
      <w:r w:rsidRPr="008D21F0">
        <w:rPr>
          <w:rFonts w:ascii="Calibri" w:hAnsi="Calibri" w:cs="Calibri"/>
          <w:sz w:val="22"/>
          <w:szCs w:val="22"/>
          <w:shd w:val="clear" w:color="auto" w:fill="FFFFFF"/>
        </w:rPr>
        <w:t xml:space="preserve"> Jurídica são divulgadas com base na perda histórica, enquanto aquelas classificadas como perda remota não são passíveis de provisão e divulgação.</w:t>
      </w:r>
    </w:p>
    <w:p w14:paraId="54B5768F" w14:textId="017B95A5" w:rsidR="002901F5" w:rsidRPr="008D21F0" w:rsidRDefault="002901F5" w:rsidP="00937ED9">
      <w:pPr>
        <w:pStyle w:val="Textoembloco"/>
        <w:spacing w:after="120" w:line="240" w:lineRule="auto"/>
        <w:ind w:left="0" w:right="57"/>
        <w:rPr>
          <w:rFonts w:ascii="Calibri" w:hAnsi="Calibri" w:cs="Calibri"/>
          <w:sz w:val="22"/>
          <w:szCs w:val="22"/>
          <w:shd w:val="clear" w:color="auto" w:fill="FFFFFF"/>
        </w:rPr>
      </w:pPr>
      <w:r w:rsidRPr="008D21F0">
        <w:rPr>
          <w:rFonts w:ascii="Calibri" w:hAnsi="Calibri" w:cs="Calibri"/>
          <w:sz w:val="22"/>
          <w:szCs w:val="22"/>
          <w:shd w:val="clear" w:color="auto" w:fill="FFFFFF"/>
        </w:rPr>
        <w:t>Conforme o CPC 25 - Provisões, Passivos Contingentes e Ativos Contingentes, as provisões devem ser reavaliadas em cada data de balanço e ajustadas para refletir a melhor estimativa corrente. Se já não for mais provável que seja necessária uma saída de recursos que incorporam benefícios econômicos futuros para liquidar a obrigação, a provisão deve ser revertida.</w:t>
      </w:r>
    </w:p>
    <w:p w14:paraId="7D288319" w14:textId="5448CA20" w:rsidR="007D6164" w:rsidRPr="007D6164" w:rsidRDefault="007D6164" w:rsidP="00937ED9">
      <w:pPr>
        <w:pStyle w:val="Textoembloco"/>
        <w:spacing w:after="120" w:line="240" w:lineRule="auto"/>
        <w:ind w:left="0" w:right="57"/>
        <w:rPr>
          <w:rFonts w:ascii="Calibri" w:hAnsi="Calibri" w:cs="Calibri"/>
          <w:b/>
          <w:bCs w:val="0"/>
          <w:sz w:val="22"/>
          <w:szCs w:val="22"/>
          <w:shd w:val="clear" w:color="auto" w:fill="FFFFFF"/>
        </w:rPr>
      </w:pPr>
      <w:r w:rsidRPr="008D21F0">
        <w:rPr>
          <w:rFonts w:ascii="Calibri" w:hAnsi="Calibri" w:cs="Calibri"/>
          <w:b/>
          <w:bCs w:val="0"/>
          <w:sz w:val="22"/>
          <w:szCs w:val="22"/>
          <w:shd w:val="clear" w:color="auto" w:fill="FFFFFF"/>
        </w:rPr>
        <w:t>b.1) Critérios de Reconhecimento e Mensuração:</w:t>
      </w:r>
    </w:p>
    <w:p w14:paraId="0373EFED" w14:textId="60C2B628" w:rsidR="00D04C58" w:rsidRDefault="002901F5" w:rsidP="00937ED9">
      <w:pPr>
        <w:pStyle w:val="Textoembloco"/>
        <w:spacing w:after="120" w:line="240" w:lineRule="auto"/>
        <w:ind w:left="0" w:right="57"/>
        <w:rPr>
          <w:rFonts w:ascii="Calibri" w:hAnsi="Calibri" w:cs="Calibri"/>
          <w:sz w:val="22"/>
          <w:szCs w:val="22"/>
          <w:shd w:val="clear" w:color="auto" w:fill="FFFFFF"/>
        </w:rPr>
      </w:pPr>
      <w:r>
        <w:rPr>
          <w:rFonts w:ascii="Calibri" w:hAnsi="Calibri" w:cs="Calibri"/>
          <w:sz w:val="22"/>
          <w:szCs w:val="22"/>
          <w:shd w:val="clear" w:color="auto" w:fill="FFFFFF"/>
        </w:rPr>
        <w:t>Visando o aprimoramento dos controles internos e consequentemente da informação sobre as provisões contingenciais, a</w:t>
      </w:r>
      <w:r w:rsidR="00475538" w:rsidRPr="00D04C58">
        <w:rPr>
          <w:rFonts w:ascii="Calibri" w:hAnsi="Calibri" w:cs="Calibri"/>
          <w:sz w:val="22"/>
          <w:szCs w:val="22"/>
          <w:shd w:val="clear" w:color="auto" w:fill="FFFFFF"/>
        </w:rPr>
        <w:t xml:space="preserve"> Procuradoria Jurídica da VALEC elaborou a Norma de Provisões e Contingências Judiciais na VALEC, regulamentada pela Resolução Normativa nº 04/2021/DIREX, de 07 de julho de 2021, a qual </w:t>
      </w:r>
      <w:r w:rsidR="00D04C58" w:rsidRPr="00D04C58">
        <w:rPr>
          <w:rFonts w:ascii="Calibri" w:hAnsi="Calibri" w:cs="Calibri"/>
          <w:sz w:val="22"/>
          <w:szCs w:val="22"/>
          <w:shd w:val="clear" w:color="auto" w:fill="FFFFFF"/>
        </w:rPr>
        <w:t xml:space="preserve">dispõe sobre os procedimentos de avaliação e classificação de riscos de processos judiciais e o reconhecimento de provisões e contingências judiciais. </w:t>
      </w:r>
    </w:p>
    <w:p w14:paraId="7C4F9EF8" w14:textId="63EB5327" w:rsidR="00F63870" w:rsidRDefault="00475538" w:rsidP="00937ED9">
      <w:pPr>
        <w:pStyle w:val="Textoembloco"/>
        <w:spacing w:after="120" w:line="240" w:lineRule="auto"/>
        <w:ind w:left="0" w:right="57"/>
        <w:rPr>
          <w:rFonts w:ascii="Calibri" w:hAnsi="Calibri" w:cs="Calibri"/>
          <w:sz w:val="22"/>
          <w:szCs w:val="22"/>
          <w:shd w:val="clear" w:color="auto" w:fill="FFFFFF"/>
        </w:rPr>
      </w:pPr>
      <w:r w:rsidRPr="00D04C58">
        <w:rPr>
          <w:rFonts w:ascii="Calibri" w:hAnsi="Calibri" w:cs="Calibri"/>
          <w:sz w:val="22"/>
          <w:szCs w:val="22"/>
          <w:shd w:val="clear" w:color="auto" w:fill="FFFFFF"/>
        </w:rPr>
        <w:t>Essa Resolução Normativa trata</w:t>
      </w:r>
      <w:r w:rsidR="00D04C58">
        <w:rPr>
          <w:rFonts w:ascii="Calibri" w:hAnsi="Calibri" w:cs="Calibri"/>
          <w:sz w:val="22"/>
          <w:szCs w:val="22"/>
          <w:shd w:val="clear" w:color="auto" w:fill="FFFFFF"/>
        </w:rPr>
        <w:t xml:space="preserve"> ainda</w:t>
      </w:r>
      <w:r w:rsidRPr="00D04C58">
        <w:rPr>
          <w:rFonts w:ascii="Calibri" w:hAnsi="Calibri" w:cs="Calibri"/>
          <w:sz w:val="22"/>
          <w:szCs w:val="22"/>
          <w:shd w:val="clear" w:color="auto" w:fill="FFFFFF"/>
        </w:rPr>
        <w:t xml:space="preserve"> da valoração das ações, as quais passar</w:t>
      </w:r>
      <w:r w:rsidR="00D04C58">
        <w:rPr>
          <w:rFonts w:ascii="Calibri" w:hAnsi="Calibri" w:cs="Calibri"/>
          <w:sz w:val="22"/>
          <w:szCs w:val="22"/>
          <w:shd w:val="clear" w:color="auto" w:fill="FFFFFF"/>
        </w:rPr>
        <w:t>am</w:t>
      </w:r>
      <w:r w:rsidRPr="00D04C58">
        <w:rPr>
          <w:rFonts w:ascii="Calibri" w:hAnsi="Calibri" w:cs="Calibri"/>
          <w:sz w:val="22"/>
          <w:szCs w:val="22"/>
          <w:shd w:val="clear" w:color="auto" w:fill="FFFFFF"/>
        </w:rPr>
        <w:t xml:space="preserve"> a ser com base no desenvolvimento do processo judicial</w:t>
      </w:r>
      <w:r w:rsidR="00D04C58">
        <w:rPr>
          <w:rFonts w:ascii="Calibri" w:hAnsi="Calibri" w:cs="Calibri"/>
          <w:sz w:val="22"/>
          <w:szCs w:val="22"/>
          <w:shd w:val="clear" w:color="auto" w:fill="FFFFFF"/>
        </w:rPr>
        <w:t xml:space="preserve">, não sendo mais efetuada a atualização monetária conforme metodologia utilizada até o exercício de 2020. </w:t>
      </w:r>
    </w:p>
    <w:p w14:paraId="29650F0A" w14:textId="7606458F" w:rsidR="00EC601E" w:rsidRDefault="00D04C58" w:rsidP="00EC601E">
      <w:pPr>
        <w:pStyle w:val="Textoembloco"/>
        <w:spacing w:after="120" w:line="240" w:lineRule="auto"/>
        <w:ind w:left="0" w:right="57"/>
        <w:rPr>
          <w:rFonts w:ascii="Calibri" w:hAnsi="Calibri" w:cs="Calibri"/>
          <w:sz w:val="22"/>
          <w:szCs w:val="22"/>
          <w:shd w:val="clear" w:color="auto" w:fill="FFFFFF"/>
        </w:rPr>
      </w:pPr>
      <w:r>
        <w:rPr>
          <w:rFonts w:ascii="Calibri" w:hAnsi="Calibri" w:cs="Calibri"/>
          <w:sz w:val="22"/>
          <w:szCs w:val="22"/>
          <w:shd w:val="clear" w:color="auto" w:fill="FFFFFF"/>
        </w:rPr>
        <w:t xml:space="preserve">A Procuradoria Jurídica após levantamento e aplicação da nova metodologia baseada na </w:t>
      </w:r>
      <w:r w:rsidRPr="00D04C58">
        <w:rPr>
          <w:rFonts w:ascii="Calibri" w:hAnsi="Calibri" w:cs="Calibri"/>
          <w:sz w:val="22"/>
          <w:szCs w:val="22"/>
          <w:shd w:val="clear" w:color="auto" w:fill="FFFFFF"/>
        </w:rPr>
        <w:t>Resolução Normativa nº 04/2021/DIREX</w:t>
      </w:r>
      <w:r w:rsidR="00AF6050">
        <w:rPr>
          <w:rFonts w:ascii="Calibri" w:hAnsi="Calibri" w:cs="Calibri"/>
          <w:sz w:val="22"/>
          <w:szCs w:val="22"/>
          <w:shd w:val="clear" w:color="auto" w:fill="FFFFFF"/>
        </w:rPr>
        <w:t xml:space="preserve"> encaminh</w:t>
      </w:r>
      <w:r w:rsidR="00E83F1D">
        <w:rPr>
          <w:rFonts w:ascii="Calibri" w:hAnsi="Calibri" w:cs="Calibri"/>
          <w:sz w:val="22"/>
          <w:szCs w:val="22"/>
          <w:shd w:val="clear" w:color="auto" w:fill="FFFFFF"/>
        </w:rPr>
        <w:t xml:space="preserve">a mensalmente </w:t>
      </w:r>
      <w:r w:rsidR="00AF6050">
        <w:rPr>
          <w:rFonts w:ascii="Calibri" w:hAnsi="Calibri" w:cs="Calibri"/>
          <w:sz w:val="22"/>
          <w:szCs w:val="22"/>
          <w:shd w:val="clear" w:color="auto" w:fill="FFFFFF"/>
        </w:rPr>
        <w:t xml:space="preserve">as informações </w:t>
      </w:r>
      <w:r w:rsidR="00EC601E">
        <w:rPr>
          <w:rFonts w:ascii="Calibri" w:hAnsi="Calibri" w:cs="Calibri"/>
          <w:sz w:val="22"/>
          <w:szCs w:val="22"/>
          <w:shd w:val="clear" w:color="auto" w:fill="FFFFFF"/>
        </w:rPr>
        <w:t>necessárias para o reconhecimento das provisões e passivos contingenciais</w:t>
      </w:r>
      <w:r w:rsidR="00E83F1D">
        <w:rPr>
          <w:rFonts w:ascii="Calibri" w:hAnsi="Calibri" w:cs="Calibri"/>
          <w:sz w:val="22"/>
          <w:szCs w:val="22"/>
          <w:shd w:val="clear" w:color="auto" w:fill="FFFFFF"/>
        </w:rPr>
        <w:t>.</w:t>
      </w:r>
    </w:p>
    <w:p w14:paraId="0D87B143" w14:textId="77777777" w:rsidR="00EC601E" w:rsidRPr="00EC601E" w:rsidRDefault="00EC601E" w:rsidP="00EC601E">
      <w:pPr>
        <w:pStyle w:val="Textoembloco"/>
        <w:spacing w:after="120" w:line="240" w:lineRule="auto"/>
        <w:ind w:left="0" w:right="57"/>
        <w:rPr>
          <w:rFonts w:ascii="Calibri" w:hAnsi="Calibri" w:cs="Calibri"/>
          <w:sz w:val="22"/>
          <w:szCs w:val="22"/>
          <w:shd w:val="clear" w:color="auto" w:fill="FFFFFF"/>
        </w:rPr>
      </w:pPr>
      <w:r w:rsidRPr="00EC601E">
        <w:rPr>
          <w:rFonts w:ascii="Calibri" w:hAnsi="Calibri" w:cs="Calibri"/>
          <w:sz w:val="22"/>
          <w:szCs w:val="22"/>
          <w:shd w:val="clear" w:color="auto" w:fill="FFFFFF"/>
        </w:rPr>
        <w:t>As premissas utilizadas na nova metodologia foram:</w:t>
      </w:r>
    </w:p>
    <w:p w14:paraId="11AAA5A2" w14:textId="533C6B80" w:rsidR="00BD2A00" w:rsidRPr="00BD2A00" w:rsidRDefault="00BD2A00" w:rsidP="00BD2A00">
      <w:pPr>
        <w:pStyle w:val="Textoembloco"/>
        <w:numPr>
          <w:ilvl w:val="0"/>
          <w:numId w:val="42"/>
        </w:numPr>
        <w:spacing w:after="120" w:line="240" w:lineRule="auto"/>
        <w:ind w:right="57"/>
        <w:rPr>
          <w:rFonts w:ascii="Calibri" w:hAnsi="Calibri" w:cs="Calibri"/>
          <w:sz w:val="22"/>
          <w:szCs w:val="22"/>
          <w:shd w:val="clear" w:color="auto" w:fill="FFFFFF"/>
        </w:rPr>
      </w:pPr>
      <w:r>
        <w:rPr>
          <w:rFonts w:ascii="Calibri" w:hAnsi="Calibri" w:cs="Calibri"/>
          <w:sz w:val="22"/>
          <w:szCs w:val="22"/>
          <w:shd w:val="clear" w:color="auto" w:fill="FFFFFF"/>
        </w:rPr>
        <w:t>C</w:t>
      </w:r>
      <w:r w:rsidRPr="00EC601E">
        <w:rPr>
          <w:rFonts w:ascii="Calibri" w:hAnsi="Calibri" w:cs="Calibri"/>
          <w:sz w:val="22"/>
          <w:szCs w:val="22"/>
          <w:shd w:val="clear" w:color="auto" w:fill="FFFFFF"/>
        </w:rPr>
        <w:t>lassificaç</w:t>
      </w:r>
      <w:r>
        <w:rPr>
          <w:rFonts w:ascii="Calibri" w:hAnsi="Calibri" w:cs="Calibri"/>
          <w:sz w:val="22"/>
          <w:szCs w:val="22"/>
          <w:shd w:val="clear" w:color="auto" w:fill="FFFFFF"/>
        </w:rPr>
        <w:t>ões</w:t>
      </w:r>
      <w:r w:rsidRPr="00EC601E">
        <w:rPr>
          <w:rFonts w:ascii="Calibri" w:hAnsi="Calibri" w:cs="Calibri"/>
          <w:sz w:val="22"/>
          <w:szCs w:val="22"/>
          <w:shd w:val="clear" w:color="auto" w:fill="FFFFFF"/>
        </w:rPr>
        <w:t xml:space="preserve"> de riscos</w:t>
      </w:r>
      <w:r>
        <w:rPr>
          <w:rFonts w:ascii="Calibri" w:hAnsi="Calibri" w:cs="Calibri"/>
          <w:sz w:val="22"/>
          <w:szCs w:val="22"/>
          <w:shd w:val="clear" w:color="auto" w:fill="FFFFFF"/>
        </w:rPr>
        <w:t>: realizadas</w:t>
      </w:r>
      <w:r w:rsidRPr="00EC601E">
        <w:rPr>
          <w:rFonts w:ascii="Calibri" w:hAnsi="Calibri" w:cs="Calibri"/>
          <w:sz w:val="22"/>
          <w:szCs w:val="22"/>
          <w:shd w:val="clear" w:color="auto" w:fill="FFFFFF"/>
        </w:rPr>
        <w:t xml:space="preserve"> por avaliação do advogado responsável pela causa considerando o resultado dos eventos relevantes do processo (instrução processual; sentença; acórdão)</w:t>
      </w:r>
      <w:r>
        <w:rPr>
          <w:rFonts w:ascii="Calibri" w:hAnsi="Calibri" w:cs="Calibri"/>
          <w:sz w:val="22"/>
          <w:szCs w:val="22"/>
          <w:shd w:val="clear" w:color="auto" w:fill="FFFFFF"/>
        </w:rPr>
        <w:t xml:space="preserve">, </w:t>
      </w:r>
    </w:p>
    <w:p w14:paraId="4FF4E098" w14:textId="2E0F664F" w:rsidR="00BD2A00" w:rsidRPr="00BD2A00" w:rsidRDefault="00BD2A00" w:rsidP="00BD2A00">
      <w:pPr>
        <w:pStyle w:val="Textoembloco"/>
        <w:numPr>
          <w:ilvl w:val="0"/>
          <w:numId w:val="42"/>
        </w:numPr>
        <w:spacing w:after="120" w:line="240" w:lineRule="auto"/>
        <w:ind w:right="57"/>
        <w:rPr>
          <w:rFonts w:ascii="Calibri" w:hAnsi="Calibri" w:cs="Calibri"/>
          <w:sz w:val="22"/>
          <w:szCs w:val="22"/>
          <w:shd w:val="clear" w:color="auto" w:fill="FFFFFF"/>
        </w:rPr>
      </w:pPr>
      <w:r>
        <w:rPr>
          <w:rFonts w:ascii="Calibri" w:hAnsi="Calibri" w:cs="Calibri"/>
          <w:sz w:val="22"/>
          <w:szCs w:val="22"/>
          <w:shd w:val="clear" w:color="auto" w:fill="FFFFFF"/>
        </w:rPr>
        <w:t>Mensuração: o</w:t>
      </w:r>
      <w:r w:rsidRPr="00EC601E">
        <w:rPr>
          <w:rFonts w:ascii="Calibri" w:hAnsi="Calibri" w:cs="Calibri"/>
          <w:sz w:val="22"/>
          <w:szCs w:val="22"/>
          <w:shd w:val="clear" w:color="auto" w:fill="FFFFFF"/>
        </w:rPr>
        <w:t xml:space="preserve"> valor da contingência corresponde ao valor nominal do último evento relevante no processo judicial (perícia, quando houver; sentença; acórdão; liquidação e trânsito em julgado)</w:t>
      </w:r>
      <w:r>
        <w:rPr>
          <w:rFonts w:ascii="Calibri" w:hAnsi="Calibri" w:cs="Calibri"/>
          <w:sz w:val="22"/>
          <w:szCs w:val="22"/>
          <w:shd w:val="clear" w:color="auto" w:fill="FFFFFF"/>
        </w:rPr>
        <w:t xml:space="preserve">, utilizando os parâmetros definidos </w:t>
      </w:r>
      <w:r w:rsidRPr="00EC601E">
        <w:rPr>
          <w:rFonts w:ascii="Calibri" w:hAnsi="Calibri" w:cs="Calibri"/>
          <w:sz w:val="22"/>
          <w:szCs w:val="22"/>
          <w:shd w:val="clear" w:color="auto" w:fill="FFFFFF"/>
        </w:rPr>
        <w:t>Resolução Normativa nº 4/2021/DIREX-VALEC/PRESI-VALEC,</w:t>
      </w:r>
      <w:r>
        <w:rPr>
          <w:rFonts w:ascii="Calibri" w:hAnsi="Calibri" w:cs="Calibri"/>
          <w:sz w:val="22"/>
          <w:szCs w:val="22"/>
          <w:shd w:val="clear" w:color="auto" w:fill="FFFFFF"/>
        </w:rPr>
        <w:t xml:space="preserve"> </w:t>
      </w:r>
      <w:r w:rsidRPr="00EC601E">
        <w:rPr>
          <w:rFonts w:ascii="Calibri" w:hAnsi="Calibri" w:cs="Calibri"/>
          <w:sz w:val="22"/>
          <w:szCs w:val="22"/>
          <w:shd w:val="clear" w:color="auto" w:fill="FFFFFF"/>
        </w:rPr>
        <w:t>associado a outras orientações técnicas das resp</w:t>
      </w:r>
      <w:r>
        <w:rPr>
          <w:rFonts w:ascii="Calibri" w:hAnsi="Calibri" w:cs="Calibri"/>
          <w:sz w:val="22"/>
          <w:szCs w:val="22"/>
          <w:shd w:val="clear" w:color="auto" w:fill="FFFFFF"/>
        </w:rPr>
        <w:t>e</w:t>
      </w:r>
      <w:r w:rsidRPr="00EC601E">
        <w:rPr>
          <w:rFonts w:ascii="Calibri" w:hAnsi="Calibri" w:cs="Calibri"/>
          <w:sz w:val="22"/>
          <w:szCs w:val="22"/>
          <w:shd w:val="clear" w:color="auto" w:fill="FFFFFF"/>
        </w:rPr>
        <w:t>ctivas áreas de conhecimento; </w:t>
      </w:r>
    </w:p>
    <w:p w14:paraId="6F28BAFF" w14:textId="77777777" w:rsidR="00BD2A00" w:rsidRPr="00BD2A00" w:rsidRDefault="00BD2A00" w:rsidP="00BD2A00">
      <w:pPr>
        <w:pStyle w:val="Textoembloco"/>
        <w:numPr>
          <w:ilvl w:val="0"/>
          <w:numId w:val="42"/>
        </w:numPr>
        <w:spacing w:after="120" w:line="240" w:lineRule="auto"/>
        <w:ind w:right="57"/>
        <w:rPr>
          <w:rFonts w:asciiTheme="minorHAnsi" w:hAnsiTheme="minorHAnsi" w:cstheme="minorHAnsi"/>
          <w:sz w:val="22"/>
          <w:szCs w:val="22"/>
          <w:shd w:val="clear" w:color="auto" w:fill="FFFFFF"/>
        </w:rPr>
      </w:pPr>
      <w:r>
        <w:rPr>
          <w:rFonts w:ascii="Calibri" w:hAnsi="Calibri" w:cs="Calibri"/>
          <w:sz w:val="22"/>
          <w:szCs w:val="22"/>
          <w:shd w:val="clear" w:color="auto" w:fill="FFFFFF"/>
        </w:rPr>
        <w:lastRenderedPageBreak/>
        <w:t>Prazo: o</w:t>
      </w:r>
      <w:r w:rsidR="00AF6050" w:rsidRPr="00BD2A00">
        <w:rPr>
          <w:rFonts w:ascii="Calibri" w:hAnsi="Calibri" w:cs="Calibri"/>
          <w:sz w:val="22"/>
          <w:szCs w:val="22"/>
          <w:shd w:val="clear" w:color="auto" w:fill="FFFFFF"/>
        </w:rPr>
        <w:t xml:space="preserve"> prazo foi determinado pelo estágio em que se encontra o feito, com fundamento no tempo de duração dos processos contido no anuário "Justiça em Números", de modo que o que está em primeira ou </w:t>
      </w:r>
      <w:r w:rsidR="00AF6050" w:rsidRPr="00BD2A00">
        <w:rPr>
          <w:rFonts w:asciiTheme="minorHAnsi" w:hAnsiTheme="minorHAnsi" w:cstheme="minorHAnsi"/>
          <w:sz w:val="22"/>
          <w:szCs w:val="22"/>
          <w:shd w:val="clear" w:color="auto" w:fill="FFFFFF"/>
        </w:rPr>
        <w:t>segunda instância foi considerado como de longo prazo;</w:t>
      </w:r>
    </w:p>
    <w:p w14:paraId="1626C39E" w14:textId="02955531" w:rsidR="00AF6050" w:rsidRDefault="00BD2A00" w:rsidP="00BD2A00">
      <w:pPr>
        <w:pStyle w:val="Textoembloco"/>
        <w:numPr>
          <w:ilvl w:val="0"/>
          <w:numId w:val="42"/>
        </w:numPr>
        <w:spacing w:after="120" w:line="240" w:lineRule="auto"/>
        <w:ind w:right="57"/>
        <w:rPr>
          <w:rFonts w:asciiTheme="minorHAnsi" w:hAnsiTheme="minorHAnsi" w:cstheme="minorHAnsi"/>
          <w:sz w:val="22"/>
          <w:szCs w:val="22"/>
          <w:shd w:val="clear" w:color="auto" w:fill="FFFFFF"/>
        </w:rPr>
      </w:pPr>
      <w:r w:rsidRPr="00BD2A00">
        <w:rPr>
          <w:rFonts w:asciiTheme="minorHAnsi" w:hAnsiTheme="minorHAnsi" w:cstheme="minorHAnsi"/>
          <w:sz w:val="22"/>
          <w:szCs w:val="22"/>
          <w:shd w:val="clear" w:color="auto" w:fill="FFFFFF"/>
        </w:rPr>
        <w:t xml:space="preserve">Limitações: </w:t>
      </w:r>
      <w:r w:rsidR="00AF6050" w:rsidRPr="00BD2A00">
        <w:rPr>
          <w:rFonts w:asciiTheme="minorHAnsi" w:hAnsiTheme="minorHAnsi" w:cstheme="minorHAnsi"/>
          <w:sz w:val="22"/>
          <w:szCs w:val="22"/>
          <w:shd w:val="clear" w:color="auto" w:fill="FFFFFF"/>
        </w:rPr>
        <w:t>Não foram consideradas ações vinculadas aos processos principais (a exemplo de agravos de instrumento), ao intuito de evitar a duplicidade de valores, tendo em vista que o risco de perda nestes casos já foi analisado no risco de perda da ação principal</w:t>
      </w:r>
      <w:r>
        <w:rPr>
          <w:rFonts w:asciiTheme="minorHAnsi" w:hAnsiTheme="minorHAnsi" w:cstheme="minorHAnsi"/>
          <w:sz w:val="22"/>
          <w:szCs w:val="22"/>
          <w:shd w:val="clear" w:color="auto" w:fill="FFFFFF"/>
        </w:rPr>
        <w:t>;</w:t>
      </w:r>
    </w:p>
    <w:p w14:paraId="682B3600" w14:textId="0FF2DC60" w:rsidR="00AF6050" w:rsidRDefault="00BD2A00" w:rsidP="00BD2A00">
      <w:pPr>
        <w:pStyle w:val="Textoembloco"/>
        <w:numPr>
          <w:ilvl w:val="0"/>
          <w:numId w:val="42"/>
        </w:numPr>
        <w:spacing w:after="120" w:line="240" w:lineRule="auto"/>
        <w:ind w:right="57"/>
        <w:rPr>
          <w:rFonts w:asciiTheme="minorHAnsi" w:hAnsiTheme="minorHAnsi" w:cstheme="minorHAnsi"/>
          <w:sz w:val="22"/>
          <w:szCs w:val="22"/>
          <w:shd w:val="clear" w:color="auto" w:fill="FFFFFF"/>
        </w:rPr>
      </w:pPr>
      <w:r>
        <w:rPr>
          <w:rFonts w:asciiTheme="minorHAnsi" w:hAnsiTheme="minorHAnsi" w:cstheme="minorHAnsi"/>
          <w:sz w:val="22"/>
          <w:szCs w:val="22"/>
          <w:shd w:val="clear" w:color="auto" w:fill="FFFFFF"/>
        </w:rPr>
        <w:t xml:space="preserve">Ações de desapropriações: </w:t>
      </w:r>
      <w:r w:rsidR="00AF6050" w:rsidRPr="00BD2A00">
        <w:rPr>
          <w:rFonts w:asciiTheme="minorHAnsi" w:hAnsiTheme="minorHAnsi" w:cstheme="minorHAnsi"/>
          <w:sz w:val="22"/>
          <w:szCs w:val="22"/>
          <w:shd w:val="clear" w:color="auto" w:fill="FFFFFF"/>
        </w:rPr>
        <w:t>o valor das decisões foi subtraído do valor de depósito já efetuado em juízo para obter a imissão na posse, cujo montante representa o mínimo da condenação possível e que, pela própria natureza da causa, não pode ser recuperado pela V</w:t>
      </w:r>
      <w:r>
        <w:rPr>
          <w:rFonts w:asciiTheme="minorHAnsi" w:hAnsiTheme="minorHAnsi" w:cstheme="minorHAnsi"/>
          <w:sz w:val="22"/>
          <w:szCs w:val="22"/>
          <w:shd w:val="clear" w:color="auto" w:fill="FFFFFF"/>
        </w:rPr>
        <w:t>ALEC</w:t>
      </w:r>
      <w:r w:rsidR="00AF6050" w:rsidRPr="00BD2A00">
        <w:rPr>
          <w:rFonts w:asciiTheme="minorHAnsi" w:hAnsiTheme="minorHAnsi" w:cstheme="minorHAnsi"/>
          <w:sz w:val="22"/>
          <w:szCs w:val="22"/>
          <w:shd w:val="clear" w:color="auto" w:fill="FFFFFF"/>
        </w:rPr>
        <w:t>;</w:t>
      </w:r>
    </w:p>
    <w:p w14:paraId="62722FC0" w14:textId="4A2195A7" w:rsidR="006E0CFB" w:rsidRPr="007D6164" w:rsidRDefault="006E0CFB" w:rsidP="00BE578F">
      <w:pPr>
        <w:pStyle w:val="Textoembloco"/>
        <w:spacing w:after="120" w:line="240" w:lineRule="auto"/>
        <w:ind w:left="0" w:right="57"/>
        <w:rPr>
          <w:rFonts w:ascii="Calibri" w:hAnsi="Calibri" w:cs="Calibri"/>
          <w:b/>
          <w:bCs w:val="0"/>
          <w:sz w:val="22"/>
          <w:szCs w:val="22"/>
          <w:shd w:val="clear" w:color="auto" w:fill="FFFFFF"/>
        </w:rPr>
      </w:pPr>
      <w:r w:rsidRPr="008D21F0">
        <w:rPr>
          <w:rFonts w:ascii="Calibri" w:hAnsi="Calibri" w:cs="Calibri"/>
          <w:b/>
          <w:bCs w:val="0"/>
          <w:sz w:val="22"/>
          <w:szCs w:val="22"/>
          <w:shd w:val="clear" w:color="auto" w:fill="FFFFFF"/>
        </w:rPr>
        <w:t>b.</w:t>
      </w:r>
      <w:r w:rsidR="007D6164" w:rsidRPr="008D21F0">
        <w:rPr>
          <w:rFonts w:ascii="Calibri" w:hAnsi="Calibri" w:cs="Calibri"/>
          <w:b/>
          <w:bCs w:val="0"/>
          <w:sz w:val="22"/>
          <w:szCs w:val="22"/>
          <w:shd w:val="clear" w:color="auto" w:fill="FFFFFF"/>
        </w:rPr>
        <w:t>2</w:t>
      </w:r>
      <w:r w:rsidRPr="008D21F0">
        <w:rPr>
          <w:rFonts w:ascii="Calibri" w:hAnsi="Calibri" w:cs="Calibri"/>
          <w:b/>
          <w:bCs w:val="0"/>
          <w:sz w:val="22"/>
          <w:szCs w:val="22"/>
          <w:shd w:val="clear" w:color="auto" w:fill="FFFFFF"/>
        </w:rPr>
        <w:t xml:space="preserve">) </w:t>
      </w:r>
      <w:r w:rsidR="007D6164" w:rsidRPr="008D21F0">
        <w:rPr>
          <w:rFonts w:ascii="Calibri" w:hAnsi="Calibri" w:cs="Calibri"/>
          <w:b/>
          <w:bCs w:val="0"/>
          <w:sz w:val="22"/>
          <w:szCs w:val="22"/>
          <w:shd w:val="clear" w:color="auto" w:fill="FFFFFF"/>
        </w:rPr>
        <w:t>Ações com Risco de Perda Provável:</w:t>
      </w:r>
    </w:p>
    <w:p w14:paraId="67797BA2" w14:textId="15FFB3F5" w:rsidR="00BE578F" w:rsidRDefault="00ED700A" w:rsidP="00BE578F">
      <w:pPr>
        <w:pStyle w:val="Textoembloco"/>
        <w:spacing w:after="120" w:line="240" w:lineRule="auto"/>
        <w:ind w:left="0" w:right="57"/>
        <w:rPr>
          <w:rFonts w:ascii="Calibri" w:hAnsi="Calibri" w:cs="Calibri"/>
          <w:sz w:val="22"/>
          <w:szCs w:val="22"/>
          <w:shd w:val="clear" w:color="auto" w:fill="FFFFFF"/>
        </w:rPr>
      </w:pPr>
      <w:r>
        <w:rPr>
          <w:rFonts w:ascii="Calibri" w:hAnsi="Calibri" w:cs="Calibri"/>
          <w:sz w:val="22"/>
          <w:szCs w:val="22"/>
          <w:shd w:val="clear" w:color="auto" w:fill="FFFFFF"/>
        </w:rPr>
        <w:t>A</w:t>
      </w:r>
      <w:r w:rsidR="00C514C3">
        <w:rPr>
          <w:rFonts w:ascii="Calibri" w:hAnsi="Calibri" w:cs="Calibri"/>
          <w:sz w:val="22"/>
          <w:szCs w:val="22"/>
          <w:shd w:val="clear" w:color="auto" w:fill="FFFFFF"/>
        </w:rPr>
        <w:t xml:space="preserve"> Procuradoria Jurídica apresentou </w:t>
      </w:r>
      <w:r w:rsidR="002901F5">
        <w:rPr>
          <w:rFonts w:ascii="Calibri" w:hAnsi="Calibri" w:cs="Calibri"/>
          <w:sz w:val="22"/>
          <w:szCs w:val="22"/>
          <w:shd w:val="clear" w:color="auto" w:fill="FFFFFF"/>
        </w:rPr>
        <w:t>o</w:t>
      </w:r>
      <w:r w:rsidR="00BE578F" w:rsidRPr="009303E0">
        <w:rPr>
          <w:rFonts w:ascii="Calibri" w:hAnsi="Calibri" w:cs="Calibri"/>
          <w:sz w:val="22"/>
          <w:szCs w:val="22"/>
          <w:shd w:val="clear" w:color="auto" w:fill="FFFFFF"/>
        </w:rPr>
        <w:t>s valores dos processos judiciais classificados como obrigações presentes e com “prováveis” saídas futuras de recursos financeiros</w:t>
      </w:r>
      <w:r>
        <w:rPr>
          <w:rFonts w:ascii="Calibri" w:hAnsi="Calibri" w:cs="Calibri"/>
          <w:sz w:val="22"/>
          <w:szCs w:val="22"/>
          <w:shd w:val="clear" w:color="auto" w:fill="FFFFFF"/>
        </w:rPr>
        <w:t xml:space="preserve"> em 30 de junho de 2022</w:t>
      </w:r>
      <w:r w:rsidR="009139EB">
        <w:rPr>
          <w:rFonts w:ascii="Calibri" w:hAnsi="Calibri" w:cs="Calibri"/>
          <w:sz w:val="22"/>
          <w:szCs w:val="22"/>
          <w:shd w:val="clear" w:color="auto" w:fill="FFFFFF"/>
        </w:rPr>
        <w:t>,</w:t>
      </w:r>
      <w:r>
        <w:rPr>
          <w:rFonts w:ascii="Calibri" w:hAnsi="Calibri" w:cs="Calibri"/>
          <w:sz w:val="22"/>
          <w:szCs w:val="22"/>
          <w:shd w:val="clear" w:color="auto" w:fill="FFFFFF"/>
        </w:rPr>
        <w:t xml:space="preserve"> conforme segue:</w:t>
      </w:r>
    </w:p>
    <w:tbl>
      <w:tblPr>
        <w:tblW w:w="4878" w:type="pct"/>
        <w:jc w:val="center"/>
        <w:tblCellMar>
          <w:left w:w="70" w:type="dxa"/>
          <w:right w:w="70" w:type="dxa"/>
        </w:tblCellMar>
        <w:tblLook w:val="04A0" w:firstRow="1" w:lastRow="0" w:firstColumn="1" w:lastColumn="0" w:noHBand="0" w:noVBand="1"/>
      </w:tblPr>
      <w:tblGrid>
        <w:gridCol w:w="2139"/>
        <w:gridCol w:w="2208"/>
        <w:gridCol w:w="1750"/>
        <w:gridCol w:w="2124"/>
        <w:gridCol w:w="1991"/>
      </w:tblGrid>
      <w:tr w:rsidR="00321669" w:rsidRPr="009303E0" w14:paraId="035B149A" w14:textId="77777777" w:rsidTr="00C553AE">
        <w:trPr>
          <w:trHeight w:val="227"/>
          <w:jc w:val="center"/>
        </w:trPr>
        <w:tc>
          <w:tcPr>
            <w:tcW w:w="1047" w:type="pct"/>
            <w:tcBorders>
              <w:top w:val="nil"/>
              <w:left w:val="nil"/>
              <w:bottom w:val="single" w:sz="8" w:space="0" w:color="auto"/>
              <w:right w:val="nil"/>
            </w:tcBorders>
            <w:shd w:val="clear" w:color="auto" w:fill="auto"/>
            <w:noWrap/>
            <w:vAlign w:val="center"/>
            <w:hideMark/>
          </w:tcPr>
          <w:p w14:paraId="3A88DBFB" w14:textId="77777777" w:rsidR="00321669" w:rsidRPr="009303E0" w:rsidRDefault="00321669" w:rsidP="00670EF5">
            <w:pPr>
              <w:rPr>
                <w:rFonts w:asciiTheme="minorHAnsi" w:hAnsiTheme="minorHAnsi" w:cstheme="minorHAnsi"/>
                <w:b/>
                <w:bCs/>
                <w:color w:val="000000"/>
                <w:sz w:val="16"/>
                <w:szCs w:val="16"/>
              </w:rPr>
            </w:pPr>
            <w:r w:rsidRPr="009303E0">
              <w:rPr>
                <w:rFonts w:asciiTheme="minorHAnsi" w:hAnsiTheme="minorHAnsi" w:cstheme="minorHAnsi"/>
                <w:b/>
                <w:bCs/>
                <w:color w:val="000000"/>
                <w:sz w:val="16"/>
                <w:szCs w:val="16"/>
              </w:rPr>
              <w:t>AÇÕES</w:t>
            </w:r>
          </w:p>
        </w:tc>
        <w:tc>
          <w:tcPr>
            <w:tcW w:w="1081" w:type="pct"/>
            <w:tcBorders>
              <w:top w:val="nil"/>
              <w:left w:val="nil"/>
              <w:bottom w:val="single" w:sz="8" w:space="0" w:color="auto"/>
              <w:right w:val="nil"/>
            </w:tcBorders>
          </w:tcPr>
          <w:p w14:paraId="60FFBF61" w14:textId="4359EB15" w:rsidR="00321669" w:rsidRPr="009303E0" w:rsidRDefault="00321669" w:rsidP="00321669">
            <w:pPr>
              <w:jc w:val="right"/>
              <w:rPr>
                <w:rFonts w:asciiTheme="minorHAnsi" w:hAnsiTheme="minorHAnsi" w:cstheme="minorHAnsi"/>
                <w:b/>
                <w:bCs/>
                <w:color w:val="000000"/>
                <w:sz w:val="16"/>
                <w:szCs w:val="16"/>
              </w:rPr>
            </w:pPr>
            <w:r>
              <w:rPr>
                <w:rFonts w:asciiTheme="minorHAnsi" w:hAnsiTheme="minorHAnsi" w:cstheme="minorHAnsi"/>
                <w:b/>
                <w:bCs/>
                <w:color w:val="000000"/>
                <w:sz w:val="16"/>
                <w:szCs w:val="16"/>
              </w:rPr>
              <w:t>SALDO EM 31/12/2021</w:t>
            </w:r>
          </w:p>
        </w:tc>
        <w:tc>
          <w:tcPr>
            <w:tcW w:w="857" w:type="pct"/>
            <w:tcBorders>
              <w:top w:val="nil"/>
              <w:left w:val="nil"/>
              <w:bottom w:val="single" w:sz="8" w:space="0" w:color="auto"/>
              <w:right w:val="nil"/>
            </w:tcBorders>
          </w:tcPr>
          <w:p w14:paraId="149792B8" w14:textId="687430F6" w:rsidR="00321669" w:rsidRPr="009303E0" w:rsidRDefault="00CA0B3B" w:rsidP="00670EF5">
            <w:pPr>
              <w:jc w:val="right"/>
              <w:rPr>
                <w:rFonts w:asciiTheme="minorHAnsi" w:hAnsiTheme="minorHAnsi" w:cstheme="minorHAnsi"/>
                <w:b/>
                <w:bCs/>
                <w:color w:val="000000"/>
                <w:sz w:val="16"/>
                <w:szCs w:val="16"/>
              </w:rPr>
            </w:pPr>
            <w:r>
              <w:rPr>
                <w:rFonts w:asciiTheme="minorHAnsi" w:hAnsiTheme="minorHAnsi" w:cstheme="minorHAnsi"/>
                <w:b/>
                <w:bCs/>
                <w:color w:val="000000"/>
                <w:sz w:val="16"/>
                <w:szCs w:val="16"/>
              </w:rPr>
              <w:t>INGRESSO</w:t>
            </w:r>
          </w:p>
        </w:tc>
        <w:tc>
          <w:tcPr>
            <w:tcW w:w="1040" w:type="pct"/>
            <w:tcBorders>
              <w:top w:val="nil"/>
              <w:left w:val="nil"/>
              <w:bottom w:val="single" w:sz="8" w:space="0" w:color="auto"/>
              <w:right w:val="nil"/>
            </w:tcBorders>
            <w:shd w:val="clear" w:color="auto" w:fill="auto"/>
            <w:vAlign w:val="center"/>
          </w:tcPr>
          <w:p w14:paraId="74E1F34F" w14:textId="6B7F113C" w:rsidR="00321669" w:rsidRPr="009303E0" w:rsidRDefault="00842ACC" w:rsidP="00670EF5">
            <w:pPr>
              <w:jc w:val="right"/>
              <w:rPr>
                <w:rFonts w:asciiTheme="minorHAnsi" w:hAnsiTheme="minorHAnsi" w:cstheme="minorHAnsi"/>
                <w:b/>
                <w:bCs/>
                <w:color w:val="000000"/>
                <w:sz w:val="16"/>
                <w:szCs w:val="16"/>
              </w:rPr>
            </w:pPr>
            <w:r>
              <w:rPr>
                <w:rFonts w:asciiTheme="minorHAnsi" w:hAnsiTheme="minorHAnsi" w:cstheme="minorHAnsi"/>
                <w:b/>
                <w:bCs/>
                <w:color w:val="000000"/>
                <w:sz w:val="16"/>
                <w:szCs w:val="16"/>
              </w:rPr>
              <w:t>BAIXA/</w:t>
            </w:r>
            <w:r w:rsidR="00CA0B3B">
              <w:rPr>
                <w:rFonts w:asciiTheme="minorHAnsi" w:hAnsiTheme="minorHAnsi" w:cstheme="minorHAnsi"/>
                <w:b/>
                <w:bCs/>
                <w:color w:val="000000"/>
                <w:sz w:val="16"/>
                <w:szCs w:val="16"/>
              </w:rPr>
              <w:t>REVERSÃO</w:t>
            </w:r>
          </w:p>
        </w:tc>
        <w:tc>
          <w:tcPr>
            <w:tcW w:w="975" w:type="pct"/>
            <w:tcBorders>
              <w:top w:val="nil"/>
              <w:left w:val="nil"/>
              <w:bottom w:val="single" w:sz="8" w:space="0" w:color="auto"/>
              <w:right w:val="nil"/>
            </w:tcBorders>
            <w:shd w:val="clear" w:color="auto" w:fill="auto"/>
            <w:vAlign w:val="center"/>
            <w:hideMark/>
          </w:tcPr>
          <w:p w14:paraId="1B400DB8" w14:textId="16843518" w:rsidR="00321669" w:rsidRPr="009303E0" w:rsidRDefault="00321669" w:rsidP="00670EF5">
            <w:pPr>
              <w:jc w:val="right"/>
              <w:rPr>
                <w:rFonts w:asciiTheme="minorHAnsi" w:hAnsiTheme="minorHAnsi" w:cstheme="minorHAnsi"/>
                <w:b/>
                <w:bCs/>
                <w:color w:val="000000"/>
                <w:sz w:val="16"/>
                <w:szCs w:val="16"/>
              </w:rPr>
            </w:pPr>
            <w:r>
              <w:rPr>
                <w:rFonts w:asciiTheme="minorHAnsi" w:hAnsiTheme="minorHAnsi" w:cstheme="minorHAnsi"/>
                <w:b/>
                <w:bCs/>
                <w:color w:val="000000"/>
                <w:sz w:val="16"/>
                <w:szCs w:val="16"/>
              </w:rPr>
              <w:t xml:space="preserve">   </w:t>
            </w:r>
            <w:r w:rsidRPr="009303E0">
              <w:rPr>
                <w:rFonts w:asciiTheme="minorHAnsi" w:hAnsiTheme="minorHAnsi" w:cstheme="minorHAnsi"/>
                <w:b/>
                <w:bCs/>
                <w:color w:val="000000"/>
                <w:sz w:val="16"/>
                <w:szCs w:val="16"/>
              </w:rPr>
              <w:t>SALDO EM 3</w:t>
            </w:r>
            <w:r>
              <w:rPr>
                <w:rFonts w:asciiTheme="minorHAnsi" w:hAnsiTheme="minorHAnsi" w:cstheme="minorHAnsi"/>
                <w:b/>
                <w:bCs/>
                <w:color w:val="000000"/>
                <w:sz w:val="16"/>
                <w:szCs w:val="16"/>
              </w:rPr>
              <w:t>0</w:t>
            </w:r>
            <w:r w:rsidRPr="009303E0">
              <w:rPr>
                <w:rFonts w:asciiTheme="minorHAnsi" w:hAnsiTheme="minorHAnsi" w:cstheme="minorHAnsi"/>
                <w:b/>
                <w:bCs/>
                <w:color w:val="000000"/>
                <w:sz w:val="16"/>
                <w:szCs w:val="16"/>
              </w:rPr>
              <w:t>/</w:t>
            </w:r>
            <w:r>
              <w:rPr>
                <w:rFonts w:asciiTheme="minorHAnsi" w:hAnsiTheme="minorHAnsi" w:cstheme="minorHAnsi"/>
                <w:b/>
                <w:bCs/>
                <w:color w:val="000000"/>
                <w:sz w:val="16"/>
                <w:szCs w:val="16"/>
              </w:rPr>
              <w:t>06</w:t>
            </w:r>
            <w:r w:rsidRPr="009303E0">
              <w:rPr>
                <w:rFonts w:asciiTheme="minorHAnsi" w:hAnsiTheme="minorHAnsi" w:cstheme="minorHAnsi"/>
                <w:b/>
                <w:bCs/>
                <w:color w:val="000000"/>
                <w:sz w:val="16"/>
                <w:szCs w:val="16"/>
              </w:rPr>
              <w:t>/202</w:t>
            </w:r>
            <w:r>
              <w:rPr>
                <w:rFonts w:asciiTheme="minorHAnsi" w:hAnsiTheme="minorHAnsi" w:cstheme="minorHAnsi"/>
                <w:b/>
                <w:bCs/>
                <w:color w:val="000000"/>
                <w:sz w:val="16"/>
                <w:szCs w:val="16"/>
              </w:rPr>
              <w:t>2</w:t>
            </w:r>
          </w:p>
        </w:tc>
      </w:tr>
      <w:tr w:rsidR="00CA0B3B" w:rsidRPr="009303E0" w14:paraId="77CAA2FD" w14:textId="77777777" w:rsidTr="00C553AE">
        <w:trPr>
          <w:trHeight w:val="227"/>
          <w:jc w:val="center"/>
        </w:trPr>
        <w:tc>
          <w:tcPr>
            <w:tcW w:w="1047" w:type="pct"/>
            <w:tcBorders>
              <w:top w:val="nil"/>
              <w:left w:val="nil"/>
              <w:bottom w:val="nil"/>
              <w:right w:val="nil"/>
            </w:tcBorders>
            <w:shd w:val="clear" w:color="auto" w:fill="auto"/>
            <w:noWrap/>
            <w:vAlign w:val="bottom"/>
            <w:hideMark/>
          </w:tcPr>
          <w:p w14:paraId="583219BB" w14:textId="77777777" w:rsidR="00CA0B3B" w:rsidRPr="009303E0" w:rsidRDefault="00CA0B3B" w:rsidP="00CA0B3B">
            <w:pPr>
              <w:rPr>
                <w:rFonts w:asciiTheme="minorHAnsi" w:hAnsiTheme="minorHAnsi" w:cstheme="minorHAnsi"/>
                <w:color w:val="000000"/>
                <w:sz w:val="16"/>
                <w:szCs w:val="16"/>
              </w:rPr>
            </w:pPr>
            <w:r w:rsidRPr="009303E0">
              <w:rPr>
                <w:rFonts w:asciiTheme="minorHAnsi" w:hAnsiTheme="minorHAnsi" w:cstheme="minorHAnsi"/>
                <w:color w:val="000000"/>
                <w:sz w:val="16"/>
                <w:szCs w:val="16"/>
              </w:rPr>
              <w:t>Desapropriações</w:t>
            </w:r>
          </w:p>
        </w:tc>
        <w:tc>
          <w:tcPr>
            <w:tcW w:w="1081" w:type="pct"/>
            <w:tcBorders>
              <w:top w:val="nil"/>
              <w:left w:val="nil"/>
              <w:bottom w:val="nil"/>
              <w:right w:val="nil"/>
            </w:tcBorders>
            <w:vAlign w:val="center"/>
          </w:tcPr>
          <w:p w14:paraId="00F1A302" w14:textId="02768D41" w:rsidR="00CA0B3B" w:rsidRPr="009303E0" w:rsidRDefault="00CA0B3B" w:rsidP="00CA0B3B">
            <w:pPr>
              <w:jc w:val="right"/>
              <w:rPr>
                <w:rFonts w:asciiTheme="minorHAnsi" w:hAnsiTheme="minorHAnsi" w:cstheme="minorHAnsi"/>
                <w:color w:val="000000"/>
                <w:sz w:val="16"/>
                <w:szCs w:val="16"/>
              </w:rPr>
            </w:pPr>
            <w:r w:rsidRPr="009303E0">
              <w:rPr>
                <w:rFonts w:asciiTheme="minorHAnsi" w:hAnsiTheme="minorHAnsi" w:cstheme="minorHAnsi"/>
                <w:color w:val="000000"/>
                <w:sz w:val="16"/>
                <w:szCs w:val="16"/>
              </w:rPr>
              <w:t>62.109.631</w:t>
            </w:r>
          </w:p>
        </w:tc>
        <w:tc>
          <w:tcPr>
            <w:tcW w:w="857" w:type="pct"/>
            <w:tcBorders>
              <w:top w:val="nil"/>
              <w:left w:val="nil"/>
              <w:bottom w:val="nil"/>
              <w:right w:val="nil"/>
            </w:tcBorders>
          </w:tcPr>
          <w:p w14:paraId="75FDC806" w14:textId="54067C89" w:rsidR="00CA0B3B" w:rsidRPr="009303E0" w:rsidRDefault="00CA0B3B" w:rsidP="00CA0B3B">
            <w:pPr>
              <w:jc w:val="right"/>
              <w:rPr>
                <w:rFonts w:asciiTheme="minorHAnsi" w:hAnsiTheme="minorHAnsi" w:cstheme="minorHAnsi"/>
                <w:color w:val="000000"/>
                <w:sz w:val="16"/>
                <w:szCs w:val="16"/>
              </w:rPr>
            </w:pPr>
            <w:r>
              <w:rPr>
                <w:rFonts w:asciiTheme="minorHAnsi" w:hAnsiTheme="minorHAnsi" w:cstheme="minorHAnsi"/>
                <w:color w:val="000000"/>
                <w:sz w:val="16"/>
                <w:szCs w:val="16"/>
              </w:rPr>
              <w:t>-</w:t>
            </w:r>
          </w:p>
        </w:tc>
        <w:tc>
          <w:tcPr>
            <w:tcW w:w="1040" w:type="pct"/>
            <w:tcBorders>
              <w:top w:val="nil"/>
              <w:left w:val="nil"/>
              <w:bottom w:val="nil"/>
              <w:right w:val="nil"/>
            </w:tcBorders>
            <w:shd w:val="clear" w:color="auto" w:fill="auto"/>
            <w:noWrap/>
            <w:vAlign w:val="center"/>
          </w:tcPr>
          <w:p w14:paraId="1807AB71" w14:textId="1937D80B" w:rsidR="00CA0B3B" w:rsidRPr="009303E0" w:rsidRDefault="00CA0B3B" w:rsidP="00CA0B3B">
            <w:pPr>
              <w:jc w:val="right"/>
              <w:rPr>
                <w:rFonts w:asciiTheme="minorHAnsi" w:hAnsiTheme="minorHAnsi" w:cstheme="minorHAnsi"/>
                <w:color w:val="000000"/>
                <w:sz w:val="16"/>
                <w:szCs w:val="16"/>
              </w:rPr>
            </w:pPr>
            <w:r>
              <w:rPr>
                <w:rFonts w:asciiTheme="minorHAnsi" w:hAnsiTheme="minorHAnsi" w:cstheme="minorHAnsi"/>
                <w:color w:val="000000"/>
                <w:sz w:val="16"/>
                <w:szCs w:val="16"/>
              </w:rPr>
              <w:t>(5.516.147)</w:t>
            </w:r>
          </w:p>
        </w:tc>
        <w:tc>
          <w:tcPr>
            <w:tcW w:w="975" w:type="pct"/>
            <w:tcBorders>
              <w:top w:val="nil"/>
              <w:left w:val="nil"/>
              <w:bottom w:val="nil"/>
              <w:right w:val="nil"/>
            </w:tcBorders>
            <w:shd w:val="clear" w:color="auto" w:fill="auto"/>
            <w:noWrap/>
            <w:vAlign w:val="center"/>
            <w:hideMark/>
          </w:tcPr>
          <w:p w14:paraId="7948C56B" w14:textId="7C6B6CE9" w:rsidR="00CA0B3B" w:rsidRPr="009303E0" w:rsidRDefault="00CA0B3B" w:rsidP="00CA0B3B">
            <w:pPr>
              <w:jc w:val="right"/>
              <w:rPr>
                <w:rFonts w:asciiTheme="minorHAnsi" w:hAnsiTheme="minorHAnsi" w:cstheme="minorHAnsi"/>
                <w:color w:val="000000"/>
                <w:sz w:val="16"/>
                <w:szCs w:val="16"/>
              </w:rPr>
            </w:pPr>
            <w:r>
              <w:rPr>
                <w:rFonts w:asciiTheme="minorHAnsi" w:hAnsiTheme="minorHAnsi" w:cstheme="minorHAnsi"/>
                <w:color w:val="000000"/>
                <w:sz w:val="16"/>
                <w:szCs w:val="16"/>
              </w:rPr>
              <w:t>56.593.484</w:t>
            </w:r>
          </w:p>
        </w:tc>
      </w:tr>
      <w:tr w:rsidR="00CA0B3B" w:rsidRPr="009303E0" w14:paraId="79BD33A9" w14:textId="77777777" w:rsidTr="00C553AE">
        <w:trPr>
          <w:trHeight w:val="227"/>
          <w:jc w:val="center"/>
        </w:trPr>
        <w:tc>
          <w:tcPr>
            <w:tcW w:w="1047" w:type="pct"/>
            <w:tcBorders>
              <w:top w:val="nil"/>
              <w:left w:val="nil"/>
              <w:bottom w:val="nil"/>
              <w:right w:val="nil"/>
            </w:tcBorders>
            <w:shd w:val="clear" w:color="auto" w:fill="auto"/>
            <w:noWrap/>
            <w:vAlign w:val="center"/>
            <w:hideMark/>
          </w:tcPr>
          <w:p w14:paraId="33DBAD56" w14:textId="77777777" w:rsidR="00CA0B3B" w:rsidRPr="009303E0" w:rsidRDefault="00CA0B3B" w:rsidP="00CA0B3B">
            <w:pPr>
              <w:rPr>
                <w:rFonts w:asciiTheme="minorHAnsi" w:hAnsiTheme="minorHAnsi" w:cstheme="minorHAnsi"/>
                <w:color w:val="000000"/>
                <w:sz w:val="16"/>
                <w:szCs w:val="16"/>
              </w:rPr>
            </w:pPr>
            <w:r w:rsidRPr="009303E0">
              <w:rPr>
                <w:rFonts w:asciiTheme="minorHAnsi" w:hAnsiTheme="minorHAnsi" w:cstheme="minorHAnsi"/>
                <w:color w:val="000000"/>
                <w:sz w:val="16"/>
                <w:szCs w:val="16"/>
              </w:rPr>
              <w:t>Trabalhistas</w:t>
            </w:r>
          </w:p>
        </w:tc>
        <w:tc>
          <w:tcPr>
            <w:tcW w:w="1081" w:type="pct"/>
            <w:tcBorders>
              <w:top w:val="nil"/>
              <w:left w:val="nil"/>
              <w:bottom w:val="nil"/>
              <w:right w:val="nil"/>
            </w:tcBorders>
            <w:vAlign w:val="center"/>
          </w:tcPr>
          <w:p w14:paraId="1BA165CB" w14:textId="1915A6A5" w:rsidR="00CA0B3B" w:rsidRPr="009303E0" w:rsidRDefault="00CA0B3B" w:rsidP="00CA0B3B">
            <w:pPr>
              <w:jc w:val="right"/>
              <w:rPr>
                <w:rFonts w:asciiTheme="minorHAnsi" w:hAnsiTheme="minorHAnsi" w:cstheme="minorHAnsi"/>
                <w:color w:val="000000"/>
                <w:sz w:val="16"/>
                <w:szCs w:val="16"/>
              </w:rPr>
            </w:pPr>
            <w:r w:rsidRPr="009303E0">
              <w:rPr>
                <w:rFonts w:asciiTheme="minorHAnsi" w:hAnsiTheme="minorHAnsi" w:cstheme="minorHAnsi"/>
                <w:color w:val="000000"/>
                <w:sz w:val="16"/>
                <w:szCs w:val="16"/>
              </w:rPr>
              <w:t>47.815.572</w:t>
            </w:r>
          </w:p>
        </w:tc>
        <w:tc>
          <w:tcPr>
            <w:tcW w:w="857" w:type="pct"/>
            <w:tcBorders>
              <w:top w:val="nil"/>
              <w:left w:val="nil"/>
              <w:bottom w:val="nil"/>
              <w:right w:val="nil"/>
            </w:tcBorders>
          </w:tcPr>
          <w:p w14:paraId="35A6B4D6" w14:textId="49F5D3DB" w:rsidR="00CA0B3B" w:rsidRPr="009303E0" w:rsidRDefault="00CA0B3B" w:rsidP="00CA0B3B">
            <w:pPr>
              <w:jc w:val="right"/>
              <w:rPr>
                <w:rFonts w:asciiTheme="minorHAnsi" w:hAnsiTheme="minorHAnsi" w:cstheme="minorHAnsi"/>
                <w:color w:val="000000"/>
                <w:sz w:val="16"/>
                <w:szCs w:val="16"/>
              </w:rPr>
            </w:pPr>
            <w:r>
              <w:rPr>
                <w:rFonts w:asciiTheme="minorHAnsi" w:hAnsiTheme="minorHAnsi" w:cstheme="minorHAnsi"/>
                <w:color w:val="000000"/>
                <w:sz w:val="16"/>
                <w:szCs w:val="16"/>
              </w:rPr>
              <w:t>2.726.48</w:t>
            </w:r>
            <w:r w:rsidR="00A11AC2">
              <w:rPr>
                <w:rFonts w:asciiTheme="minorHAnsi" w:hAnsiTheme="minorHAnsi" w:cstheme="minorHAnsi"/>
                <w:color w:val="000000"/>
                <w:sz w:val="16"/>
                <w:szCs w:val="16"/>
              </w:rPr>
              <w:t>4</w:t>
            </w:r>
          </w:p>
        </w:tc>
        <w:tc>
          <w:tcPr>
            <w:tcW w:w="1040" w:type="pct"/>
            <w:tcBorders>
              <w:top w:val="nil"/>
              <w:left w:val="nil"/>
              <w:bottom w:val="nil"/>
              <w:right w:val="nil"/>
            </w:tcBorders>
            <w:shd w:val="clear" w:color="auto" w:fill="auto"/>
            <w:noWrap/>
            <w:vAlign w:val="center"/>
          </w:tcPr>
          <w:p w14:paraId="0E3CE46B" w14:textId="2A900382" w:rsidR="00CA0B3B" w:rsidRPr="009303E0" w:rsidRDefault="00CA0B3B" w:rsidP="00CA0B3B">
            <w:pPr>
              <w:jc w:val="right"/>
              <w:rPr>
                <w:rFonts w:asciiTheme="minorHAnsi" w:hAnsiTheme="minorHAnsi" w:cstheme="minorHAnsi"/>
                <w:color w:val="000000"/>
                <w:sz w:val="16"/>
                <w:szCs w:val="16"/>
              </w:rPr>
            </w:pPr>
            <w:r>
              <w:rPr>
                <w:rFonts w:asciiTheme="minorHAnsi" w:hAnsiTheme="minorHAnsi" w:cstheme="minorHAnsi"/>
                <w:color w:val="000000"/>
                <w:sz w:val="16"/>
                <w:szCs w:val="16"/>
              </w:rPr>
              <w:t>-</w:t>
            </w:r>
          </w:p>
        </w:tc>
        <w:tc>
          <w:tcPr>
            <w:tcW w:w="975" w:type="pct"/>
            <w:tcBorders>
              <w:top w:val="nil"/>
              <w:left w:val="nil"/>
              <w:bottom w:val="nil"/>
              <w:right w:val="nil"/>
            </w:tcBorders>
            <w:shd w:val="clear" w:color="auto" w:fill="auto"/>
            <w:noWrap/>
            <w:vAlign w:val="center"/>
            <w:hideMark/>
          </w:tcPr>
          <w:p w14:paraId="5113A567" w14:textId="20423591" w:rsidR="00CA0B3B" w:rsidRPr="009303E0" w:rsidRDefault="00CA0B3B" w:rsidP="00CA0B3B">
            <w:pPr>
              <w:jc w:val="right"/>
              <w:rPr>
                <w:rFonts w:asciiTheme="minorHAnsi" w:hAnsiTheme="minorHAnsi" w:cstheme="minorHAnsi"/>
                <w:color w:val="000000"/>
                <w:sz w:val="16"/>
                <w:szCs w:val="16"/>
              </w:rPr>
            </w:pPr>
            <w:r>
              <w:rPr>
                <w:rFonts w:asciiTheme="minorHAnsi" w:hAnsiTheme="minorHAnsi" w:cstheme="minorHAnsi"/>
                <w:color w:val="000000"/>
                <w:sz w:val="16"/>
                <w:szCs w:val="16"/>
              </w:rPr>
              <w:t>50.542.056</w:t>
            </w:r>
          </w:p>
        </w:tc>
      </w:tr>
      <w:tr w:rsidR="00CA0B3B" w:rsidRPr="009303E0" w14:paraId="4599CD9E" w14:textId="77777777" w:rsidTr="00C553AE">
        <w:trPr>
          <w:trHeight w:val="227"/>
          <w:jc w:val="center"/>
        </w:trPr>
        <w:tc>
          <w:tcPr>
            <w:tcW w:w="1047" w:type="pct"/>
            <w:tcBorders>
              <w:top w:val="nil"/>
              <w:left w:val="nil"/>
              <w:bottom w:val="nil"/>
              <w:right w:val="nil"/>
            </w:tcBorders>
            <w:shd w:val="clear" w:color="auto" w:fill="auto"/>
            <w:noWrap/>
            <w:vAlign w:val="center"/>
            <w:hideMark/>
          </w:tcPr>
          <w:p w14:paraId="6A73D307" w14:textId="77777777" w:rsidR="00CA0B3B" w:rsidRPr="009303E0" w:rsidRDefault="00CA0B3B" w:rsidP="00CA0B3B">
            <w:pPr>
              <w:rPr>
                <w:rFonts w:asciiTheme="minorHAnsi" w:hAnsiTheme="minorHAnsi" w:cstheme="minorHAnsi"/>
                <w:color w:val="000000"/>
                <w:sz w:val="16"/>
                <w:szCs w:val="16"/>
              </w:rPr>
            </w:pPr>
            <w:r w:rsidRPr="009303E0">
              <w:rPr>
                <w:rFonts w:asciiTheme="minorHAnsi" w:hAnsiTheme="minorHAnsi" w:cstheme="minorHAnsi"/>
                <w:color w:val="000000"/>
                <w:sz w:val="16"/>
                <w:szCs w:val="16"/>
              </w:rPr>
              <w:t>Cíveis</w:t>
            </w:r>
          </w:p>
        </w:tc>
        <w:tc>
          <w:tcPr>
            <w:tcW w:w="1081" w:type="pct"/>
            <w:tcBorders>
              <w:top w:val="nil"/>
              <w:left w:val="nil"/>
              <w:bottom w:val="nil"/>
              <w:right w:val="nil"/>
            </w:tcBorders>
            <w:vAlign w:val="center"/>
          </w:tcPr>
          <w:p w14:paraId="153B4587" w14:textId="6EA6CBFA" w:rsidR="00CA0B3B" w:rsidRPr="009303E0" w:rsidRDefault="00CA0B3B" w:rsidP="00CA0B3B">
            <w:pPr>
              <w:jc w:val="right"/>
              <w:rPr>
                <w:rFonts w:asciiTheme="minorHAnsi" w:hAnsiTheme="minorHAnsi" w:cstheme="minorHAnsi"/>
                <w:color w:val="000000"/>
                <w:sz w:val="16"/>
                <w:szCs w:val="16"/>
              </w:rPr>
            </w:pPr>
            <w:r w:rsidRPr="009303E0">
              <w:rPr>
                <w:rFonts w:asciiTheme="minorHAnsi" w:hAnsiTheme="minorHAnsi" w:cstheme="minorHAnsi"/>
                <w:color w:val="000000"/>
                <w:sz w:val="16"/>
                <w:szCs w:val="16"/>
              </w:rPr>
              <w:t>1.860.944.791</w:t>
            </w:r>
          </w:p>
        </w:tc>
        <w:tc>
          <w:tcPr>
            <w:tcW w:w="857" w:type="pct"/>
            <w:tcBorders>
              <w:top w:val="nil"/>
              <w:left w:val="nil"/>
              <w:bottom w:val="nil"/>
              <w:right w:val="nil"/>
            </w:tcBorders>
          </w:tcPr>
          <w:p w14:paraId="222C8F2D" w14:textId="71E34925" w:rsidR="00CA0B3B" w:rsidRPr="009303E0" w:rsidRDefault="00CA0B3B" w:rsidP="00CA0B3B">
            <w:pPr>
              <w:jc w:val="right"/>
              <w:rPr>
                <w:rFonts w:asciiTheme="minorHAnsi" w:hAnsiTheme="minorHAnsi" w:cstheme="minorHAnsi"/>
                <w:color w:val="000000"/>
                <w:sz w:val="16"/>
                <w:szCs w:val="16"/>
              </w:rPr>
            </w:pPr>
            <w:r>
              <w:rPr>
                <w:rFonts w:asciiTheme="minorHAnsi" w:hAnsiTheme="minorHAnsi" w:cstheme="minorHAnsi"/>
                <w:color w:val="000000"/>
                <w:sz w:val="16"/>
                <w:szCs w:val="16"/>
              </w:rPr>
              <w:t>-</w:t>
            </w:r>
          </w:p>
        </w:tc>
        <w:tc>
          <w:tcPr>
            <w:tcW w:w="1040" w:type="pct"/>
            <w:tcBorders>
              <w:top w:val="nil"/>
              <w:left w:val="nil"/>
              <w:bottom w:val="nil"/>
              <w:right w:val="nil"/>
            </w:tcBorders>
            <w:shd w:val="clear" w:color="auto" w:fill="auto"/>
            <w:noWrap/>
            <w:vAlign w:val="center"/>
          </w:tcPr>
          <w:p w14:paraId="54C4380A" w14:textId="4185EA90" w:rsidR="00CA0B3B" w:rsidRPr="009303E0" w:rsidRDefault="00CA0B3B" w:rsidP="00CA0B3B">
            <w:pPr>
              <w:jc w:val="right"/>
              <w:rPr>
                <w:rFonts w:asciiTheme="minorHAnsi" w:hAnsiTheme="minorHAnsi" w:cstheme="minorHAnsi"/>
                <w:color w:val="000000"/>
                <w:sz w:val="16"/>
                <w:szCs w:val="16"/>
              </w:rPr>
            </w:pPr>
            <w:r>
              <w:rPr>
                <w:rFonts w:asciiTheme="minorHAnsi" w:hAnsiTheme="minorHAnsi" w:cstheme="minorHAnsi"/>
                <w:color w:val="000000"/>
                <w:sz w:val="16"/>
                <w:szCs w:val="16"/>
              </w:rPr>
              <w:t>(46.112.820)</w:t>
            </w:r>
          </w:p>
        </w:tc>
        <w:tc>
          <w:tcPr>
            <w:tcW w:w="975" w:type="pct"/>
            <w:tcBorders>
              <w:top w:val="nil"/>
              <w:left w:val="nil"/>
              <w:bottom w:val="nil"/>
              <w:right w:val="nil"/>
            </w:tcBorders>
            <w:shd w:val="clear" w:color="auto" w:fill="auto"/>
            <w:noWrap/>
            <w:vAlign w:val="center"/>
            <w:hideMark/>
          </w:tcPr>
          <w:p w14:paraId="06A6BC7D" w14:textId="224FA5FB" w:rsidR="00CA0B3B" w:rsidRPr="009303E0" w:rsidRDefault="00CA0B3B" w:rsidP="00CA0B3B">
            <w:pPr>
              <w:jc w:val="right"/>
              <w:rPr>
                <w:rFonts w:asciiTheme="minorHAnsi" w:hAnsiTheme="minorHAnsi" w:cstheme="minorHAnsi"/>
                <w:color w:val="000000"/>
                <w:sz w:val="16"/>
                <w:szCs w:val="16"/>
              </w:rPr>
            </w:pPr>
            <w:r>
              <w:rPr>
                <w:rFonts w:asciiTheme="minorHAnsi" w:hAnsiTheme="minorHAnsi" w:cstheme="minorHAnsi"/>
                <w:color w:val="000000"/>
                <w:sz w:val="16"/>
                <w:szCs w:val="16"/>
              </w:rPr>
              <w:t>1.814.831.971</w:t>
            </w:r>
          </w:p>
        </w:tc>
      </w:tr>
      <w:tr w:rsidR="00CA0B3B" w:rsidRPr="009303E0" w14:paraId="0DE15F08" w14:textId="77777777" w:rsidTr="00C553AE">
        <w:trPr>
          <w:trHeight w:val="227"/>
          <w:jc w:val="center"/>
        </w:trPr>
        <w:tc>
          <w:tcPr>
            <w:tcW w:w="1047" w:type="pct"/>
            <w:tcBorders>
              <w:top w:val="nil"/>
              <w:left w:val="nil"/>
              <w:bottom w:val="nil"/>
              <w:right w:val="nil"/>
            </w:tcBorders>
            <w:shd w:val="clear" w:color="auto" w:fill="auto"/>
            <w:noWrap/>
            <w:vAlign w:val="center"/>
            <w:hideMark/>
          </w:tcPr>
          <w:p w14:paraId="387207CE" w14:textId="77777777" w:rsidR="00CA0B3B" w:rsidRPr="009303E0" w:rsidRDefault="00CA0B3B" w:rsidP="00CA0B3B">
            <w:pPr>
              <w:rPr>
                <w:rFonts w:asciiTheme="minorHAnsi" w:hAnsiTheme="minorHAnsi" w:cstheme="minorHAnsi"/>
                <w:color w:val="000000"/>
                <w:sz w:val="16"/>
                <w:szCs w:val="16"/>
              </w:rPr>
            </w:pPr>
            <w:r w:rsidRPr="009303E0">
              <w:rPr>
                <w:rFonts w:asciiTheme="minorHAnsi" w:hAnsiTheme="minorHAnsi" w:cstheme="minorHAnsi"/>
                <w:color w:val="000000"/>
                <w:sz w:val="16"/>
                <w:szCs w:val="16"/>
              </w:rPr>
              <w:t>Tributárias</w:t>
            </w:r>
          </w:p>
        </w:tc>
        <w:tc>
          <w:tcPr>
            <w:tcW w:w="1081" w:type="pct"/>
            <w:tcBorders>
              <w:top w:val="nil"/>
              <w:left w:val="nil"/>
              <w:bottom w:val="nil"/>
              <w:right w:val="nil"/>
            </w:tcBorders>
            <w:vAlign w:val="center"/>
          </w:tcPr>
          <w:p w14:paraId="43976F76" w14:textId="0FEC23F8" w:rsidR="00CA0B3B" w:rsidRPr="009303E0" w:rsidRDefault="00CA0B3B" w:rsidP="00CA0B3B">
            <w:pPr>
              <w:jc w:val="right"/>
              <w:rPr>
                <w:rFonts w:asciiTheme="minorHAnsi" w:hAnsiTheme="minorHAnsi" w:cstheme="minorHAnsi"/>
                <w:color w:val="000000"/>
                <w:sz w:val="16"/>
                <w:szCs w:val="16"/>
              </w:rPr>
            </w:pPr>
            <w:r w:rsidRPr="009303E0">
              <w:rPr>
                <w:rFonts w:asciiTheme="minorHAnsi" w:hAnsiTheme="minorHAnsi" w:cstheme="minorHAnsi"/>
                <w:color w:val="000000"/>
                <w:sz w:val="16"/>
                <w:szCs w:val="16"/>
              </w:rPr>
              <w:t>434.727</w:t>
            </w:r>
          </w:p>
        </w:tc>
        <w:tc>
          <w:tcPr>
            <w:tcW w:w="857" w:type="pct"/>
            <w:tcBorders>
              <w:top w:val="nil"/>
              <w:left w:val="nil"/>
              <w:bottom w:val="nil"/>
              <w:right w:val="nil"/>
            </w:tcBorders>
          </w:tcPr>
          <w:p w14:paraId="42DBFE6F" w14:textId="3E495616" w:rsidR="00CA0B3B" w:rsidRPr="009303E0" w:rsidRDefault="00CA0B3B" w:rsidP="00CA0B3B">
            <w:pPr>
              <w:jc w:val="right"/>
              <w:rPr>
                <w:rFonts w:asciiTheme="minorHAnsi" w:hAnsiTheme="minorHAnsi" w:cstheme="minorHAnsi"/>
                <w:color w:val="000000"/>
                <w:sz w:val="16"/>
                <w:szCs w:val="16"/>
              </w:rPr>
            </w:pPr>
            <w:r>
              <w:rPr>
                <w:rFonts w:asciiTheme="minorHAnsi" w:hAnsiTheme="minorHAnsi" w:cstheme="minorHAnsi"/>
                <w:color w:val="000000"/>
                <w:sz w:val="16"/>
                <w:szCs w:val="16"/>
              </w:rPr>
              <w:t>911.048</w:t>
            </w:r>
          </w:p>
        </w:tc>
        <w:tc>
          <w:tcPr>
            <w:tcW w:w="1040" w:type="pct"/>
            <w:tcBorders>
              <w:top w:val="nil"/>
              <w:left w:val="nil"/>
              <w:bottom w:val="nil"/>
              <w:right w:val="nil"/>
            </w:tcBorders>
            <w:shd w:val="clear" w:color="auto" w:fill="auto"/>
            <w:noWrap/>
            <w:vAlign w:val="center"/>
          </w:tcPr>
          <w:p w14:paraId="5BF98945" w14:textId="1E78512D" w:rsidR="00CA0B3B" w:rsidRPr="009303E0" w:rsidRDefault="00CA0B3B" w:rsidP="00CA0B3B">
            <w:pPr>
              <w:jc w:val="right"/>
              <w:rPr>
                <w:rFonts w:asciiTheme="minorHAnsi" w:hAnsiTheme="minorHAnsi" w:cstheme="minorHAnsi"/>
                <w:color w:val="000000"/>
                <w:sz w:val="16"/>
                <w:szCs w:val="16"/>
              </w:rPr>
            </w:pPr>
            <w:r>
              <w:rPr>
                <w:rFonts w:asciiTheme="minorHAnsi" w:hAnsiTheme="minorHAnsi" w:cstheme="minorHAnsi"/>
                <w:color w:val="000000"/>
                <w:sz w:val="16"/>
                <w:szCs w:val="16"/>
              </w:rPr>
              <w:t>-</w:t>
            </w:r>
          </w:p>
        </w:tc>
        <w:tc>
          <w:tcPr>
            <w:tcW w:w="975" w:type="pct"/>
            <w:tcBorders>
              <w:top w:val="nil"/>
              <w:left w:val="nil"/>
              <w:bottom w:val="nil"/>
              <w:right w:val="nil"/>
            </w:tcBorders>
            <w:shd w:val="clear" w:color="auto" w:fill="auto"/>
            <w:noWrap/>
            <w:vAlign w:val="center"/>
            <w:hideMark/>
          </w:tcPr>
          <w:p w14:paraId="0F1403C5" w14:textId="0999B23A" w:rsidR="00CA0B3B" w:rsidRPr="009303E0" w:rsidRDefault="00CA0B3B" w:rsidP="00CA0B3B">
            <w:pPr>
              <w:jc w:val="right"/>
              <w:rPr>
                <w:rFonts w:asciiTheme="minorHAnsi" w:hAnsiTheme="minorHAnsi" w:cstheme="minorHAnsi"/>
                <w:color w:val="000000"/>
                <w:sz w:val="16"/>
                <w:szCs w:val="16"/>
              </w:rPr>
            </w:pPr>
            <w:r>
              <w:rPr>
                <w:rFonts w:asciiTheme="minorHAnsi" w:hAnsiTheme="minorHAnsi" w:cstheme="minorHAnsi"/>
                <w:color w:val="000000"/>
                <w:sz w:val="16"/>
                <w:szCs w:val="16"/>
              </w:rPr>
              <w:t>1.345.775</w:t>
            </w:r>
          </w:p>
        </w:tc>
      </w:tr>
      <w:tr w:rsidR="00CA0B3B" w:rsidRPr="009303E0" w14:paraId="19C9E837" w14:textId="77777777" w:rsidTr="00C553AE">
        <w:trPr>
          <w:trHeight w:val="227"/>
          <w:jc w:val="center"/>
        </w:trPr>
        <w:tc>
          <w:tcPr>
            <w:tcW w:w="1047" w:type="pct"/>
            <w:tcBorders>
              <w:top w:val="nil"/>
              <w:left w:val="nil"/>
              <w:bottom w:val="single" w:sz="8" w:space="0" w:color="auto"/>
              <w:right w:val="nil"/>
            </w:tcBorders>
            <w:shd w:val="clear" w:color="auto" w:fill="auto"/>
            <w:noWrap/>
            <w:vAlign w:val="center"/>
            <w:hideMark/>
          </w:tcPr>
          <w:p w14:paraId="1A076DCE" w14:textId="77777777" w:rsidR="00CA0B3B" w:rsidRPr="009303E0" w:rsidRDefault="00CA0B3B" w:rsidP="00CA0B3B">
            <w:pPr>
              <w:rPr>
                <w:rFonts w:asciiTheme="minorHAnsi" w:hAnsiTheme="minorHAnsi" w:cstheme="minorHAnsi"/>
                <w:color w:val="000000"/>
                <w:sz w:val="16"/>
                <w:szCs w:val="16"/>
              </w:rPr>
            </w:pPr>
            <w:r w:rsidRPr="009303E0">
              <w:rPr>
                <w:rFonts w:asciiTheme="minorHAnsi" w:hAnsiTheme="minorHAnsi" w:cstheme="minorHAnsi"/>
                <w:color w:val="000000"/>
                <w:sz w:val="16"/>
                <w:szCs w:val="16"/>
              </w:rPr>
              <w:t>Previdenciárias</w:t>
            </w:r>
          </w:p>
        </w:tc>
        <w:tc>
          <w:tcPr>
            <w:tcW w:w="1081" w:type="pct"/>
            <w:tcBorders>
              <w:top w:val="nil"/>
              <w:left w:val="nil"/>
              <w:bottom w:val="single" w:sz="8" w:space="0" w:color="auto"/>
              <w:right w:val="nil"/>
            </w:tcBorders>
            <w:vAlign w:val="center"/>
          </w:tcPr>
          <w:p w14:paraId="2BF26FD1" w14:textId="712C952B" w:rsidR="00CA0B3B" w:rsidRPr="009303E0" w:rsidRDefault="00CA0B3B" w:rsidP="00CA0B3B">
            <w:pPr>
              <w:jc w:val="right"/>
              <w:rPr>
                <w:rFonts w:asciiTheme="minorHAnsi" w:hAnsiTheme="minorHAnsi" w:cstheme="minorHAnsi"/>
                <w:color w:val="000000"/>
                <w:sz w:val="16"/>
                <w:szCs w:val="16"/>
              </w:rPr>
            </w:pPr>
            <w:r w:rsidRPr="009303E0">
              <w:rPr>
                <w:rFonts w:asciiTheme="minorHAnsi" w:hAnsiTheme="minorHAnsi" w:cstheme="minorHAnsi"/>
                <w:color w:val="000000"/>
                <w:sz w:val="16"/>
                <w:szCs w:val="16"/>
              </w:rPr>
              <w:t>258.198</w:t>
            </w:r>
          </w:p>
        </w:tc>
        <w:tc>
          <w:tcPr>
            <w:tcW w:w="857" w:type="pct"/>
            <w:tcBorders>
              <w:top w:val="nil"/>
              <w:left w:val="nil"/>
              <w:bottom w:val="single" w:sz="8" w:space="0" w:color="auto"/>
              <w:right w:val="nil"/>
            </w:tcBorders>
          </w:tcPr>
          <w:p w14:paraId="3DA5D722" w14:textId="05DFE708" w:rsidR="00CA0B3B" w:rsidRPr="009303E0" w:rsidRDefault="00CA0B3B" w:rsidP="00CA0B3B">
            <w:pPr>
              <w:jc w:val="right"/>
              <w:rPr>
                <w:rFonts w:asciiTheme="minorHAnsi" w:hAnsiTheme="minorHAnsi" w:cstheme="minorHAnsi"/>
                <w:color w:val="000000"/>
                <w:sz w:val="16"/>
                <w:szCs w:val="16"/>
              </w:rPr>
            </w:pPr>
            <w:r>
              <w:rPr>
                <w:rFonts w:asciiTheme="minorHAnsi" w:hAnsiTheme="minorHAnsi" w:cstheme="minorHAnsi"/>
                <w:color w:val="000000"/>
                <w:sz w:val="16"/>
                <w:szCs w:val="16"/>
              </w:rPr>
              <w:t>231.573</w:t>
            </w:r>
          </w:p>
        </w:tc>
        <w:tc>
          <w:tcPr>
            <w:tcW w:w="1040" w:type="pct"/>
            <w:tcBorders>
              <w:top w:val="nil"/>
              <w:left w:val="nil"/>
              <w:bottom w:val="single" w:sz="8" w:space="0" w:color="auto"/>
              <w:right w:val="nil"/>
            </w:tcBorders>
            <w:shd w:val="clear" w:color="auto" w:fill="auto"/>
            <w:noWrap/>
            <w:vAlign w:val="center"/>
          </w:tcPr>
          <w:p w14:paraId="5903567A" w14:textId="79AECD2F" w:rsidR="00CA0B3B" w:rsidRPr="009303E0" w:rsidRDefault="00CA0B3B" w:rsidP="00CA0B3B">
            <w:pPr>
              <w:jc w:val="right"/>
              <w:rPr>
                <w:rFonts w:asciiTheme="minorHAnsi" w:hAnsiTheme="minorHAnsi" w:cstheme="minorHAnsi"/>
                <w:color w:val="000000"/>
                <w:sz w:val="16"/>
                <w:szCs w:val="16"/>
              </w:rPr>
            </w:pPr>
            <w:r>
              <w:rPr>
                <w:rFonts w:asciiTheme="minorHAnsi" w:hAnsiTheme="minorHAnsi" w:cstheme="minorHAnsi"/>
                <w:color w:val="000000"/>
                <w:sz w:val="16"/>
                <w:szCs w:val="16"/>
              </w:rPr>
              <w:t>-</w:t>
            </w:r>
          </w:p>
        </w:tc>
        <w:tc>
          <w:tcPr>
            <w:tcW w:w="975" w:type="pct"/>
            <w:tcBorders>
              <w:top w:val="nil"/>
              <w:left w:val="nil"/>
              <w:bottom w:val="single" w:sz="8" w:space="0" w:color="auto"/>
              <w:right w:val="nil"/>
            </w:tcBorders>
            <w:shd w:val="clear" w:color="auto" w:fill="auto"/>
            <w:noWrap/>
            <w:vAlign w:val="center"/>
            <w:hideMark/>
          </w:tcPr>
          <w:p w14:paraId="70196879" w14:textId="414D5169" w:rsidR="00CA0B3B" w:rsidRPr="009303E0" w:rsidRDefault="00CA0B3B" w:rsidP="00CA0B3B">
            <w:pPr>
              <w:jc w:val="right"/>
              <w:rPr>
                <w:rFonts w:asciiTheme="minorHAnsi" w:hAnsiTheme="minorHAnsi" w:cstheme="minorHAnsi"/>
                <w:color w:val="000000"/>
                <w:sz w:val="16"/>
                <w:szCs w:val="16"/>
              </w:rPr>
            </w:pPr>
            <w:r>
              <w:rPr>
                <w:rFonts w:asciiTheme="minorHAnsi" w:hAnsiTheme="minorHAnsi" w:cstheme="minorHAnsi"/>
                <w:color w:val="000000"/>
                <w:sz w:val="16"/>
                <w:szCs w:val="16"/>
              </w:rPr>
              <w:t>489.771</w:t>
            </w:r>
          </w:p>
        </w:tc>
      </w:tr>
      <w:tr w:rsidR="00CA0B3B" w:rsidRPr="009303E0" w14:paraId="48AA5F2E" w14:textId="77777777" w:rsidTr="00C553AE">
        <w:trPr>
          <w:trHeight w:val="227"/>
          <w:jc w:val="center"/>
        </w:trPr>
        <w:tc>
          <w:tcPr>
            <w:tcW w:w="1047" w:type="pct"/>
            <w:tcBorders>
              <w:top w:val="nil"/>
              <w:left w:val="nil"/>
              <w:bottom w:val="single" w:sz="8" w:space="0" w:color="auto"/>
              <w:right w:val="nil"/>
            </w:tcBorders>
            <w:shd w:val="clear" w:color="auto" w:fill="auto"/>
            <w:noWrap/>
            <w:vAlign w:val="center"/>
            <w:hideMark/>
          </w:tcPr>
          <w:p w14:paraId="71DE3C00" w14:textId="77777777" w:rsidR="00CA0B3B" w:rsidRPr="009303E0" w:rsidRDefault="00CA0B3B" w:rsidP="00CA0B3B">
            <w:pPr>
              <w:rPr>
                <w:rFonts w:asciiTheme="minorHAnsi" w:hAnsiTheme="minorHAnsi" w:cstheme="minorHAnsi"/>
                <w:b/>
                <w:bCs/>
                <w:color w:val="000000"/>
                <w:sz w:val="16"/>
                <w:szCs w:val="16"/>
              </w:rPr>
            </w:pPr>
            <w:r w:rsidRPr="009303E0">
              <w:rPr>
                <w:rFonts w:asciiTheme="minorHAnsi" w:hAnsiTheme="minorHAnsi" w:cstheme="minorHAnsi"/>
                <w:b/>
                <w:bCs/>
                <w:color w:val="000000"/>
                <w:sz w:val="16"/>
                <w:szCs w:val="16"/>
              </w:rPr>
              <w:t>SALDO</w:t>
            </w:r>
          </w:p>
        </w:tc>
        <w:tc>
          <w:tcPr>
            <w:tcW w:w="1081" w:type="pct"/>
            <w:tcBorders>
              <w:top w:val="nil"/>
              <w:left w:val="nil"/>
              <w:bottom w:val="single" w:sz="8" w:space="0" w:color="auto"/>
              <w:right w:val="nil"/>
            </w:tcBorders>
          </w:tcPr>
          <w:p w14:paraId="5593A601" w14:textId="7A5CED27" w:rsidR="00CA0B3B" w:rsidRPr="009303E0" w:rsidRDefault="00CA0B3B" w:rsidP="00CA0B3B">
            <w:pPr>
              <w:jc w:val="right"/>
              <w:rPr>
                <w:rFonts w:asciiTheme="minorHAnsi" w:hAnsiTheme="minorHAnsi" w:cstheme="minorHAnsi"/>
                <w:b/>
                <w:bCs/>
                <w:color w:val="000000"/>
                <w:sz w:val="16"/>
                <w:szCs w:val="16"/>
              </w:rPr>
            </w:pPr>
            <w:r w:rsidRPr="009303E0">
              <w:rPr>
                <w:rFonts w:asciiTheme="minorHAnsi" w:hAnsiTheme="minorHAnsi" w:cstheme="minorHAnsi"/>
                <w:b/>
                <w:bCs/>
                <w:color w:val="000000"/>
                <w:sz w:val="16"/>
                <w:szCs w:val="16"/>
              </w:rPr>
              <w:t>1.971.562.919</w:t>
            </w:r>
          </w:p>
        </w:tc>
        <w:tc>
          <w:tcPr>
            <w:tcW w:w="857" w:type="pct"/>
            <w:tcBorders>
              <w:top w:val="nil"/>
              <w:left w:val="nil"/>
              <w:bottom w:val="single" w:sz="8" w:space="0" w:color="auto"/>
              <w:right w:val="nil"/>
            </w:tcBorders>
          </w:tcPr>
          <w:p w14:paraId="58F1D3EE" w14:textId="3E6B00F3" w:rsidR="00CA0B3B" w:rsidRPr="009303E0" w:rsidRDefault="00CA0B3B" w:rsidP="00CA0B3B">
            <w:pPr>
              <w:jc w:val="right"/>
              <w:rPr>
                <w:rFonts w:asciiTheme="minorHAnsi" w:hAnsiTheme="minorHAnsi" w:cstheme="minorHAnsi"/>
                <w:b/>
                <w:bCs/>
                <w:color w:val="000000"/>
                <w:sz w:val="16"/>
                <w:szCs w:val="16"/>
              </w:rPr>
            </w:pPr>
            <w:r>
              <w:rPr>
                <w:rFonts w:asciiTheme="minorHAnsi" w:hAnsiTheme="minorHAnsi" w:cstheme="minorHAnsi"/>
                <w:b/>
                <w:bCs/>
                <w:color w:val="000000"/>
                <w:sz w:val="16"/>
                <w:szCs w:val="16"/>
              </w:rPr>
              <w:t>3.869.10</w:t>
            </w:r>
            <w:r w:rsidR="00A11AC2">
              <w:rPr>
                <w:rFonts w:asciiTheme="minorHAnsi" w:hAnsiTheme="minorHAnsi" w:cstheme="minorHAnsi"/>
                <w:b/>
                <w:bCs/>
                <w:color w:val="000000"/>
                <w:sz w:val="16"/>
                <w:szCs w:val="16"/>
              </w:rPr>
              <w:t>5</w:t>
            </w:r>
          </w:p>
        </w:tc>
        <w:tc>
          <w:tcPr>
            <w:tcW w:w="1040" w:type="pct"/>
            <w:tcBorders>
              <w:top w:val="nil"/>
              <w:left w:val="nil"/>
              <w:bottom w:val="single" w:sz="8" w:space="0" w:color="auto"/>
              <w:right w:val="nil"/>
            </w:tcBorders>
            <w:shd w:val="clear" w:color="auto" w:fill="auto"/>
            <w:noWrap/>
            <w:vAlign w:val="center"/>
          </w:tcPr>
          <w:p w14:paraId="73F969DA" w14:textId="10BFCC3B" w:rsidR="00CA0B3B" w:rsidRPr="009303E0" w:rsidRDefault="00A11AC2" w:rsidP="00CA0B3B">
            <w:pPr>
              <w:jc w:val="right"/>
              <w:rPr>
                <w:rFonts w:asciiTheme="minorHAnsi" w:hAnsiTheme="minorHAnsi" w:cstheme="minorHAnsi"/>
                <w:b/>
                <w:bCs/>
                <w:color w:val="000000"/>
                <w:sz w:val="16"/>
                <w:szCs w:val="16"/>
              </w:rPr>
            </w:pPr>
            <w:r>
              <w:rPr>
                <w:rFonts w:asciiTheme="minorHAnsi" w:hAnsiTheme="minorHAnsi" w:cstheme="minorHAnsi"/>
                <w:b/>
                <w:bCs/>
                <w:color w:val="000000"/>
                <w:sz w:val="16"/>
                <w:szCs w:val="16"/>
              </w:rPr>
              <w:t>(51.628.967)</w:t>
            </w:r>
          </w:p>
        </w:tc>
        <w:tc>
          <w:tcPr>
            <w:tcW w:w="975" w:type="pct"/>
            <w:tcBorders>
              <w:top w:val="nil"/>
              <w:left w:val="nil"/>
              <w:bottom w:val="single" w:sz="8" w:space="0" w:color="auto"/>
              <w:right w:val="nil"/>
            </w:tcBorders>
            <w:shd w:val="clear" w:color="auto" w:fill="auto"/>
            <w:noWrap/>
            <w:vAlign w:val="center"/>
            <w:hideMark/>
          </w:tcPr>
          <w:p w14:paraId="425EC4A2" w14:textId="3DA67927" w:rsidR="00CA0B3B" w:rsidRPr="009303E0" w:rsidRDefault="00CA0B3B" w:rsidP="00CA0B3B">
            <w:pPr>
              <w:jc w:val="right"/>
              <w:rPr>
                <w:rFonts w:asciiTheme="minorHAnsi" w:hAnsiTheme="minorHAnsi" w:cstheme="minorHAnsi"/>
                <w:b/>
                <w:bCs/>
                <w:color w:val="000000"/>
                <w:sz w:val="16"/>
                <w:szCs w:val="16"/>
              </w:rPr>
            </w:pPr>
            <w:r>
              <w:rPr>
                <w:rFonts w:asciiTheme="minorHAnsi" w:hAnsiTheme="minorHAnsi" w:cstheme="minorHAnsi"/>
                <w:b/>
                <w:bCs/>
                <w:color w:val="000000"/>
                <w:sz w:val="16"/>
                <w:szCs w:val="16"/>
              </w:rPr>
              <w:t>1.923.803.057</w:t>
            </w:r>
          </w:p>
        </w:tc>
      </w:tr>
      <w:tr w:rsidR="00CA0B3B" w:rsidRPr="009303E0" w14:paraId="1601D5D2" w14:textId="77777777" w:rsidTr="00C553AE">
        <w:trPr>
          <w:trHeight w:val="227"/>
          <w:jc w:val="center"/>
        </w:trPr>
        <w:tc>
          <w:tcPr>
            <w:tcW w:w="1047" w:type="pct"/>
            <w:tcBorders>
              <w:top w:val="nil"/>
              <w:left w:val="nil"/>
              <w:bottom w:val="single" w:sz="8" w:space="0" w:color="auto"/>
              <w:right w:val="nil"/>
            </w:tcBorders>
            <w:shd w:val="clear" w:color="auto" w:fill="auto"/>
            <w:noWrap/>
            <w:vAlign w:val="center"/>
            <w:hideMark/>
          </w:tcPr>
          <w:p w14:paraId="1E1E502A" w14:textId="2B4C29F7" w:rsidR="00CA0B3B" w:rsidRPr="009303E0" w:rsidRDefault="000F13E3" w:rsidP="00CA0B3B">
            <w:pPr>
              <w:rPr>
                <w:rFonts w:asciiTheme="minorHAnsi" w:hAnsiTheme="minorHAnsi" w:cstheme="minorHAnsi"/>
                <w:b/>
                <w:bCs/>
                <w:color w:val="000000"/>
                <w:sz w:val="16"/>
                <w:szCs w:val="16"/>
              </w:rPr>
            </w:pPr>
            <w:r>
              <w:rPr>
                <w:rFonts w:asciiTheme="minorHAnsi" w:hAnsiTheme="minorHAnsi" w:cstheme="minorHAnsi"/>
                <w:b/>
                <w:bCs/>
                <w:color w:val="000000"/>
                <w:sz w:val="16"/>
                <w:szCs w:val="16"/>
              </w:rPr>
              <w:t>Circulante</w:t>
            </w:r>
          </w:p>
        </w:tc>
        <w:tc>
          <w:tcPr>
            <w:tcW w:w="1081" w:type="pct"/>
            <w:tcBorders>
              <w:top w:val="nil"/>
              <w:left w:val="nil"/>
              <w:bottom w:val="single" w:sz="8" w:space="0" w:color="auto"/>
              <w:right w:val="nil"/>
            </w:tcBorders>
          </w:tcPr>
          <w:p w14:paraId="51BCAC8E" w14:textId="1BDBFF25" w:rsidR="00CA0B3B" w:rsidRPr="009303E0" w:rsidRDefault="00CA0B3B" w:rsidP="00CA0B3B">
            <w:pPr>
              <w:jc w:val="right"/>
              <w:rPr>
                <w:rFonts w:asciiTheme="minorHAnsi" w:hAnsiTheme="minorHAnsi" w:cstheme="minorHAnsi"/>
                <w:b/>
                <w:bCs/>
                <w:color w:val="000000"/>
                <w:sz w:val="16"/>
                <w:szCs w:val="16"/>
              </w:rPr>
            </w:pPr>
            <w:r w:rsidRPr="009303E0">
              <w:rPr>
                <w:rFonts w:asciiTheme="minorHAnsi" w:hAnsiTheme="minorHAnsi" w:cstheme="minorHAnsi"/>
                <w:b/>
                <w:bCs/>
                <w:color w:val="000000"/>
                <w:sz w:val="16"/>
                <w:szCs w:val="16"/>
              </w:rPr>
              <w:t>79.197.230</w:t>
            </w:r>
          </w:p>
        </w:tc>
        <w:tc>
          <w:tcPr>
            <w:tcW w:w="857" w:type="pct"/>
            <w:tcBorders>
              <w:top w:val="nil"/>
              <w:left w:val="nil"/>
              <w:bottom w:val="single" w:sz="8" w:space="0" w:color="auto"/>
              <w:right w:val="nil"/>
            </w:tcBorders>
          </w:tcPr>
          <w:p w14:paraId="7217DEFF" w14:textId="25535F57" w:rsidR="00CA0B3B" w:rsidRPr="009303E0" w:rsidRDefault="00EE2E70" w:rsidP="00CA0B3B">
            <w:pPr>
              <w:jc w:val="right"/>
              <w:rPr>
                <w:rFonts w:asciiTheme="minorHAnsi" w:hAnsiTheme="minorHAnsi" w:cstheme="minorHAnsi"/>
                <w:b/>
                <w:bCs/>
                <w:color w:val="000000"/>
                <w:sz w:val="16"/>
                <w:szCs w:val="16"/>
              </w:rPr>
            </w:pPr>
            <w:r>
              <w:rPr>
                <w:rFonts w:asciiTheme="minorHAnsi" w:hAnsiTheme="minorHAnsi" w:cstheme="minorHAnsi"/>
                <w:b/>
                <w:bCs/>
                <w:color w:val="000000"/>
                <w:sz w:val="16"/>
                <w:szCs w:val="16"/>
              </w:rPr>
              <w:t>1.804.361</w:t>
            </w:r>
          </w:p>
        </w:tc>
        <w:tc>
          <w:tcPr>
            <w:tcW w:w="1040" w:type="pct"/>
            <w:tcBorders>
              <w:top w:val="nil"/>
              <w:left w:val="nil"/>
              <w:bottom w:val="single" w:sz="8" w:space="0" w:color="auto"/>
              <w:right w:val="nil"/>
            </w:tcBorders>
            <w:shd w:val="clear" w:color="auto" w:fill="auto"/>
            <w:noWrap/>
            <w:vAlign w:val="center"/>
          </w:tcPr>
          <w:p w14:paraId="1910B74C" w14:textId="23FBF63B" w:rsidR="00CA0B3B" w:rsidRPr="009303E0" w:rsidRDefault="00EE2E70" w:rsidP="00CA0B3B">
            <w:pPr>
              <w:jc w:val="right"/>
              <w:rPr>
                <w:rFonts w:asciiTheme="minorHAnsi" w:hAnsiTheme="minorHAnsi" w:cstheme="minorHAnsi"/>
                <w:b/>
                <w:bCs/>
                <w:color w:val="000000"/>
                <w:sz w:val="16"/>
                <w:szCs w:val="16"/>
              </w:rPr>
            </w:pPr>
            <w:r>
              <w:rPr>
                <w:rFonts w:asciiTheme="minorHAnsi" w:hAnsiTheme="minorHAnsi" w:cstheme="minorHAnsi"/>
                <w:b/>
                <w:bCs/>
                <w:color w:val="000000"/>
                <w:sz w:val="16"/>
                <w:szCs w:val="16"/>
              </w:rPr>
              <w:t>(5.231.969)</w:t>
            </w:r>
          </w:p>
        </w:tc>
        <w:tc>
          <w:tcPr>
            <w:tcW w:w="975" w:type="pct"/>
            <w:tcBorders>
              <w:top w:val="nil"/>
              <w:left w:val="nil"/>
              <w:bottom w:val="single" w:sz="8" w:space="0" w:color="auto"/>
              <w:right w:val="nil"/>
            </w:tcBorders>
            <w:shd w:val="clear" w:color="auto" w:fill="auto"/>
            <w:noWrap/>
            <w:vAlign w:val="center"/>
            <w:hideMark/>
          </w:tcPr>
          <w:p w14:paraId="31549C6D" w14:textId="2827A685" w:rsidR="00CA0B3B" w:rsidRPr="009303E0" w:rsidRDefault="00CA0B3B" w:rsidP="00CA0B3B">
            <w:pPr>
              <w:jc w:val="right"/>
              <w:rPr>
                <w:rFonts w:asciiTheme="minorHAnsi" w:hAnsiTheme="minorHAnsi" w:cstheme="minorHAnsi"/>
                <w:b/>
                <w:bCs/>
                <w:color w:val="000000"/>
                <w:sz w:val="16"/>
                <w:szCs w:val="16"/>
              </w:rPr>
            </w:pPr>
            <w:r>
              <w:rPr>
                <w:rFonts w:asciiTheme="minorHAnsi" w:hAnsiTheme="minorHAnsi" w:cstheme="minorHAnsi"/>
                <w:b/>
                <w:bCs/>
                <w:color w:val="000000"/>
                <w:sz w:val="16"/>
                <w:szCs w:val="16"/>
              </w:rPr>
              <w:t>75.769.622</w:t>
            </w:r>
          </w:p>
        </w:tc>
      </w:tr>
      <w:tr w:rsidR="00CA0B3B" w:rsidRPr="009303E0" w14:paraId="06682A9A" w14:textId="77777777" w:rsidTr="00C553AE">
        <w:trPr>
          <w:trHeight w:val="227"/>
          <w:jc w:val="center"/>
        </w:trPr>
        <w:tc>
          <w:tcPr>
            <w:tcW w:w="1047" w:type="pct"/>
            <w:tcBorders>
              <w:top w:val="nil"/>
              <w:left w:val="nil"/>
              <w:bottom w:val="nil"/>
              <w:right w:val="nil"/>
            </w:tcBorders>
            <w:shd w:val="clear" w:color="auto" w:fill="auto"/>
            <w:noWrap/>
            <w:vAlign w:val="center"/>
            <w:hideMark/>
          </w:tcPr>
          <w:p w14:paraId="5F74930F" w14:textId="77777777" w:rsidR="00CA0B3B" w:rsidRPr="009303E0" w:rsidRDefault="00CA0B3B" w:rsidP="00CA0B3B">
            <w:pPr>
              <w:rPr>
                <w:rFonts w:asciiTheme="minorHAnsi" w:hAnsiTheme="minorHAnsi" w:cstheme="minorHAnsi"/>
                <w:color w:val="000000"/>
                <w:sz w:val="16"/>
                <w:szCs w:val="16"/>
              </w:rPr>
            </w:pPr>
            <w:r w:rsidRPr="009303E0">
              <w:rPr>
                <w:rFonts w:asciiTheme="minorHAnsi" w:hAnsiTheme="minorHAnsi" w:cstheme="minorHAnsi"/>
                <w:color w:val="000000"/>
                <w:sz w:val="16"/>
                <w:szCs w:val="16"/>
              </w:rPr>
              <w:t>Desapropriações</w:t>
            </w:r>
          </w:p>
        </w:tc>
        <w:tc>
          <w:tcPr>
            <w:tcW w:w="1081" w:type="pct"/>
            <w:tcBorders>
              <w:top w:val="nil"/>
              <w:left w:val="nil"/>
              <w:bottom w:val="nil"/>
              <w:right w:val="nil"/>
            </w:tcBorders>
            <w:vAlign w:val="center"/>
          </w:tcPr>
          <w:p w14:paraId="5296BB22" w14:textId="535ED4DE" w:rsidR="00CA0B3B" w:rsidRPr="009303E0" w:rsidRDefault="00CA0B3B" w:rsidP="00CA0B3B">
            <w:pPr>
              <w:jc w:val="right"/>
              <w:rPr>
                <w:rFonts w:asciiTheme="minorHAnsi" w:hAnsiTheme="minorHAnsi" w:cstheme="minorHAnsi"/>
                <w:color w:val="000000"/>
                <w:sz w:val="16"/>
                <w:szCs w:val="16"/>
              </w:rPr>
            </w:pPr>
            <w:r w:rsidRPr="009303E0">
              <w:rPr>
                <w:rFonts w:asciiTheme="minorHAnsi" w:hAnsiTheme="minorHAnsi" w:cstheme="minorHAnsi"/>
                <w:color w:val="000000"/>
                <w:sz w:val="16"/>
                <w:szCs w:val="16"/>
              </w:rPr>
              <w:t>18.748.049</w:t>
            </w:r>
          </w:p>
        </w:tc>
        <w:tc>
          <w:tcPr>
            <w:tcW w:w="857" w:type="pct"/>
            <w:tcBorders>
              <w:top w:val="nil"/>
              <w:left w:val="nil"/>
              <w:bottom w:val="nil"/>
              <w:right w:val="nil"/>
            </w:tcBorders>
          </w:tcPr>
          <w:p w14:paraId="6A1630F4" w14:textId="1A41CDE2" w:rsidR="00CA0B3B" w:rsidRPr="009303E0" w:rsidRDefault="00FB6AAC" w:rsidP="00CA0B3B">
            <w:pPr>
              <w:jc w:val="right"/>
              <w:rPr>
                <w:rFonts w:asciiTheme="minorHAnsi" w:hAnsiTheme="minorHAnsi" w:cstheme="minorHAnsi"/>
                <w:color w:val="000000"/>
                <w:sz w:val="16"/>
                <w:szCs w:val="16"/>
              </w:rPr>
            </w:pPr>
            <w:r>
              <w:rPr>
                <w:rFonts w:asciiTheme="minorHAnsi" w:hAnsiTheme="minorHAnsi" w:cstheme="minorHAnsi"/>
                <w:color w:val="000000"/>
                <w:sz w:val="16"/>
                <w:szCs w:val="16"/>
              </w:rPr>
              <w:t>-</w:t>
            </w:r>
          </w:p>
        </w:tc>
        <w:tc>
          <w:tcPr>
            <w:tcW w:w="1040" w:type="pct"/>
            <w:tcBorders>
              <w:top w:val="nil"/>
              <w:left w:val="nil"/>
              <w:bottom w:val="nil"/>
              <w:right w:val="nil"/>
            </w:tcBorders>
            <w:shd w:val="clear" w:color="auto" w:fill="auto"/>
            <w:noWrap/>
            <w:vAlign w:val="center"/>
          </w:tcPr>
          <w:p w14:paraId="0C036C77" w14:textId="35229E61" w:rsidR="00CA0B3B" w:rsidRPr="009303E0" w:rsidRDefault="00FB6AAC" w:rsidP="00CA0B3B">
            <w:pPr>
              <w:jc w:val="right"/>
              <w:rPr>
                <w:rFonts w:asciiTheme="minorHAnsi" w:hAnsiTheme="minorHAnsi" w:cstheme="minorHAnsi"/>
                <w:color w:val="000000"/>
                <w:sz w:val="16"/>
                <w:szCs w:val="16"/>
              </w:rPr>
            </w:pPr>
            <w:r>
              <w:rPr>
                <w:rFonts w:asciiTheme="minorHAnsi" w:hAnsiTheme="minorHAnsi" w:cstheme="minorHAnsi"/>
                <w:color w:val="000000"/>
                <w:sz w:val="16"/>
                <w:szCs w:val="16"/>
              </w:rPr>
              <w:t>(4.225.893)</w:t>
            </w:r>
          </w:p>
        </w:tc>
        <w:tc>
          <w:tcPr>
            <w:tcW w:w="975" w:type="pct"/>
            <w:tcBorders>
              <w:top w:val="nil"/>
              <w:left w:val="nil"/>
              <w:bottom w:val="nil"/>
              <w:right w:val="nil"/>
            </w:tcBorders>
            <w:shd w:val="clear" w:color="auto" w:fill="auto"/>
            <w:noWrap/>
            <w:vAlign w:val="center"/>
            <w:hideMark/>
          </w:tcPr>
          <w:p w14:paraId="7A64C1B5" w14:textId="2E2A5529" w:rsidR="00CA0B3B" w:rsidRPr="009303E0" w:rsidRDefault="00CA0B3B" w:rsidP="00CA0B3B">
            <w:pPr>
              <w:jc w:val="right"/>
              <w:rPr>
                <w:rFonts w:asciiTheme="minorHAnsi" w:hAnsiTheme="minorHAnsi" w:cstheme="minorHAnsi"/>
                <w:color w:val="000000"/>
                <w:sz w:val="16"/>
                <w:szCs w:val="16"/>
              </w:rPr>
            </w:pPr>
            <w:r>
              <w:rPr>
                <w:rFonts w:asciiTheme="minorHAnsi" w:hAnsiTheme="minorHAnsi" w:cstheme="minorHAnsi"/>
                <w:color w:val="000000"/>
                <w:sz w:val="16"/>
                <w:szCs w:val="16"/>
              </w:rPr>
              <w:t>14.522.156</w:t>
            </w:r>
          </w:p>
        </w:tc>
      </w:tr>
      <w:tr w:rsidR="00CA0B3B" w:rsidRPr="009303E0" w14:paraId="2AC1AC25" w14:textId="77777777" w:rsidTr="00C553AE">
        <w:trPr>
          <w:trHeight w:val="227"/>
          <w:jc w:val="center"/>
        </w:trPr>
        <w:tc>
          <w:tcPr>
            <w:tcW w:w="1047" w:type="pct"/>
            <w:tcBorders>
              <w:top w:val="nil"/>
              <w:left w:val="nil"/>
              <w:bottom w:val="nil"/>
              <w:right w:val="nil"/>
            </w:tcBorders>
            <w:shd w:val="clear" w:color="auto" w:fill="auto"/>
            <w:noWrap/>
            <w:vAlign w:val="center"/>
            <w:hideMark/>
          </w:tcPr>
          <w:p w14:paraId="65371482" w14:textId="77777777" w:rsidR="00CA0B3B" w:rsidRPr="009303E0" w:rsidRDefault="00CA0B3B" w:rsidP="00CA0B3B">
            <w:pPr>
              <w:rPr>
                <w:rFonts w:asciiTheme="minorHAnsi" w:hAnsiTheme="minorHAnsi" w:cstheme="minorHAnsi"/>
                <w:color w:val="000000"/>
                <w:sz w:val="16"/>
                <w:szCs w:val="16"/>
              </w:rPr>
            </w:pPr>
            <w:r w:rsidRPr="009303E0">
              <w:rPr>
                <w:rFonts w:asciiTheme="minorHAnsi" w:hAnsiTheme="minorHAnsi" w:cstheme="minorHAnsi"/>
                <w:color w:val="000000"/>
                <w:sz w:val="16"/>
                <w:szCs w:val="16"/>
              </w:rPr>
              <w:t>Trabalhistas</w:t>
            </w:r>
          </w:p>
        </w:tc>
        <w:tc>
          <w:tcPr>
            <w:tcW w:w="1081" w:type="pct"/>
            <w:tcBorders>
              <w:top w:val="nil"/>
              <w:left w:val="nil"/>
              <w:bottom w:val="nil"/>
              <w:right w:val="nil"/>
            </w:tcBorders>
            <w:vAlign w:val="center"/>
          </w:tcPr>
          <w:p w14:paraId="3FFE25B2" w14:textId="78192ABA" w:rsidR="00CA0B3B" w:rsidRPr="009303E0" w:rsidRDefault="00CA0B3B" w:rsidP="00CA0B3B">
            <w:pPr>
              <w:jc w:val="right"/>
              <w:rPr>
                <w:rFonts w:asciiTheme="minorHAnsi" w:hAnsiTheme="minorHAnsi" w:cstheme="minorHAnsi"/>
                <w:color w:val="000000"/>
                <w:sz w:val="16"/>
                <w:szCs w:val="16"/>
              </w:rPr>
            </w:pPr>
            <w:r w:rsidRPr="009303E0">
              <w:rPr>
                <w:rFonts w:asciiTheme="minorHAnsi" w:hAnsiTheme="minorHAnsi" w:cstheme="minorHAnsi"/>
                <w:color w:val="000000"/>
                <w:sz w:val="16"/>
                <w:szCs w:val="16"/>
              </w:rPr>
              <w:t>44.752.144</w:t>
            </w:r>
          </w:p>
        </w:tc>
        <w:tc>
          <w:tcPr>
            <w:tcW w:w="857" w:type="pct"/>
            <w:tcBorders>
              <w:top w:val="nil"/>
              <w:left w:val="nil"/>
              <w:bottom w:val="nil"/>
              <w:right w:val="nil"/>
            </w:tcBorders>
          </w:tcPr>
          <w:p w14:paraId="5347DD34" w14:textId="713CD6EF" w:rsidR="00CA0B3B" w:rsidRPr="009303E0" w:rsidRDefault="00FB6AAC" w:rsidP="00CA0B3B">
            <w:pPr>
              <w:jc w:val="right"/>
              <w:rPr>
                <w:rFonts w:asciiTheme="minorHAnsi" w:hAnsiTheme="minorHAnsi" w:cstheme="minorHAnsi"/>
                <w:color w:val="000000"/>
                <w:sz w:val="16"/>
                <w:szCs w:val="16"/>
              </w:rPr>
            </w:pPr>
            <w:r>
              <w:rPr>
                <w:rFonts w:asciiTheme="minorHAnsi" w:hAnsiTheme="minorHAnsi" w:cstheme="minorHAnsi"/>
                <w:color w:val="000000"/>
                <w:sz w:val="16"/>
                <w:szCs w:val="16"/>
              </w:rPr>
              <w:t>1.804.361</w:t>
            </w:r>
          </w:p>
        </w:tc>
        <w:tc>
          <w:tcPr>
            <w:tcW w:w="1040" w:type="pct"/>
            <w:tcBorders>
              <w:top w:val="nil"/>
              <w:left w:val="nil"/>
              <w:bottom w:val="nil"/>
              <w:right w:val="nil"/>
            </w:tcBorders>
            <w:shd w:val="clear" w:color="auto" w:fill="auto"/>
            <w:noWrap/>
            <w:vAlign w:val="center"/>
          </w:tcPr>
          <w:p w14:paraId="0BBF28B9" w14:textId="460E78D9" w:rsidR="00CA0B3B" w:rsidRPr="009303E0" w:rsidRDefault="00FB6AAC" w:rsidP="00CA0B3B">
            <w:pPr>
              <w:jc w:val="right"/>
              <w:rPr>
                <w:rFonts w:asciiTheme="minorHAnsi" w:hAnsiTheme="minorHAnsi" w:cstheme="minorHAnsi"/>
                <w:color w:val="000000"/>
                <w:sz w:val="16"/>
                <w:szCs w:val="16"/>
              </w:rPr>
            </w:pPr>
            <w:r>
              <w:rPr>
                <w:rFonts w:asciiTheme="minorHAnsi" w:hAnsiTheme="minorHAnsi" w:cstheme="minorHAnsi"/>
                <w:color w:val="000000"/>
                <w:sz w:val="16"/>
                <w:szCs w:val="16"/>
              </w:rPr>
              <w:t>-</w:t>
            </w:r>
          </w:p>
        </w:tc>
        <w:tc>
          <w:tcPr>
            <w:tcW w:w="975" w:type="pct"/>
            <w:tcBorders>
              <w:top w:val="nil"/>
              <w:left w:val="nil"/>
              <w:bottom w:val="nil"/>
              <w:right w:val="nil"/>
            </w:tcBorders>
            <w:shd w:val="clear" w:color="auto" w:fill="auto"/>
            <w:noWrap/>
            <w:vAlign w:val="center"/>
            <w:hideMark/>
          </w:tcPr>
          <w:p w14:paraId="3F89F67B" w14:textId="5FB9C45D" w:rsidR="00CA0B3B" w:rsidRPr="009303E0" w:rsidRDefault="00CA0B3B" w:rsidP="00CA0B3B">
            <w:pPr>
              <w:jc w:val="right"/>
              <w:rPr>
                <w:rFonts w:asciiTheme="minorHAnsi" w:hAnsiTheme="minorHAnsi" w:cstheme="minorHAnsi"/>
                <w:color w:val="000000"/>
                <w:sz w:val="16"/>
                <w:szCs w:val="16"/>
              </w:rPr>
            </w:pPr>
            <w:r w:rsidRPr="009303E0">
              <w:rPr>
                <w:rFonts w:asciiTheme="minorHAnsi" w:hAnsiTheme="minorHAnsi" w:cstheme="minorHAnsi"/>
                <w:color w:val="000000"/>
                <w:sz w:val="16"/>
                <w:szCs w:val="16"/>
              </w:rPr>
              <w:t>4</w:t>
            </w:r>
            <w:r w:rsidR="004D0B33">
              <w:rPr>
                <w:rFonts w:asciiTheme="minorHAnsi" w:hAnsiTheme="minorHAnsi" w:cstheme="minorHAnsi"/>
                <w:color w:val="000000"/>
                <w:sz w:val="16"/>
                <w:szCs w:val="16"/>
              </w:rPr>
              <w:t>6</w:t>
            </w:r>
            <w:r w:rsidRPr="009303E0">
              <w:rPr>
                <w:rFonts w:asciiTheme="minorHAnsi" w:hAnsiTheme="minorHAnsi" w:cstheme="minorHAnsi"/>
                <w:color w:val="000000"/>
                <w:sz w:val="16"/>
                <w:szCs w:val="16"/>
              </w:rPr>
              <w:t>.</w:t>
            </w:r>
            <w:r>
              <w:rPr>
                <w:rFonts w:asciiTheme="minorHAnsi" w:hAnsiTheme="minorHAnsi" w:cstheme="minorHAnsi"/>
                <w:color w:val="000000"/>
                <w:sz w:val="16"/>
                <w:szCs w:val="16"/>
              </w:rPr>
              <w:t>556</w:t>
            </w:r>
            <w:r w:rsidRPr="009303E0">
              <w:rPr>
                <w:rFonts w:asciiTheme="minorHAnsi" w:hAnsiTheme="minorHAnsi" w:cstheme="minorHAnsi"/>
                <w:color w:val="000000"/>
                <w:sz w:val="16"/>
                <w:szCs w:val="16"/>
              </w:rPr>
              <w:t>.</w:t>
            </w:r>
            <w:r>
              <w:rPr>
                <w:rFonts w:asciiTheme="minorHAnsi" w:hAnsiTheme="minorHAnsi" w:cstheme="minorHAnsi"/>
                <w:color w:val="000000"/>
                <w:sz w:val="16"/>
                <w:szCs w:val="16"/>
              </w:rPr>
              <w:t>505</w:t>
            </w:r>
          </w:p>
        </w:tc>
      </w:tr>
      <w:tr w:rsidR="00CA0B3B" w:rsidRPr="009303E0" w14:paraId="0AC136A9" w14:textId="77777777" w:rsidTr="00C553AE">
        <w:trPr>
          <w:trHeight w:val="227"/>
          <w:jc w:val="center"/>
        </w:trPr>
        <w:tc>
          <w:tcPr>
            <w:tcW w:w="1047" w:type="pct"/>
            <w:tcBorders>
              <w:top w:val="nil"/>
              <w:left w:val="nil"/>
              <w:bottom w:val="nil"/>
              <w:right w:val="nil"/>
            </w:tcBorders>
            <w:shd w:val="clear" w:color="auto" w:fill="auto"/>
            <w:noWrap/>
            <w:vAlign w:val="center"/>
            <w:hideMark/>
          </w:tcPr>
          <w:p w14:paraId="62F5CAA6" w14:textId="77777777" w:rsidR="00CA0B3B" w:rsidRPr="009303E0" w:rsidRDefault="00CA0B3B" w:rsidP="00CA0B3B">
            <w:pPr>
              <w:rPr>
                <w:rFonts w:asciiTheme="minorHAnsi" w:hAnsiTheme="minorHAnsi" w:cstheme="minorHAnsi"/>
                <w:color w:val="000000"/>
                <w:sz w:val="16"/>
                <w:szCs w:val="16"/>
              </w:rPr>
            </w:pPr>
            <w:r w:rsidRPr="009303E0">
              <w:rPr>
                <w:rFonts w:asciiTheme="minorHAnsi" w:hAnsiTheme="minorHAnsi" w:cstheme="minorHAnsi"/>
                <w:color w:val="000000"/>
                <w:sz w:val="16"/>
                <w:szCs w:val="16"/>
              </w:rPr>
              <w:t>Cíveis</w:t>
            </w:r>
          </w:p>
        </w:tc>
        <w:tc>
          <w:tcPr>
            <w:tcW w:w="1081" w:type="pct"/>
            <w:tcBorders>
              <w:top w:val="nil"/>
              <w:left w:val="nil"/>
              <w:bottom w:val="nil"/>
              <w:right w:val="nil"/>
            </w:tcBorders>
            <w:vAlign w:val="center"/>
          </w:tcPr>
          <w:p w14:paraId="5335CAC6" w14:textId="788918DA" w:rsidR="00CA0B3B" w:rsidRPr="009303E0" w:rsidRDefault="00CA0B3B" w:rsidP="00CA0B3B">
            <w:pPr>
              <w:jc w:val="right"/>
              <w:rPr>
                <w:rFonts w:asciiTheme="minorHAnsi" w:hAnsiTheme="minorHAnsi" w:cstheme="minorHAnsi"/>
                <w:color w:val="000000"/>
                <w:sz w:val="16"/>
                <w:szCs w:val="16"/>
              </w:rPr>
            </w:pPr>
            <w:r w:rsidRPr="009303E0">
              <w:rPr>
                <w:rFonts w:asciiTheme="minorHAnsi" w:hAnsiTheme="minorHAnsi" w:cstheme="minorHAnsi"/>
                <w:color w:val="000000"/>
                <w:sz w:val="16"/>
                <w:szCs w:val="16"/>
              </w:rPr>
              <w:t>15.697.037</w:t>
            </w:r>
          </w:p>
        </w:tc>
        <w:tc>
          <w:tcPr>
            <w:tcW w:w="857" w:type="pct"/>
            <w:tcBorders>
              <w:top w:val="nil"/>
              <w:left w:val="nil"/>
              <w:bottom w:val="nil"/>
              <w:right w:val="nil"/>
            </w:tcBorders>
          </w:tcPr>
          <w:p w14:paraId="55AA3B36" w14:textId="3965CDC8" w:rsidR="00CA0B3B" w:rsidRPr="009303E0" w:rsidRDefault="00FB6AAC" w:rsidP="00CA0B3B">
            <w:pPr>
              <w:jc w:val="right"/>
              <w:rPr>
                <w:rFonts w:asciiTheme="minorHAnsi" w:hAnsiTheme="minorHAnsi" w:cstheme="minorHAnsi"/>
                <w:color w:val="000000"/>
                <w:sz w:val="16"/>
                <w:szCs w:val="16"/>
              </w:rPr>
            </w:pPr>
            <w:r>
              <w:rPr>
                <w:rFonts w:asciiTheme="minorHAnsi" w:hAnsiTheme="minorHAnsi" w:cstheme="minorHAnsi"/>
                <w:color w:val="000000"/>
                <w:sz w:val="16"/>
                <w:szCs w:val="16"/>
              </w:rPr>
              <w:t>-</w:t>
            </w:r>
          </w:p>
        </w:tc>
        <w:tc>
          <w:tcPr>
            <w:tcW w:w="1040" w:type="pct"/>
            <w:tcBorders>
              <w:top w:val="nil"/>
              <w:left w:val="nil"/>
              <w:bottom w:val="nil"/>
              <w:right w:val="nil"/>
            </w:tcBorders>
            <w:shd w:val="clear" w:color="auto" w:fill="auto"/>
            <w:noWrap/>
            <w:vAlign w:val="center"/>
          </w:tcPr>
          <w:p w14:paraId="074C44C6" w14:textId="087CDE38" w:rsidR="00CA0B3B" w:rsidRPr="009303E0" w:rsidRDefault="00FB6AAC" w:rsidP="00CA0B3B">
            <w:pPr>
              <w:jc w:val="right"/>
              <w:rPr>
                <w:rFonts w:asciiTheme="minorHAnsi" w:hAnsiTheme="minorHAnsi" w:cstheme="minorHAnsi"/>
                <w:color w:val="000000"/>
                <w:sz w:val="16"/>
                <w:szCs w:val="16"/>
              </w:rPr>
            </w:pPr>
            <w:r>
              <w:rPr>
                <w:rFonts w:asciiTheme="minorHAnsi" w:hAnsiTheme="minorHAnsi" w:cstheme="minorHAnsi"/>
                <w:color w:val="000000"/>
                <w:sz w:val="16"/>
                <w:szCs w:val="16"/>
              </w:rPr>
              <w:t>(1.006.076)</w:t>
            </w:r>
          </w:p>
        </w:tc>
        <w:tc>
          <w:tcPr>
            <w:tcW w:w="975" w:type="pct"/>
            <w:tcBorders>
              <w:top w:val="nil"/>
              <w:left w:val="nil"/>
              <w:bottom w:val="nil"/>
              <w:right w:val="nil"/>
            </w:tcBorders>
            <w:shd w:val="clear" w:color="auto" w:fill="auto"/>
            <w:noWrap/>
            <w:vAlign w:val="center"/>
            <w:hideMark/>
          </w:tcPr>
          <w:p w14:paraId="13F72132" w14:textId="1F8562DC" w:rsidR="00CA0B3B" w:rsidRPr="009303E0" w:rsidRDefault="00CA0B3B" w:rsidP="00CA0B3B">
            <w:pPr>
              <w:jc w:val="right"/>
              <w:rPr>
                <w:rFonts w:asciiTheme="minorHAnsi" w:hAnsiTheme="minorHAnsi" w:cstheme="minorHAnsi"/>
                <w:color w:val="000000"/>
                <w:sz w:val="16"/>
                <w:szCs w:val="16"/>
              </w:rPr>
            </w:pPr>
            <w:r>
              <w:rPr>
                <w:rFonts w:asciiTheme="minorHAnsi" w:hAnsiTheme="minorHAnsi" w:cstheme="minorHAnsi"/>
                <w:color w:val="000000"/>
                <w:sz w:val="16"/>
                <w:szCs w:val="16"/>
              </w:rPr>
              <w:t>14.690.961</w:t>
            </w:r>
          </w:p>
        </w:tc>
      </w:tr>
      <w:tr w:rsidR="00CA0B3B" w:rsidRPr="009303E0" w14:paraId="79BF709F" w14:textId="77777777" w:rsidTr="00C553AE">
        <w:trPr>
          <w:trHeight w:val="227"/>
          <w:jc w:val="center"/>
        </w:trPr>
        <w:tc>
          <w:tcPr>
            <w:tcW w:w="1047" w:type="pct"/>
            <w:tcBorders>
              <w:top w:val="nil"/>
              <w:left w:val="nil"/>
              <w:bottom w:val="nil"/>
              <w:right w:val="nil"/>
            </w:tcBorders>
            <w:shd w:val="clear" w:color="auto" w:fill="auto"/>
            <w:noWrap/>
            <w:vAlign w:val="center"/>
            <w:hideMark/>
          </w:tcPr>
          <w:p w14:paraId="315AAD6A" w14:textId="77777777" w:rsidR="00CA0B3B" w:rsidRPr="009303E0" w:rsidRDefault="00CA0B3B" w:rsidP="00CA0B3B">
            <w:pPr>
              <w:rPr>
                <w:rFonts w:asciiTheme="minorHAnsi" w:hAnsiTheme="minorHAnsi" w:cstheme="minorHAnsi"/>
                <w:color w:val="000000"/>
                <w:sz w:val="16"/>
                <w:szCs w:val="16"/>
              </w:rPr>
            </w:pPr>
            <w:r w:rsidRPr="009303E0">
              <w:rPr>
                <w:rFonts w:asciiTheme="minorHAnsi" w:hAnsiTheme="minorHAnsi" w:cstheme="minorHAnsi"/>
                <w:color w:val="000000"/>
                <w:sz w:val="16"/>
                <w:szCs w:val="16"/>
              </w:rPr>
              <w:t>Tributárias</w:t>
            </w:r>
          </w:p>
        </w:tc>
        <w:tc>
          <w:tcPr>
            <w:tcW w:w="1081" w:type="pct"/>
            <w:tcBorders>
              <w:top w:val="nil"/>
              <w:left w:val="nil"/>
              <w:bottom w:val="nil"/>
              <w:right w:val="nil"/>
            </w:tcBorders>
            <w:vAlign w:val="center"/>
          </w:tcPr>
          <w:p w14:paraId="0B30FCCF" w14:textId="3E8B69FE" w:rsidR="00CA0B3B" w:rsidRPr="009303E0" w:rsidRDefault="00CA0B3B" w:rsidP="00CA0B3B">
            <w:pPr>
              <w:jc w:val="right"/>
              <w:rPr>
                <w:rFonts w:asciiTheme="minorHAnsi" w:hAnsiTheme="minorHAnsi" w:cstheme="minorHAnsi"/>
                <w:color w:val="000000"/>
                <w:sz w:val="16"/>
                <w:szCs w:val="16"/>
              </w:rPr>
            </w:pPr>
            <w:r w:rsidRPr="009303E0">
              <w:rPr>
                <w:rFonts w:asciiTheme="minorHAnsi" w:hAnsiTheme="minorHAnsi" w:cstheme="minorHAnsi"/>
                <w:color w:val="000000"/>
                <w:sz w:val="16"/>
                <w:szCs w:val="16"/>
              </w:rPr>
              <w:t>0</w:t>
            </w:r>
          </w:p>
        </w:tc>
        <w:tc>
          <w:tcPr>
            <w:tcW w:w="857" w:type="pct"/>
            <w:tcBorders>
              <w:top w:val="nil"/>
              <w:left w:val="nil"/>
              <w:bottom w:val="nil"/>
              <w:right w:val="nil"/>
            </w:tcBorders>
          </w:tcPr>
          <w:p w14:paraId="018C47A1" w14:textId="2EEB0E5C" w:rsidR="00CA0B3B" w:rsidRPr="009303E0" w:rsidRDefault="00EE2E70" w:rsidP="00CA0B3B">
            <w:pPr>
              <w:jc w:val="right"/>
              <w:rPr>
                <w:rFonts w:asciiTheme="minorHAnsi" w:hAnsiTheme="minorHAnsi" w:cstheme="minorHAnsi"/>
                <w:color w:val="000000"/>
                <w:sz w:val="16"/>
                <w:szCs w:val="16"/>
              </w:rPr>
            </w:pPr>
            <w:r>
              <w:rPr>
                <w:rFonts w:asciiTheme="minorHAnsi" w:hAnsiTheme="minorHAnsi" w:cstheme="minorHAnsi"/>
                <w:color w:val="000000"/>
                <w:sz w:val="16"/>
                <w:szCs w:val="16"/>
              </w:rPr>
              <w:t>-</w:t>
            </w:r>
          </w:p>
        </w:tc>
        <w:tc>
          <w:tcPr>
            <w:tcW w:w="1040" w:type="pct"/>
            <w:tcBorders>
              <w:top w:val="nil"/>
              <w:left w:val="nil"/>
              <w:bottom w:val="nil"/>
              <w:right w:val="nil"/>
            </w:tcBorders>
            <w:shd w:val="clear" w:color="auto" w:fill="auto"/>
            <w:noWrap/>
            <w:vAlign w:val="center"/>
          </w:tcPr>
          <w:p w14:paraId="6D896325" w14:textId="4CE8F3B5" w:rsidR="00CA0B3B" w:rsidRPr="009303E0" w:rsidRDefault="00EE2E70" w:rsidP="00CA0B3B">
            <w:pPr>
              <w:jc w:val="right"/>
              <w:rPr>
                <w:rFonts w:asciiTheme="minorHAnsi" w:hAnsiTheme="minorHAnsi" w:cstheme="minorHAnsi"/>
                <w:color w:val="000000"/>
                <w:sz w:val="16"/>
                <w:szCs w:val="16"/>
              </w:rPr>
            </w:pPr>
            <w:r>
              <w:rPr>
                <w:rFonts w:asciiTheme="minorHAnsi" w:hAnsiTheme="minorHAnsi" w:cstheme="minorHAnsi"/>
                <w:color w:val="000000"/>
                <w:sz w:val="16"/>
                <w:szCs w:val="16"/>
              </w:rPr>
              <w:t>-</w:t>
            </w:r>
          </w:p>
        </w:tc>
        <w:tc>
          <w:tcPr>
            <w:tcW w:w="975" w:type="pct"/>
            <w:tcBorders>
              <w:top w:val="nil"/>
              <w:left w:val="nil"/>
              <w:bottom w:val="nil"/>
              <w:right w:val="nil"/>
            </w:tcBorders>
            <w:shd w:val="clear" w:color="auto" w:fill="auto"/>
            <w:noWrap/>
            <w:vAlign w:val="center"/>
            <w:hideMark/>
          </w:tcPr>
          <w:p w14:paraId="4AAD69C4" w14:textId="77777777" w:rsidR="00CA0B3B" w:rsidRPr="009303E0" w:rsidRDefault="00CA0B3B" w:rsidP="00CA0B3B">
            <w:pPr>
              <w:jc w:val="right"/>
              <w:rPr>
                <w:rFonts w:asciiTheme="minorHAnsi" w:hAnsiTheme="minorHAnsi" w:cstheme="minorHAnsi"/>
                <w:color w:val="000000"/>
                <w:sz w:val="16"/>
                <w:szCs w:val="16"/>
              </w:rPr>
            </w:pPr>
            <w:r w:rsidRPr="009303E0">
              <w:rPr>
                <w:rFonts w:asciiTheme="minorHAnsi" w:hAnsiTheme="minorHAnsi" w:cstheme="minorHAnsi"/>
                <w:color w:val="000000"/>
                <w:sz w:val="16"/>
                <w:szCs w:val="16"/>
              </w:rPr>
              <w:t>0</w:t>
            </w:r>
          </w:p>
        </w:tc>
      </w:tr>
      <w:tr w:rsidR="00CA0B3B" w:rsidRPr="009303E0" w14:paraId="518EB004" w14:textId="77777777" w:rsidTr="00C553AE">
        <w:trPr>
          <w:trHeight w:val="227"/>
          <w:jc w:val="center"/>
        </w:trPr>
        <w:tc>
          <w:tcPr>
            <w:tcW w:w="1047" w:type="pct"/>
            <w:tcBorders>
              <w:top w:val="nil"/>
              <w:left w:val="nil"/>
              <w:bottom w:val="single" w:sz="8" w:space="0" w:color="auto"/>
              <w:right w:val="nil"/>
            </w:tcBorders>
            <w:shd w:val="clear" w:color="auto" w:fill="auto"/>
            <w:noWrap/>
            <w:vAlign w:val="center"/>
            <w:hideMark/>
          </w:tcPr>
          <w:p w14:paraId="40507D98" w14:textId="77777777" w:rsidR="00CA0B3B" w:rsidRPr="009303E0" w:rsidRDefault="00CA0B3B" w:rsidP="00CA0B3B">
            <w:pPr>
              <w:rPr>
                <w:rFonts w:asciiTheme="minorHAnsi" w:hAnsiTheme="minorHAnsi" w:cstheme="minorHAnsi"/>
                <w:color w:val="000000"/>
                <w:sz w:val="16"/>
                <w:szCs w:val="16"/>
              </w:rPr>
            </w:pPr>
            <w:r w:rsidRPr="009303E0">
              <w:rPr>
                <w:rFonts w:asciiTheme="minorHAnsi" w:hAnsiTheme="minorHAnsi" w:cstheme="minorHAnsi"/>
                <w:color w:val="000000"/>
                <w:sz w:val="16"/>
                <w:szCs w:val="16"/>
              </w:rPr>
              <w:t>Previdenciárias</w:t>
            </w:r>
          </w:p>
        </w:tc>
        <w:tc>
          <w:tcPr>
            <w:tcW w:w="1081" w:type="pct"/>
            <w:tcBorders>
              <w:top w:val="nil"/>
              <w:left w:val="nil"/>
              <w:bottom w:val="single" w:sz="8" w:space="0" w:color="auto"/>
              <w:right w:val="nil"/>
            </w:tcBorders>
            <w:vAlign w:val="center"/>
          </w:tcPr>
          <w:p w14:paraId="7197D2F6" w14:textId="056E066D" w:rsidR="00CA0B3B" w:rsidRPr="009303E0" w:rsidRDefault="00CA0B3B" w:rsidP="00CA0B3B">
            <w:pPr>
              <w:jc w:val="right"/>
              <w:rPr>
                <w:rFonts w:asciiTheme="minorHAnsi" w:hAnsiTheme="minorHAnsi" w:cstheme="minorHAnsi"/>
                <w:color w:val="000000"/>
                <w:sz w:val="16"/>
                <w:szCs w:val="16"/>
              </w:rPr>
            </w:pPr>
            <w:r w:rsidRPr="009303E0">
              <w:rPr>
                <w:rFonts w:asciiTheme="minorHAnsi" w:hAnsiTheme="minorHAnsi" w:cstheme="minorHAnsi"/>
                <w:color w:val="000000"/>
                <w:sz w:val="16"/>
                <w:szCs w:val="16"/>
              </w:rPr>
              <w:t>0</w:t>
            </w:r>
          </w:p>
        </w:tc>
        <w:tc>
          <w:tcPr>
            <w:tcW w:w="857" w:type="pct"/>
            <w:tcBorders>
              <w:top w:val="nil"/>
              <w:left w:val="nil"/>
              <w:bottom w:val="single" w:sz="8" w:space="0" w:color="auto"/>
              <w:right w:val="nil"/>
            </w:tcBorders>
          </w:tcPr>
          <w:p w14:paraId="3064B08B" w14:textId="0A92AB67" w:rsidR="00CA0B3B" w:rsidRPr="009303E0" w:rsidRDefault="00EE2E70" w:rsidP="00CA0B3B">
            <w:pPr>
              <w:jc w:val="right"/>
              <w:rPr>
                <w:rFonts w:asciiTheme="minorHAnsi" w:hAnsiTheme="minorHAnsi" w:cstheme="minorHAnsi"/>
                <w:color w:val="000000"/>
                <w:sz w:val="16"/>
                <w:szCs w:val="16"/>
              </w:rPr>
            </w:pPr>
            <w:r>
              <w:rPr>
                <w:rFonts w:asciiTheme="minorHAnsi" w:hAnsiTheme="minorHAnsi" w:cstheme="minorHAnsi"/>
                <w:color w:val="000000"/>
                <w:sz w:val="16"/>
                <w:szCs w:val="16"/>
              </w:rPr>
              <w:t>-</w:t>
            </w:r>
          </w:p>
        </w:tc>
        <w:tc>
          <w:tcPr>
            <w:tcW w:w="1040" w:type="pct"/>
            <w:tcBorders>
              <w:top w:val="nil"/>
              <w:left w:val="nil"/>
              <w:bottom w:val="single" w:sz="8" w:space="0" w:color="auto"/>
              <w:right w:val="nil"/>
            </w:tcBorders>
            <w:shd w:val="clear" w:color="auto" w:fill="auto"/>
            <w:noWrap/>
            <w:vAlign w:val="center"/>
          </w:tcPr>
          <w:p w14:paraId="1BA3FA1F" w14:textId="37C648F0" w:rsidR="00CA0B3B" w:rsidRPr="009303E0" w:rsidRDefault="00EE2E70" w:rsidP="00CA0B3B">
            <w:pPr>
              <w:jc w:val="right"/>
              <w:rPr>
                <w:rFonts w:asciiTheme="minorHAnsi" w:hAnsiTheme="minorHAnsi" w:cstheme="minorHAnsi"/>
                <w:color w:val="000000"/>
                <w:sz w:val="16"/>
                <w:szCs w:val="16"/>
              </w:rPr>
            </w:pPr>
            <w:r>
              <w:rPr>
                <w:rFonts w:asciiTheme="minorHAnsi" w:hAnsiTheme="minorHAnsi" w:cstheme="minorHAnsi"/>
                <w:color w:val="000000"/>
                <w:sz w:val="16"/>
                <w:szCs w:val="16"/>
              </w:rPr>
              <w:t>-</w:t>
            </w:r>
          </w:p>
        </w:tc>
        <w:tc>
          <w:tcPr>
            <w:tcW w:w="975" w:type="pct"/>
            <w:tcBorders>
              <w:top w:val="nil"/>
              <w:left w:val="nil"/>
              <w:bottom w:val="single" w:sz="8" w:space="0" w:color="auto"/>
              <w:right w:val="nil"/>
            </w:tcBorders>
            <w:shd w:val="clear" w:color="auto" w:fill="auto"/>
            <w:noWrap/>
            <w:vAlign w:val="center"/>
            <w:hideMark/>
          </w:tcPr>
          <w:p w14:paraId="7CBF4A34" w14:textId="77777777" w:rsidR="00CA0B3B" w:rsidRPr="009303E0" w:rsidRDefault="00CA0B3B" w:rsidP="00CA0B3B">
            <w:pPr>
              <w:jc w:val="right"/>
              <w:rPr>
                <w:rFonts w:asciiTheme="minorHAnsi" w:hAnsiTheme="minorHAnsi" w:cstheme="minorHAnsi"/>
                <w:color w:val="000000"/>
                <w:sz w:val="16"/>
                <w:szCs w:val="16"/>
              </w:rPr>
            </w:pPr>
            <w:r w:rsidRPr="009303E0">
              <w:rPr>
                <w:rFonts w:asciiTheme="minorHAnsi" w:hAnsiTheme="minorHAnsi" w:cstheme="minorHAnsi"/>
                <w:color w:val="000000"/>
                <w:sz w:val="16"/>
                <w:szCs w:val="16"/>
              </w:rPr>
              <w:t>0</w:t>
            </w:r>
          </w:p>
        </w:tc>
      </w:tr>
      <w:tr w:rsidR="00CA0B3B" w:rsidRPr="009303E0" w14:paraId="6DD33B6C" w14:textId="77777777" w:rsidTr="00C553AE">
        <w:trPr>
          <w:trHeight w:val="227"/>
          <w:jc w:val="center"/>
        </w:trPr>
        <w:tc>
          <w:tcPr>
            <w:tcW w:w="1047" w:type="pct"/>
            <w:tcBorders>
              <w:top w:val="nil"/>
              <w:left w:val="nil"/>
              <w:bottom w:val="single" w:sz="8" w:space="0" w:color="auto"/>
              <w:right w:val="nil"/>
            </w:tcBorders>
            <w:shd w:val="clear" w:color="auto" w:fill="auto"/>
            <w:noWrap/>
            <w:vAlign w:val="center"/>
            <w:hideMark/>
          </w:tcPr>
          <w:p w14:paraId="6A035E7F" w14:textId="2207B5B2" w:rsidR="00CA0B3B" w:rsidRPr="009303E0" w:rsidRDefault="000F13E3" w:rsidP="00CA0B3B">
            <w:pPr>
              <w:rPr>
                <w:rFonts w:asciiTheme="minorHAnsi" w:hAnsiTheme="minorHAnsi" w:cstheme="minorHAnsi"/>
                <w:b/>
                <w:bCs/>
                <w:color w:val="000000"/>
                <w:sz w:val="16"/>
                <w:szCs w:val="16"/>
              </w:rPr>
            </w:pPr>
            <w:r>
              <w:rPr>
                <w:rFonts w:asciiTheme="minorHAnsi" w:hAnsiTheme="minorHAnsi" w:cstheme="minorHAnsi"/>
                <w:b/>
                <w:bCs/>
                <w:color w:val="000000"/>
                <w:sz w:val="16"/>
                <w:szCs w:val="16"/>
              </w:rPr>
              <w:t>Não Circulante</w:t>
            </w:r>
          </w:p>
        </w:tc>
        <w:tc>
          <w:tcPr>
            <w:tcW w:w="1081" w:type="pct"/>
            <w:tcBorders>
              <w:top w:val="nil"/>
              <w:left w:val="nil"/>
              <w:bottom w:val="single" w:sz="8" w:space="0" w:color="auto"/>
              <w:right w:val="nil"/>
            </w:tcBorders>
          </w:tcPr>
          <w:p w14:paraId="5609EC45" w14:textId="3A21D854" w:rsidR="00CA0B3B" w:rsidRPr="009303E0" w:rsidRDefault="00CA0B3B" w:rsidP="00CA0B3B">
            <w:pPr>
              <w:jc w:val="right"/>
              <w:rPr>
                <w:rFonts w:asciiTheme="minorHAnsi" w:hAnsiTheme="minorHAnsi" w:cstheme="minorHAnsi"/>
                <w:b/>
                <w:bCs/>
                <w:color w:val="000000"/>
                <w:sz w:val="16"/>
                <w:szCs w:val="16"/>
              </w:rPr>
            </w:pPr>
            <w:r w:rsidRPr="009303E0">
              <w:rPr>
                <w:rFonts w:asciiTheme="minorHAnsi" w:hAnsiTheme="minorHAnsi" w:cstheme="minorHAnsi"/>
                <w:b/>
                <w:bCs/>
                <w:color w:val="000000"/>
                <w:sz w:val="16"/>
                <w:szCs w:val="16"/>
              </w:rPr>
              <w:t>1.892.365.689</w:t>
            </w:r>
          </w:p>
        </w:tc>
        <w:tc>
          <w:tcPr>
            <w:tcW w:w="857" w:type="pct"/>
            <w:tcBorders>
              <w:top w:val="nil"/>
              <w:left w:val="nil"/>
              <w:bottom w:val="single" w:sz="8" w:space="0" w:color="auto"/>
              <w:right w:val="nil"/>
            </w:tcBorders>
          </w:tcPr>
          <w:p w14:paraId="16EF4B8B" w14:textId="7A63B3D4" w:rsidR="00CA0B3B" w:rsidRPr="009303E0" w:rsidRDefault="00EE2E70" w:rsidP="00CA0B3B">
            <w:pPr>
              <w:jc w:val="right"/>
              <w:rPr>
                <w:rFonts w:asciiTheme="minorHAnsi" w:hAnsiTheme="minorHAnsi" w:cstheme="minorHAnsi"/>
                <w:b/>
                <w:bCs/>
                <w:color w:val="000000"/>
                <w:sz w:val="16"/>
                <w:szCs w:val="16"/>
              </w:rPr>
            </w:pPr>
            <w:r>
              <w:rPr>
                <w:rFonts w:asciiTheme="minorHAnsi" w:hAnsiTheme="minorHAnsi" w:cstheme="minorHAnsi"/>
                <w:b/>
                <w:bCs/>
                <w:color w:val="000000"/>
                <w:sz w:val="16"/>
                <w:szCs w:val="16"/>
              </w:rPr>
              <w:t>2.064.745</w:t>
            </w:r>
          </w:p>
        </w:tc>
        <w:tc>
          <w:tcPr>
            <w:tcW w:w="1040" w:type="pct"/>
            <w:tcBorders>
              <w:top w:val="nil"/>
              <w:left w:val="nil"/>
              <w:bottom w:val="single" w:sz="8" w:space="0" w:color="auto"/>
              <w:right w:val="nil"/>
            </w:tcBorders>
            <w:shd w:val="clear" w:color="auto" w:fill="auto"/>
            <w:noWrap/>
            <w:vAlign w:val="center"/>
          </w:tcPr>
          <w:p w14:paraId="158DB717" w14:textId="2995FA25" w:rsidR="00CA0B3B" w:rsidRPr="009303E0" w:rsidRDefault="00EE2E70" w:rsidP="00CA0B3B">
            <w:pPr>
              <w:jc w:val="right"/>
              <w:rPr>
                <w:rFonts w:asciiTheme="minorHAnsi" w:hAnsiTheme="minorHAnsi" w:cstheme="minorHAnsi"/>
                <w:b/>
                <w:bCs/>
                <w:color w:val="000000"/>
                <w:sz w:val="16"/>
                <w:szCs w:val="16"/>
              </w:rPr>
            </w:pPr>
            <w:r>
              <w:rPr>
                <w:rFonts w:asciiTheme="minorHAnsi" w:hAnsiTheme="minorHAnsi" w:cstheme="minorHAnsi"/>
                <w:b/>
                <w:bCs/>
                <w:color w:val="000000"/>
                <w:sz w:val="16"/>
                <w:szCs w:val="16"/>
              </w:rPr>
              <w:t>(46.396.999)</w:t>
            </w:r>
          </w:p>
        </w:tc>
        <w:tc>
          <w:tcPr>
            <w:tcW w:w="975" w:type="pct"/>
            <w:tcBorders>
              <w:top w:val="nil"/>
              <w:left w:val="nil"/>
              <w:bottom w:val="single" w:sz="8" w:space="0" w:color="auto"/>
              <w:right w:val="nil"/>
            </w:tcBorders>
            <w:shd w:val="clear" w:color="auto" w:fill="auto"/>
            <w:noWrap/>
            <w:vAlign w:val="center"/>
            <w:hideMark/>
          </w:tcPr>
          <w:p w14:paraId="78B5B44F" w14:textId="3EDD2F5F" w:rsidR="00CA0B3B" w:rsidRPr="009303E0" w:rsidRDefault="00CA0B3B" w:rsidP="00CA0B3B">
            <w:pPr>
              <w:jc w:val="right"/>
              <w:rPr>
                <w:rFonts w:asciiTheme="minorHAnsi" w:hAnsiTheme="minorHAnsi" w:cstheme="minorHAnsi"/>
                <w:b/>
                <w:bCs/>
                <w:color w:val="000000"/>
                <w:sz w:val="16"/>
                <w:szCs w:val="16"/>
              </w:rPr>
            </w:pPr>
            <w:r>
              <w:rPr>
                <w:rFonts w:asciiTheme="minorHAnsi" w:hAnsiTheme="minorHAnsi" w:cstheme="minorHAnsi"/>
                <w:b/>
                <w:bCs/>
                <w:color w:val="000000"/>
                <w:sz w:val="16"/>
                <w:szCs w:val="16"/>
              </w:rPr>
              <w:t>1.848.033.435</w:t>
            </w:r>
          </w:p>
        </w:tc>
      </w:tr>
      <w:tr w:rsidR="00CA0B3B" w:rsidRPr="009303E0" w14:paraId="04DDEADA" w14:textId="77777777" w:rsidTr="00C553AE">
        <w:trPr>
          <w:trHeight w:val="227"/>
          <w:jc w:val="center"/>
        </w:trPr>
        <w:tc>
          <w:tcPr>
            <w:tcW w:w="1047" w:type="pct"/>
            <w:tcBorders>
              <w:top w:val="nil"/>
              <w:left w:val="nil"/>
              <w:bottom w:val="nil"/>
              <w:right w:val="nil"/>
            </w:tcBorders>
            <w:shd w:val="clear" w:color="auto" w:fill="auto"/>
            <w:noWrap/>
            <w:vAlign w:val="center"/>
            <w:hideMark/>
          </w:tcPr>
          <w:p w14:paraId="5B9BA0D5" w14:textId="77777777" w:rsidR="00CA0B3B" w:rsidRPr="009303E0" w:rsidRDefault="00CA0B3B" w:rsidP="00CA0B3B">
            <w:pPr>
              <w:rPr>
                <w:rFonts w:asciiTheme="minorHAnsi" w:hAnsiTheme="minorHAnsi" w:cstheme="minorHAnsi"/>
                <w:color w:val="000000"/>
                <w:sz w:val="16"/>
                <w:szCs w:val="16"/>
              </w:rPr>
            </w:pPr>
            <w:r w:rsidRPr="009303E0">
              <w:rPr>
                <w:rFonts w:asciiTheme="minorHAnsi" w:hAnsiTheme="minorHAnsi" w:cstheme="minorHAnsi"/>
                <w:color w:val="000000"/>
                <w:sz w:val="16"/>
                <w:szCs w:val="16"/>
              </w:rPr>
              <w:t>Desapropriações</w:t>
            </w:r>
          </w:p>
        </w:tc>
        <w:tc>
          <w:tcPr>
            <w:tcW w:w="1081" w:type="pct"/>
            <w:tcBorders>
              <w:top w:val="nil"/>
              <w:left w:val="nil"/>
              <w:bottom w:val="nil"/>
              <w:right w:val="nil"/>
            </w:tcBorders>
            <w:vAlign w:val="center"/>
          </w:tcPr>
          <w:p w14:paraId="59EA64A2" w14:textId="072E2AD4" w:rsidR="00CA0B3B" w:rsidRPr="009303E0" w:rsidRDefault="00CA0B3B" w:rsidP="00CA0B3B">
            <w:pPr>
              <w:jc w:val="right"/>
              <w:rPr>
                <w:rFonts w:asciiTheme="minorHAnsi" w:hAnsiTheme="minorHAnsi" w:cstheme="minorHAnsi"/>
                <w:color w:val="000000"/>
                <w:sz w:val="16"/>
                <w:szCs w:val="16"/>
              </w:rPr>
            </w:pPr>
            <w:r w:rsidRPr="009303E0">
              <w:rPr>
                <w:rFonts w:asciiTheme="minorHAnsi" w:hAnsiTheme="minorHAnsi" w:cstheme="minorHAnsi"/>
                <w:color w:val="000000"/>
                <w:sz w:val="16"/>
                <w:szCs w:val="16"/>
              </w:rPr>
              <w:t>43.361.582</w:t>
            </w:r>
          </w:p>
        </w:tc>
        <w:tc>
          <w:tcPr>
            <w:tcW w:w="857" w:type="pct"/>
            <w:tcBorders>
              <w:top w:val="nil"/>
              <w:left w:val="nil"/>
              <w:bottom w:val="nil"/>
              <w:right w:val="nil"/>
            </w:tcBorders>
          </w:tcPr>
          <w:p w14:paraId="13D8B70B" w14:textId="142201F0" w:rsidR="00CA0B3B" w:rsidRPr="009303E0" w:rsidRDefault="00EE2E70" w:rsidP="00CA0B3B">
            <w:pPr>
              <w:jc w:val="right"/>
              <w:rPr>
                <w:rFonts w:asciiTheme="minorHAnsi" w:hAnsiTheme="minorHAnsi" w:cstheme="minorHAnsi"/>
                <w:color w:val="000000"/>
                <w:sz w:val="16"/>
                <w:szCs w:val="16"/>
              </w:rPr>
            </w:pPr>
            <w:r>
              <w:rPr>
                <w:rFonts w:asciiTheme="minorHAnsi" w:hAnsiTheme="minorHAnsi" w:cstheme="minorHAnsi"/>
                <w:color w:val="000000"/>
                <w:sz w:val="16"/>
                <w:szCs w:val="16"/>
              </w:rPr>
              <w:t>-</w:t>
            </w:r>
          </w:p>
        </w:tc>
        <w:tc>
          <w:tcPr>
            <w:tcW w:w="1040" w:type="pct"/>
            <w:tcBorders>
              <w:top w:val="nil"/>
              <w:left w:val="nil"/>
              <w:bottom w:val="nil"/>
              <w:right w:val="nil"/>
            </w:tcBorders>
            <w:shd w:val="clear" w:color="auto" w:fill="auto"/>
            <w:noWrap/>
            <w:vAlign w:val="center"/>
          </w:tcPr>
          <w:p w14:paraId="621F4451" w14:textId="5AE0C5CF" w:rsidR="00CA0B3B" w:rsidRPr="009303E0" w:rsidRDefault="00EE2E70" w:rsidP="00CA0B3B">
            <w:pPr>
              <w:jc w:val="right"/>
              <w:rPr>
                <w:rFonts w:asciiTheme="minorHAnsi" w:hAnsiTheme="minorHAnsi" w:cstheme="minorHAnsi"/>
                <w:color w:val="000000"/>
                <w:sz w:val="16"/>
                <w:szCs w:val="16"/>
              </w:rPr>
            </w:pPr>
            <w:r>
              <w:rPr>
                <w:rFonts w:asciiTheme="minorHAnsi" w:hAnsiTheme="minorHAnsi" w:cstheme="minorHAnsi"/>
                <w:color w:val="000000"/>
                <w:sz w:val="16"/>
                <w:szCs w:val="16"/>
              </w:rPr>
              <w:t>(1.290.255)</w:t>
            </w:r>
          </w:p>
        </w:tc>
        <w:tc>
          <w:tcPr>
            <w:tcW w:w="975" w:type="pct"/>
            <w:tcBorders>
              <w:top w:val="nil"/>
              <w:left w:val="nil"/>
              <w:bottom w:val="nil"/>
              <w:right w:val="nil"/>
            </w:tcBorders>
            <w:shd w:val="clear" w:color="auto" w:fill="auto"/>
            <w:noWrap/>
            <w:vAlign w:val="center"/>
            <w:hideMark/>
          </w:tcPr>
          <w:p w14:paraId="648CB3E3" w14:textId="1066D72C" w:rsidR="00CA0B3B" w:rsidRPr="009303E0" w:rsidRDefault="00CA0B3B" w:rsidP="00CA0B3B">
            <w:pPr>
              <w:jc w:val="right"/>
              <w:rPr>
                <w:rFonts w:asciiTheme="minorHAnsi" w:hAnsiTheme="minorHAnsi" w:cstheme="minorHAnsi"/>
                <w:color w:val="000000"/>
                <w:sz w:val="16"/>
                <w:szCs w:val="16"/>
              </w:rPr>
            </w:pPr>
            <w:r>
              <w:rPr>
                <w:rFonts w:asciiTheme="minorHAnsi" w:hAnsiTheme="minorHAnsi" w:cstheme="minorHAnsi"/>
                <w:color w:val="000000"/>
                <w:sz w:val="16"/>
                <w:szCs w:val="16"/>
              </w:rPr>
              <w:t>42.071.327</w:t>
            </w:r>
          </w:p>
        </w:tc>
      </w:tr>
      <w:tr w:rsidR="00CA0B3B" w:rsidRPr="009303E0" w14:paraId="29E02C3A" w14:textId="77777777" w:rsidTr="00C553AE">
        <w:trPr>
          <w:trHeight w:val="227"/>
          <w:jc w:val="center"/>
        </w:trPr>
        <w:tc>
          <w:tcPr>
            <w:tcW w:w="1047" w:type="pct"/>
            <w:tcBorders>
              <w:top w:val="nil"/>
              <w:left w:val="nil"/>
              <w:bottom w:val="nil"/>
              <w:right w:val="nil"/>
            </w:tcBorders>
            <w:shd w:val="clear" w:color="auto" w:fill="auto"/>
            <w:noWrap/>
            <w:vAlign w:val="center"/>
            <w:hideMark/>
          </w:tcPr>
          <w:p w14:paraId="50876970" w14:textId="77777777" w:rsidR="00CA0B3B" w:rsidRPr="009303E0" w:rsidRDefault="00CA0B3B" w:rsidP="00CA0B3B">
            <w:pPr>
              <w:rPr>
                <w:rFonts w:asciiTheme="minorHAnsi" w:hAnsiTheme="minorHAnsi" w:cstheme="minorHAnsi"/>
                <w:color w:val="000000"/>
                <w:sz w:val="16"/>
                <w:szCs w:val="16"/>
              </w:rPr>
            </w:pPr>
            <w:r w:rsidRPr="009303E0">
              <w:rPr>
                <w:rFonts w:asciiTheme="minorHAnsi" w:hAnsiTheme="minorHAnsi" w:cstheme="minorHAnsi"/>
                <w:color w:val="000000"/>
                <w:sz w:val="16"/>
                <w:szCs w:val="16"/>
              </w:rPr>
              <w:t>Trabalhistas</w:t>
            </w:r>
          </w:p>
        </w:tc>
        <w:tc>
          <w:tcPr>
            <w:tcW w:w="1081" w:type="pct"/>
            <w:tcBorders>
              <w:top w:val="nil"/>
              <w:left w:val="nil"/>
              <w:bottom w:val="nil"/>
              <w:right w:val="nil"/>
            </w:tcBorders>
            <w:vAlign w:val="center"/>
          </w:tcPr>
          <w:p w14:paraId="3AD06104" w14:textId="112DC6C8" w:rsidR="00CA0B3B" w:rsidRPr="009303E0" w:rsidRDefault="00CA0B3B" w:rsidP="00CA0B3B">
            <w:pPr>
              <w:jc w:val="right"/>
              <w:rPr>
                <w:rFonts w:asciiTheme="minorHAnsi" w:hAnsiTheme="minorHAnsi" w:cstheme="minorHAnsi"/>
                <w:color w:val="000000"/>
                <w:sz w:val="16"/>
                <w:szCs w:val="16"/>
              </w:rPr>
            </w:pPr>
            <w:r w:rsidRPr="009303E0">
              <w:rPr>
                <w:rFonts w:asciiTheme="minorHAnsi" w:hAnsiTheme="minorHAnsi" w:cstheme="minorHAnsi"/>
                <w:color w:val="000000"/>
                <w:sz w:val="16"/>
                <w:szCs w:val="16"/>
              </w:rPr>
              <w:t>3.063.428</w:t>
            </w:r>
          </w:p>
        </w:tc>
        <w:tc>
          <w:tcPr>
            <w:tcW w:w="857" w:type="pct"/>
            <w:tcBorders>
              <w:top w:val="nil"/>
              <w:left w:val="nil"/>
              <w:bottom w:val="nil"/>
              <w:right w:val="nil"/>
            </w:tcBorders>
          </w:tcPr>
          <w:p w14:paraId="2EA86DCD" w14:textId="68F495FE" w:rsidR="00CA0B3B" w:rsidRPr="009303E0" w:rsidRDefault="00EE2E70" w:rsidP="00CA0B3B">
            <w:pPr>
              <w:jc w:val="right"/>
              <w:rPr>
                <w:rFonts w:asciiTheme="minorHAnsi" w:hAnsiTheme="minorHAnsi" w:cstheme="minorHAnsi"/>
                <w:color w:val="000000"/>
                <w:sz w:val="16"/>
                <w:szCs w:val="16"/>
              </w:rPr>
            </w:pPr>
            <w:r>
              <w:rPr>
                <w:rFonts w:asciiTheme="minorHAnsi" w:hAnsiTheme="minorHAnsi" w:cstheme="minorHAnsi"/>
                <w:color w:val="000000"/>
                <w:sz w:val="16"/>
                <w:szCs w:val="16"/>
              </w:rPr>
              <w:t>922.124</w:t>
            </w:r>
          </w:p>
        </w:tc>
        <w:tc>
          <w:tcPr>
            <w:tcW w:w="1040" w:type="pct"/>
            <w:tcBorders>
              <w:top w:val="nil"/>
              <w:left w:val="nil"/>
              <w:bottom w:val="nil"/>
              <w:right w:val="nil"/>
            </w:tcBorders>
            <w:shd w:val="clear" w:color="auto" w:fill="auto"/>
            <w:noWrap/>
            <w:vAlign w:val="center"/>
          </w:tcPr>
          <w:p w14:paraId="6BFD26D5" w14:textId="7C73601C" w:rsidR="00CA0B3B" w:rsidRPr="009303E0" w:rsidRDefault="00EE2E70" w:rsidP="00CA0B3B">
            <w:pPr>
              <w:jc w:val="right"/>
              <w:rPr>
                <w:rFonts w:asciiTheme="minorHAnsi" w:hAnsiTheme="minorHAnsi" w:cstheme="minorHAnsi"/>
                <w:color w:val="000000"/>
                <w:sz w:val="16"/>
                <w:szCs w:val="16"/>
              </w:rPr>
            </w:pPr>
            <w:r>
              <w:rPr>
                <w:rFonts w:asciiTheme="minorHAnsi" w:hAnsiTheme="minorHAnsi" w:cstheme="minorHAnsi"/>
                <w:color w:val="000000"/>
                <w:sz w:val="16"/>
                <w:szCs w:val="16"/>
              </w:rPr>
              <w:t>-</w:t>
            </w:r>
          </w:p>
        </w:tc>
        <w:tc>
          <w:tcPr>
            <w:tcW w:w="975" w:type="pct"/>
            <w:tcBorders>
              <w:top w:val="nil"/>
              <w:left w:val="nil"/>
              <w:bottom w:val="nil"/>
              <w:right w:val="nil"/>
            </w:tcBorders>
            <w:shd w:val="clear" w:color="auto" w:fill="auto"/>
            <w:noWrap/>
            <w:vAlign w:val="center"/>
            <w:hideMark/>
          </w:tcPr>
          <w:p w14:paraId="69C79D08" w14:textId="26118E78" w:rsidR="00CA0B3B" w:rsidRPr="009303E0" w:rsidRDefault="00CA0B3B" w:rsidP="00CA0B3B">
            <w:pPr>
              <w:jc w:val="right"/>
              <w:rPr>
                <w:rFonts w:asciiTheme="minorHAnsi" w:hAnsiTheme="minorHAnsi" w:cstheme="minorHAnsi"/>
                <w:color w:val="000000"/>
                <w:sz w:val="16"/>
                <w:szCs w:val="16"/>
              </w:rPr>
            </w:pPr>
            <w:r w:rsidRPr="009303E0">
              <w:rPr>
                <w:rFonts w:asciiTheme="minorHAnsi" w:hAnsiTheme="minorHAnsi" w:cstheme="minorHAnsi"/>
                <w:color w:val="000000"/>
                <w:sz w:val="16"/>
                <w:szCs w:val="16"/>
              </w:rPr>
              <w:t>3.</w:t>
            </w:r>
            <w:r>
              <w:rPr>
                <w:rFonts w:asciiTheme="minorHAnsi" w:hAnsiTheme="minorHAnsi" w:cstheme="minorHAnsi"/>
                <w:color w:val="000000"/>
                <w:sz w:val="16"/>
                <w:szCs w:val="16"/>
              </w:rPr>
              <w:t>985.552</w:t>
            </w:r>
          </w:p>
        </w:tc>
      </w:tr>
      <w:tr w:rsidR="00CA0B3B" w:rsidRPr="009303E0" w14:paraId="10EF661C" w14:textId="77777777" w:rsidTr="00C553AE">
        <w:trPr>
          <w:trHeight w:val="227"/>
          <w:jc w:val="center"/>
        </w:trPr>
        <w:tc>
          <w:tcPr>
            <w:tcW w:w="1047" w:type="pct"/>
            <w:tcBorders>
              <w:top w:val="nil"/>
              <w:left w:val="nil"/>
              <w:bottom w:val="nil"/>
              <w:right w:val="nil"/>
            </w:tcBorders>
            <w:shd w:val="clear" w:color="auto" w:fill="auto"/>
            <w:noWrap/>
            <w:vAlign w:val="center"/>
            <w:hideMark/>
          </w:tcPr>
          <w:p w14:paraId="180D6B43" w14:textId="77777777" w:rsidR="00CA0B3B" w:rsidRPr="009303E0" w:rsidRDefault="00CA0B3B" w:rsidP="00CA0B3B">
            <w:pPr>
              <w:rPr>
                <w:rFonts w:asciiTheme="minorHAnsi" w:hAnsiTheme="minorHAnsi" w:cstheme="minorHAnsi"/>
                <w:color w:val="000000"/>
                <w:sz w:val="16"/>
                <w:szCs w:val="16"/>
              </w:rPr>
            </w:pPr>
            <w:r w:rsidRPr="009303E0">
              <w:rPr>
                <w:rFonts w:asciiTheme="minorHAnsi" w:hAnsiTheme="minorHAnsi" w:cstheme="minorHAnsi"/>
                <w:color w:val="000000"/>
                <w:sz w:val="16"/>
                <w:szCs w:val="16"/>
              </w:rPr>
              <w:t>Cíveis</w:t>
            </w:r>
          </w:p>
        </w:tc>
        <w:tc>
          <w:tcPr>
            <w:tcW w:w="1081" w:type="pct"/>
            <w:tcBorders>
              <w:top w:val="nil"/>
              <w:left w:val="nil"/>
              <w:bottom w:val="nil"/>
              <w:right w:val="nil"/>
            </w:tcBorders>
            <w:vAlign w:val="center"/>
          </w:tcPr>
          <w:p w14:paraId="534B9326" w14:textId="242FB03D" w:rsidR="00CA0B3B" w:rsidRPr="009303E0" w:rsidRDefault="00CA0B3B" w:rsidP="00CA0B3B">
            <w:pPr>
              <w:jc w:val="right"/>
              <w:rPr>
                <w:rFonts w:asciiTheme="minorHAnsi" w:hAnsiTheme="minorHAnsi" w:cstheme="minorHAnsi"/>
                <w:color w:val="000000"/>
                <w:sz w:val="16"/>
                <w:szCs w:val="16"/>
              </w:rPr>
            </w:pPr>
            <w:r w:rsidRPr="009303E0">
              <w:rPr>
                <w:rFonts w:asciiTheme="minorHAnsi" w:hAnsiTheme="minorHAnsi" w:cstheme="minorHAnsi"/>
                <w:color w:val="000000"/>
                <w:sz w:val="16"/>
                <w:szCs w:val="16"/>
              </w:rPr>
              <w:t>1.845.247.754</w:t>
            </w:r>
          </w:p>
        </w:tc>
        <w:tc>
          <w:tcPr>
            <w:tcW w:w="857" w:type="pct"/>
            <w:tcBorders>
              <w:top w:val="nil"/>
              <w:left w:val="nil"/>
              <w:bottom w:val="nil"/>
              <w:right w:val="nil"/>
            </w:tcBorders>
          </w:tcPr>
          <w:p w14:paraId="3E52791E" w14:textId="713AFEE4" w:rsidR="00CA0B3B" w:rsidRPr="009303E0" w:rsidRDefault="00EE2E70" w:rsidP="00CA0B3B">
            <w:pPr>
              <w:jc w:val="right"/>
              <w:rPr>
                <w:rFonts w:asciiTheme="minorHAnsi" w:hAnsiTheme="minorHAnsi" w:cstheme="minorHAnsi"/>
                <w:color w:val="000000"/>
                <w:sz w:val="16"/>
                <w:szCs w:val="16"/>
              </w:rPr>
            </w:pPr>
            <w:r>
              <w:rPr>
                <w:rFonts w:asciiTheme="minorHAnsi" w:hAnsiTheme="minorHAnsi" w:cstheme="minorHAnsi"/>
                <w:color w:val="000000"/>
                <w:sz w:val="16"/>
                <w:szCs w:val="16"/>
              </w:rPr>
              <w:t>-</w:t>
            </w:r>
          </w:p>
        </w:tc>
        <w:tc>
          <w:tcPr>
            <w:tcW w:w="1040" w:type="pct"/>
            <w:tcBorders>
              <w:top w:val="nil"/>
              <w:left w:val="nil"/>
              <w:bottom w:val="nil"/>
              <w:right w:val="nil"/>
            </w:tcBorders>
            <w:shd w:val="clear" w:color="auto" w:fill="auto"/>
            <w:noWrap/>
            <w:vAlign w:val="center"/>
          </w:tcPr>
          <w:p w14:paraId="3CE24B55" w14:textId="0EBFD2A5" w:rsidR="00CA0B3B" w:rsidRPr="009303E0" w:rsidRDefault="00EE2E70" w:rsidP="00CA0B3B">
            <w:pPr>
              <w:jc w:val="right"/>
              <w:rPr>
                <w:rFonts w:asciiTheme="minorHAnsi" w:hAnsiTheme="minorHAnsi" w:cstheme="minorHAnsi"/>
                <w:color w:val="000000"/>
                <w:sz w:val="16"/>
                <w:szCs w:val="16"/>
              </w:rPr>
            </w:pPr>
            <w:r>
              <w:rPr>
                <w:rFonts w:asciiTheme="minorHAnsi" w:hAnsiTheme="minorHAnsi" w:cstheme="minorHAnsi"/>
                <w:color w:val="000000"/>
                <w:sz w:val="16"/>
                <w:szCs w:val="16"/>
              </w:rPr>
              <w:t>(45.106.744)</w:t>
            </w:r>
          </w:p>
        </w:tc>
        <w:tc>
          <w:tcPr>
            <w:tcW w:w="975" w:type="pct"/>
            <w:tcBorders>
              <w:top w:val="nil"/>
              <w:left w:val="nil"/>
              <w:bottom w:val="nil"/>
              <w:right w:val="nil"/>
            </w:tcBorders>
            <w:shd w:val="clear" w:color="auto" w:fill="auto"/>
            <w:noWrap/>
            <w:vAlign w:val="center"/>
            <w:hideMark/>
          </w:tcPr>
          <w:p w14:paraId="5070C2D6" w14:textId="4EF56FF5" w:rsidR="00CA0B3B" w:rsidRPr="009303E0" w:rsidRDefault="00CA0B3B" w:rsidP="00CA0B3B">
            <w:pPr>
              <w:jc w:val="right"/>
              <w:rPr>
                <w:rFonts w:asciiTheme="minorHAnsi" w:hAnsiTheme="minorHAnsi" w:cstheme="minorHAnsi"/>
                <w:color w:val="000000"/>
                <w:sz w:val="16"/>
                <w:szCs w:val="16"/>
              </w:rPr>
            </w:pPr>
            <w:r w:rsidRPr="009303E0">
              <w:rPr>
                <w:rFonts w:asciiTheme="minorHAnsi" w:hAnsiTheme="minorHAnsi" w:cstheme="minorHAnsi"/>
                <w:color w:val="000000"/>
                <w:sz w:val="16"/>
                <w:szCs w:val="16"/>
              </w:rPr>
              <w:t>1.8</w:t>
            </w:r>
            <w:r>
              <w:rPr>
                <w:rFonts w:asciiTheme="minorHAnsi" w:hAnsiTheme="minorHAnsi" w:cstheme="minorHAnsi"/>
                <w:color w:val="000000"/>
                <w:sz w:val="16"/>
                <w:szCs w:val="16"/>
              </w:rPr>
              <w:t>00.141.010</w:t>
            </w:r>
          </w:p>
        </w:tc>
      </w:tr>
      <w:tr w:rsidR="00CA0B3B" w:rsidRPr="009303E0" w14:paraId="35BD049F" w14:textId="77777777" w:rsidTr="00C553AE">
        <w:trPr>
          <w:trHeight w:val="227"/>
          <w:jc w:val="center"/>
        </w:trPr>
        <w:tc>
          <w:tcPr>
            <w:tcW w:w="1047" w:type="pct"/>
            <w:tcBorders>
              <w:top w:val="nil"/>
              <w:left w:val="nil"/>
              <w:bottom w:val="nil"/>
              <w:right w:val="nil"/>
            </w:tcBorders>
            <w:shd w:val="clear" w:color="auto" w:fill="auto"/>
            <w:noWrap/>
            <w:vAlign w:val="center"/>
            <w:hideMark/>
          </w:tcPr>
          <w:p w14:paraId="4B2CF5E5" w14:textId="77777777" w:rsidR="00CA0B3B" w:rsidRPr="009303E0" w:rsidRDefault="00CA0B3B" w:rsidP="00CA0B3B">
            <w:pPr>
              <w:rPr>
                <w:rFonts w:asciiTheme="minorHAnsi" w:hAnsiTheme="minorHAnsi" w:cstheme="minorHAnsi"/>
                <w:color w:val="000000"/>
                <w:sz w:val="16"/>
                <w:szCs w:val="16"/>
              </w:rPr>
            </w:pPr>
            <w:r w:rsidRPr="009303E0">
              <w:rPr>
                <w:rFonts w:asciiTheme="minorHAnsi" w:hAnsiTheme="minorHAnsi" w:cstheme="minorHAnsi"/>
                <w:color w:val="000000"/>
                <w:sz w:val="16"/>
                <w:szCs w:val="16"/>
              </w:rPr>
              <w:t>Tributárias</w:t>
            </w:r>
          </w:p>
        </w:tc>
        <w:tc>
          <w:tcPr>
            <w:tcW w:w="1081" w:type="pct"/>
            <w:tcBorders>
              <w:top w:val="nil"/>
              <w:left w:val="nil"/>
              <w:bottom w:val="nil"/>
              <w:right w:val="nil"/>
            </w:tcBorders>
            <w:vAlign w:val="center"/>
          </w:tcPr>
          <w:p w14:paraId="119AC785" w14:textId="5488D5DF" w:rsidR="00CA0B3B" w:rsidRPr="009303E0" w:rsidRDefault="00CA0B3B" w:rsidP="00CA0B3B">
            <w:pPr>
              <w:jc w:val="right"/>
              <w:rPr>
                <w:rFonts w:asciiTheme="minorHAnsi" w:hAnsiTheme="minorHAnsi" w:cstheme="minorHAnsi"/>
                <w:color w:val="000000"/>
                <w:sz w:val="16"/>
                <w:szCs w:val="16"/>
              </w:rPr>
            </w:pPr>
            <w:r w:rsidRPr="009303E0">
              <w:rPr>
                <w:rFonts w:asciiTheme="minorHAnsi" w:hAnsiTheme="minorHAnsi" w:cstheme="minorHAnsi"/>
                <w:color w:val="000000"/>
                <w:sz w:val="16"/>
                <w:szCs w:val="16"/>
              </w:rPr>
              <w:t>434.727</w:t>
            </w:r>
          </w:p>
        </w:tc>
        <w:tc>
          <w:tcPr>
            <w:tcW w:w="857" w:type="pct"/>
            <w:tcBorders>
              <w:top w:val="nil"/>
              <w:left w:val="nil"/>
              <w:bottom w:val="nil"/>
              <w:right w:val="nil"/>
            </w:tcBorders>
          </w:tcPr>
          <w:p w14:paraId="19660252" w14:textId="1BE69E07" w:rsidR="00CA0B3B" w:rsidRPr="009303E0" w:rsidRDefault="00EE2E70" w:rsidP="00CA0B3B">
            <w:pPr>
              <w:jc w:val="right"/>
              <w:rPr>
                <w:rFonts w:asciiTheme="minorHAnsi" w:hAnsiTheme="minorHAnsi" w:cstheme="minorHAnsi"/>
                <w:color w:val="000000"/>
                <w:sz w:val="16"/>
                <w:szCs w:val="16"/>
              </w:rPr>
            </w:pPr>
            <w:r>
              <w:rPr>
                <w:rFonts w:asciiTheme="minorHAnsi" w:hAnsiTheme="minorHAnsi" w:cstheme="minorHAnsi"/>
                <w:color w:val="000000"/>
                <w:sz w:val="16"/>
                <w:szCs w:val="16"/>
              </w:rPr>
              <w:t>911.048</w:t>
            </w:r>
          </w:p>
        </w:tc>
        <w:tc>
          <w:tcPr>
            <w:tcW w:w="1040" w:type="pct"/>
            <w:tcBorders>
              <w:top w:val="nil"/>
              <w:left w:val="nil"/>
              <w:bottom w:val="nil"/>
              <w:right w:val="nil"/>
            </w:tcBorders>
            <w:shd w:val="clear" w:color="auto" w:fill="auto"/>
            <w:noWrap/>
            <w:vAlign w:val="center"/>
          </w:tcPr>
          <w:p w14:paraId="692B13EC" w14:textId="169A58A9" w:rsidR="00CA0B3B" w:rsidRPr="009303E0" w:rsidRDefault="00EE2E70" w:rsidP="00CA0B3B">
            <w:pPr>
              <w:jc w:val="right"/>
              <w:rPr>
                <w:rFonts w:asciiTheme="minorHAnsi" w:hAnsiTheme="minorHAnsi" w:cstheme="minorHAnsi"/>
                <w:color w:val="000000"/>
                <w:sz w:val="16"/>
                <w:szCs w:val="16"/>
              </w:rPr>
            </w:pPr>
            <w:r>
              <w:rPr>
                <w:rFonts w:asciiTheme="minorHAnsi" w:hAnsiTheme="minorHAnsi" w:cstheme="minorHAnsi"/>
                <w:color w:val="000000"/>
                <w:sz w:val="16"/>
                <w:szCs w:val="16"/>
              </w:rPr>
              <w:t>-</w:t>
            </w:r>
          </w:p>
        </w:tc>
        <w:tc>
          <w:tcPr>
            <w:tcW w:w="975" w:type="pct"/>
            <w:tcBorders>
              <w:top w:val="nil"/>
              <w:left w:val="nil"/>
              <w:bottom w:val="nil"/>
              <w:right w:val="nil"/>
            </w:tcBorders>
            <w:shd w:val="clear" w:color="auto" w:fill="auto"/>
            <w:noWrap/>
            <w:vAlign w:val="center"/>
            <w:hideMark/>
          </w:tcPr>
          <w:p w14:paraId="34A84071" w14:textId="21DF7779" w:rsidR="00CA0B3B" w:rsidRPr="009303E0" w:rsidRDefault="00CA0B3B" w:rsidP="00CA0B3B">
            <w:pPr>
              <w:jc w:val="right"/>
              <w:rPr>
                <w:rFonts w:asciiTheme="minorHAnsi" w:hAnsiTheme="minorHAnsi" w:cstheme="minorHAnsi"/>
                <w:color w:val="000000"/>
                <w:sz w:val="16"/>
                <w:szCs w:val="16"/>
              </w:rPr>
            </w:pPr>
            <w:r>
              <w:rPr>
                <w:rFonts w:asciiTheme="minorHAnsi" w:hAnsiTheme="minorHAnsi" w:cstheme="minorHAnsi"/>
                <w:color w:val="000000"/>
                <w:sz w:val="16"/>
                <w:szCs w:val="16"/>
              </w:rPr>
              <w:t>1.345.775</w:t>
            </w:r>
          </w:p>
        </w:tc>
      </w:tr>
      <w:tr w:rsidR="00CA0B3B" w:rsidRPr="009303E0" w14:paraId="69575DB5" w14:textId="77777777" w:rsidTr="00C553AE">
        <w:trPr>
          <w:trHeight w:val="227"/>
          <w:jc w:val="center"/>
        </w:trPr>
        <w:tc>
          <w:tcPr>
            <w:tcW w:w="1047" w:type="pct"/>
            <w:tcBorders>
              <w:top w:val="nil"/>
              <w:left w:val="nil"/>
              <w:bottom w:val="single" w:sz="8" w:space="0" w:color="auto"/>
              <w:right w:val="nil"/>
            </w:tcBorders>
            <w:shd w:val="clear" w:color="auto" w:fill="auto"/>
            <w:noWrap/>
            <w:vAlign w:val="center"/>
            <w:hideMark/>
          </w:tcPr>
          <w:p w14:paraId="2F670BDF" w14:textId="77777777" w:rsidR="00CA0B3B" w:rsidRPr="009303E0" w:rsidRDefault="00CA0B3B" w:rsidP="00CA0B3B">
            <w:pPr>
              <w:rPr>
                <w:rFonts w:asciiTheme="minorHAnsi" w:hAnsiTheme="minorHAnsi" w:cstheme="minorHAnsi"/>
                <w:color w:val="000000"/>
                <w:sz w:val="16"/>
                <w:szCs w:val="16"/>
              </w:rPr>
            </w:pPr>
            <w:r w:rsidRPr="009303E0">
              <w:rPr>
                <w:rFonts w:asciiTheme="minorHAnsi" w:hAnsiTheme="minorHAnsi" w:cstheme="minorHAnsi"/>
                <w:color w:val="000000"/>
                <w:sz w:val="16"/>
                <w:szCs w:val="16"/>
              </w:rPr>
              <w:t>Previdenciárias</w:t>
            </w:r>
          </w:p>
        </w:tc>
        <w:tc>
          <w:tcPr>
            <w:tcW w:w="1081" w:type="pct"/>
            <w:tcBorders>
              <w:top w:val="nil"/>
              <w:left w:val="nil"/>
              <w:bottom w:val="single" w:sz="8" w:space="0" w:color="auto"/>
              <w:right w:val="nil"/>
            </w:tcBorders>
            <w:vAlign w:val="center"/>
          </w:tcPr>
          <w:p w14:paraId="5FF806EC" w14:textId="2081B151" w:rsidR="00CA0B3B" w:rsidRPr="009303E0" w:rsidRDefault="00CA0B3B" w:rsidP="00CA0B3B">
            <w:pPr>
              <w:jc w:val="right"/>
              <w:rPr>
                <w:rFonts w:asciiTheme="minorHAnsi" w:hAnsiTheme="minorHAnsi" w:cstheme="minorHAnsi"/>
                <w:color w:val="000000"/>
                <w:sz w:val="16"/>
                <w:szCs w:val="16"/>
              </w:rPr>
            </w:pPr>
            <w:r w:rsidRPr="009303E0">
              <w:rPr>
                <w:rFonts w:asciiTheme="minorHAnsi" w:hAnsiTheme="minorHAnsi" w:cstheme="minorHAnsi"/>
                <w:color w:val="000000"/>
                <w:sz w:val="16"/>
                <w:szCs w:val="16"/>
              </w:rPr>
              <w:t>258.198</w:t>
            </w:r>
          </w:p>
        </w:tc>
        <w:tc>
          <w:tcPr>
            <w:tcW w:w="857" w:type="pct"/>
            <w:tcBorders>
              <w:top w:val="nil"/>
              <w:left w:val="nil"/>
              <w:bottom w:val="single" w:sz="8" w:space="0" w:color="auto"/>
              <w:right w:val="nil"/>
            </w:tcBorders>
          </w:tcPr>
          <w:p w14:paraId="6B60CE4C" w14:textId="6C0BAA8A" w:rsidR="00CA0B3B" w:rsidRPr="009303E0" w:rsidRDefault="00EE2E70" w:rsidP="00CA0B3B">
            <w:pPr>
              <w:jc w:val="right"/>
              <w:rPr>
                <w:rFonts w:asciiTheme="minorHAnsi" w:hAnsiTheme="minorHAnsi" w:cstheme="minorHAnsi"/>
                <w:color w:val="000000"/>
                <w:sz w:val="16"/>
                <w:szCs w:val="16"/>
              </w:rPr>
            </w:pPr>
            <w:r>
              <w:rPr>
                <w:rFonts w:asciiTheme="minorHAnsi" w:hAnsiTheme="minorHAnsi" w:cstheme="minorHAnsi"/>
                <w:color w:val="000000"/>
                <w:sz w:val="16"/>
                <w:szCs w:val="16"/>
              </w:rPr>
              <w:t>231.573</w:t>
            </w:r>
          </w:p>
        </w:tc>
        <w:tc>
          <w:tcPr>
            <w:tcW w:w="1040" w:type="pct"/>
            <w:tcBorders>
              <w:top w:val="nil"/>
              <w:left w:val="nil"/>
              <w:bottom w:val="single" w:sz="8" w:space="0" w:color="auto"/>
              <w:right w:val="nil"/>
            </w:tcBorders>
            <w:shd w:val="clear" w:color="auto" w:fill="auto"/>
            <w:noWrap/>
            <w:vAlign w:val="center"/>
          </w:tcPr>
          <w:p w14:paraId="02EC58CF" w14:textId="3A480DDB" w:rsidR="00CA0B3B" w:rsidRPr="009303E0" w:rsidRDefault="00EE2E70" w:rsidP="00CA0B3B">
            <w:pPr>
              <w:jc w:val="right"/>
              <w:rPr>
                <w:rFonts w:asciiTheme="minorHAnsi" w:hAnsiTheme="minorHAnsi" w:cstheme="minorHAnsi"/>
                <w:color w:val="000000"/>
                <w:sz w:val="16"/>
                <w:szCs w:val="16"/>
              </w:rPr>
            </w:pPr>
            <w:r>
              <w:rPr>
                <w:rFonts w:asciiTheme="minorHAnsi" w:hAnsiTheme="minorHAnsi" w:cstheme="minorHAnsi"/>
                <w:color w:val="000000"/>
                <w:sz w:val="16"/>
                <w:szCs w:val="16"/>
              </w:rPr>
              <w:t>-</w:t>
            </w:r>
          </w:p>
        </w:tc>
        <w:tc>
          <w:tcPr>
            <w:tcW w:w="975" w:type="pct"/>
            <w:tcBorders>
              <w:top w:val="nil"/>
              <w:left w:val="nil"/>
              <w:bottom w:val="single" w:sz="8" w:space="0" w:color="auto"/>
              <w:right w:val="nil"/>
            </w:tcBorders>
            <w:shd w:val="clear" w:color="auto" w:fill="auto"/>
            <w:noWrap/>
            <w:vAlign w:val="center"/>
            <w:hideMark/>
          </w:tcPr>
          <w:p w14:paraId="4017BA6A" w14:textId="5AC7C795" w:rsidR="00CA0B3B" w:rsidRPr="009303E0" w:rsidRDefault="00CA0B3B" w:rsidP="00CA0B3B">
            <w:pPr>
              <w:jc w:val="right"/>
              <w:rPr>
                <w:rFonts w:asciiTheme="minorHAnsi" w:hAnsiTheme="minorHAnsi" w:cstheme="minorHAnsi"/>
                <w:color w:val="000000"/>
                <w:sz w:val="16"/>
                <w:szCs w:val="16"/>
              </w:rPr>
            </w:pPr>
            <w:r>
              <w:rPr>
                <w:rFonts w:asciiTheme="minorHAnsi" w:hAnsiTheme="minorHAnsi" w:cstheme="minorHAnsi"/>
                <w:color w:val="000000"/>
                <w:sz w:val="16"/>
                <w:szCs w:val="16"/>
              </w:rPr>
              <w:t>489.771</w:t>
            </w:r>
          </w:p>
        </w:tc>
      </w:tr>
    </w:tbl>
    <w:p w14:paraId="30F339BD" w14:textId="378278A3" w:rsidR="005D7B2E" w:rsidRPr="00BD2A00" w:rsidRDefault="005D7B2E" w:rsidP="00937ED9">
      <w:pPr>
        <w:numPr>
          <w:ilvl w:val="0"/>
          <w:numId w:val="26"/>
        </w:numPr>
        <w:spacing w:before="120" w:after="120"/>
        <w:ind w:left="567" w:right="-142" w:hanging="567"/>
        <w:jc w:val="both"/>
        <w:rPr>
          <w:rFonts w:ascii="Calibri" w:hAnsi="Calibri" w:cs="Calibri"/>
          <w:sz w:val="22"/>
          <w:szCs w:val="22"/>
          <w:u w:val="single"/>
        </w:rPr>
      </w:pPr>
      <w:r w:rsidRPr="00BD2A00">
        <w:rPr>
          <w:rFonts w:ascii="Calibri" w:hAnsi="Calibri" w:cs="Calibri"/>
          <w:sz w:val="22"/>
          <w:szCs w:val="22"/>
          <w:u w:val="single"/>
        </w:rPr>
        <w:t xml:space="preserve">Contingências </w:t>
      </w:r>
      <w:r w:rsidR="00FE1F7E">
        <w:rPr>
          <w:rFonts w:ascii="Calibri" w:hAnsi="Calibri" w:cs="Calibri"/>
          <w:sz w:val="22"/>
          <w:szCs w:val="22"/>
          <w:u w:val="single"/>
        </w:rPr>
        <w:t xml:space="preserve">de Ações </w:t>
      </w:r>
      <w:r w:rsidRPr="00BD2A00">
        <w:rPr>
          <w:rFonts w:ascii="Calibri" w:hAnsi="Calibri" w:cs="Calibri"/>
          <w:sz w:val="22"/>
          <w:szCs w:val="22"/>
          <w:u w:val="single"/>
        </w:rPr>
        <w:t>Cíveis:</w:t>
      </w:r>
    </w:p>
    <w:p w14:paraId="7DFAC373" w14:textId="764620D0" w:rsidR="00D974C8" w:rsidRDefault="005D7B2E" w:rsidP="00937ED9">
      <w:pPr>
        <w:spacing w:after="120"/>
        <w:ind w:right="57"/>
        <w:jc w:val="both"/>
        <w:rPr>
          <w:rFonts w:ascii="Calibri" w:hAnsi="Calibri" w:cs="Calibri"/>
          <w:sz w:val="22"/>
          <w:szCs w:val="22"/>
        </w:rPr>
      </w:pPr>
      <w:r w:rsidRPr="00BD2A00">
        <w:rPr>
          <w:rFonts w:ascii="Calibri" w:hAnsi="Calibri" w:cs="Calibri"/>
          <w:sz w:val="22"/>
          <w:szCs w:val="22"/>
        </w:rPr>
        <w:t>Em relação aos processos cíveis, tem-se que as temáticas mais recorrentes</w:t>
      </w:r>
      <w:r w:rsidR="00AD6E75" w:rsidRPr="00BD2A00">
        <w:rPr>
          <w:rFonts w:ascii="Calibri" w:hAnsi="Calibri" w:cs="Calibri"/>
          <w:sz w:val="22"/>
          <w:szCs w:val="22"/>
        </w:rPr>
        <w:t xml:space="preserve"> </w:t>
      </w:r>
      <w:r w:rsidRPr="00BD2A00">
        <w:rPr>
          <w:rFonts w:ascii="Calibri" w:hAnsi="Calibri" w:cs="Calibri"/>
          <w:sz w:val="22"/>
          <w:szCs w:val="22"/>
        </w:rPr>
        <w:t xml:space="preserve">são as de Ações Indenizatórias ou Ações de Cobrança, </w:t>
      </w:r>
      <w:r w:rsidR="00AD6E75" w:rsidRPr="00BD2A00">
        <w:rPr>
          <w:rFonts w:ascii="Calibri" w:hAnsi="Calibri" w:cs="Calibri"/>
          <w:sz w:val="22"/>
          <w:szCs w:val="22"/>
        </w:rPr>
        <w:t>as</w:t>
      </w:r>
      <w:r w:rsidRPr="00BD2A00">
        <w:rPr>
          <w:rFonts w:ascii="Calibri" w:hAnsi="Calibri" w:cs="Calibri"/>
          <w:sz w:val="22"/>
          <w:szCs w:val="22"/>
        </w:rPr>
        <w:t xml:space="preserve"> quais dizem respeito, notadamente, no primeiro caso a indenizações por danos supostamente causados aos imóveis dos autores pela construção da ferrovia e quanto às de cobrança, às questões contratuais mais diversas, desde cobranças de medições de contratos, requerimento de valores supostamente não pagos em execuções contratuais, cobrança de reajustes, questionamentos de glosas e outros. </w:t>
      </w:r>
    </w:p>
    <w:p w14:paraId="7B65C8B1" w14:textId="5F3736A7" w:rsidR="001D610C" w:rsidRPr="008D21F0" w:rsidRDefault="001D610C" w:rsidP="00937ED9">
      <w:pPr>
        <w:spacing w:after="120"/>
        <w:ind w:right="57"/>
        <w:jc w:val="both"/>
        <w:rPr>
          <w:rFonts w:ascii="Calibri" w:hAnsi="Calibri" w:cs="Calibri"/>
          <w:sz w:val="22"/>
          <w:szCs w:val="22"/>
        </w:rPr>
      </w:pPr>
      <w:r w:rsidRPr="008D21F0">
        <w:rPr>
          <w:rFonts w:ascii="Calibri" w:hAnsi="Calibri" w:cs="Calibri"/>
          <w:sz w:val="22"/>
          <w:szCs w:val="22"/>
        </w:rPr>
        <w:t xml:space="preserve">As principais ações com riscos de prováveis perdas são das varas cíveis, </w:t>
      </w:r>
      <w:r w:rsidR="00B81002" w:rsidRPr="008D21F0">
        <w:rPr>
          <w:rFonts w:ascii="Calibri" w:hAnsi="Calibri" w:cs="Calibri"/>
          <w:sz w:val="22"/>
          <w:szCs w:val="22"/>
        </w:rPr>
        <w:t xml:space="preserve">dentre </w:t>
      </w:r>
      <w:r w:rsidRPr="008D21F0">
        <w:rPr>
          <w:rFonts w:ascii="Calibri" w:hAnsi="Calibri" w:cs="Calibri"/>
          <w:sz w:val="22"/>
          <w:szCs w:val="22"/>
        </w:rPr>
        <w:t>as quais se destacam:</w:t>
      </w:r>
    </w:p>
    <w:p w14:paraId="325D0D15" w14:textId="2FF82885" w:rsidR="004F0040" w:rsidRPr="004F0040" w:rsidRDefault="004F0040" w:rsidP="004F0040">
      <w:pPr>
        <w:pStyle w:val="PargrafodaLista"/>
        <w:numPr>
          <w:ilvl w:val="0"/>
          <w:numId w:val="43"/>
        </w:numPr>
        <w:spacing w:after="120"/>
        <w:ind w:right="57"/>
        <w:jc w:val="both"/>
        <w:rPr>
          <w:rFonts w:ascii="Calibri" w:hAnsi="Calibri" w:cs="Calibri"/>
          <w:sz w:val="22"/>
          <w:szCs w:val="22"/>
        </w:rPr>
      </w:pPr>
      <w:r w:rsidRPr="004F0040">
        <w:rPr>
          <w:rFonts w:ascii="Calibri" w:hAnsi="Calibri" w:cs="Calibri"/>
          <w:sz w:val="22"/>
          <w:szCs w:val="22"/>
        </w:rPr>
        <w:t>0034224-66.2009.4.01.3400: Trata-se de ação ajuizada em desfavor da Valec em que se pleiteia o reequilíbrio econômico-financeiro do Contrato 022/2006. Pendem de julgamento a ação e diversos petitórios recursais. Valor provável da provisão da contingência R$1.059.979.423,63.</w:t>
      </w:r>
    </w:p>
    <w:p w14:paraId="36CBBA91" w14:textId="77777777" w:rsidR="004F0040" w:rsidRPr="004F0040" w:rsidRDefault="004F0040" w:rsidP="004F0040">
      <w:pPr>
        <w:pStyle w:val="PargrafodaLista"/>
        <w:numPr>
          <w:ilvl w:val="0"/>
          <w:numId w:val="43"/>
        </w:numPr>
        <w:spacing w:after="120"/>
        <w:ind w:right="57"/>
        <w:jc w:val="both"/>
        <w:rPr>
          <w:rFonts w:ascii="Calibri" w:hAnsi="Calibri" w:cs="Calibri"/>
          <w:sz w:val="22"/>
          <w:szCs w:val="22"/>
        </w:rPr>
      </w:pPr>
      <w:r w:rsidRPr="004F0040">
        <w:rPr>
          <w:rFonts w:ascii="Calibri" w:hAnsi="Calibri" w:cs="Calibri"/>
          <w:sz w:val="22"/>
          <w:szCs w:val="22"/>
        </w:rPr>
        <w:t>0009921-41.2016.4.01.3400:  Trata-se da recomposição do equilíbrio econômico-financeiro do contrato nº 054/2010. Encontra-se em fase de produção de provas. Valor provável da provisão da contingência R$202.069.472,66.</w:t>
      </w:r>
    </w:p>
    <w:p w14:paraId="40C12D25" w14:textId="77777777" w:rsidR="004F0040" w:rsidRPr="004F0040" w:rsidRDefault="004F0040" w:rsidP="004F0040">
      <w:pPr>
        <w:pStyle w:val="PargrafodaLista"/>
        <w:numPr>
          <w:ilvl w:val="0"/>
          <w:numId w:val="43"/>
        </w:numPr>
        <w:spacing w:after="120"/>
        <w:ind w:right="57"/>
        <w:jc w:val="both"/>
        <w:rPr>
          <w:rFonts w:ascii="Calibri" w:hAnsi="Calibri" w:cs="Calibri"/>
          <w:sz w:val="22"/>
          <w:szCs w:val="22"/>
        </w:rPr>
      </w:pPr>
      <w:r w:rsidRPr="004F0040">
        <w:rPr>
          <w:rFonts w:ascii="Calibri" w:hAnsi="Calibri" w:cs="Calibri"/>
          <w:sz w:val="22"/>
          <w:szCs w:val="22"/>
        </w:rPr>
        <w:t>1018694-24.2017.4.01.3400: Trata-se de ressarcimento de equilíbrio financeiro, em que a autora alega que houve descumprimento de obrigações contratuais e do cronograma por parte da Valec. Valor provável da provisão da contingência R$ 165.618.651,85.</w:t>
      </w:r>
    </w:p>
    <w:p w14:paraId="7F2313CF" w14:textId="184004AD" w:rsidR="001D610C" w:rsidRPr="008D21F0" w:rsidRDefault="004F0040" w:rsidP="004F0040">
      <w:pPr>
        <w:pStyle w:val="PargrafodaLista"/>
        <w:numPr>
          <w:ilvl w:val="0"/>
          <w:numId w:val="43"/>
        </w:numPr>
        <w:spacing w:after="120"/>
        <w:ind w:right="57"/>
        <w:jc w:val="both"/>
        <w:rPr>
          <w:rFonts w:ascii="Calibri" w:hAnsi="Calibri" w:cs="Calibri"/>
          <w:sz w:val="22"/>
          <w:szCs w:val="22"/>
        </w:rPr>
      </w:pPr>
      <w:r w:rsidRPr="004F0040">
        <w:rPr>
          <w:rFonts w:ascii="Calibri" w:hAnsi="Calibri" w:cs="Calibri"/>
          <w:sz w:val="22"/>
          <w:szCs w:val="22"/>
        </w:rPr>
        <w:lastRenderedPageBreak/>
        <w:t>0060773-69.2016.4.01.3400: Trata-se reequilíbrio econômico-financeiro do contrato 007/2014. Valor provável da provisão da contingência R$ 122.248.435,57</w:t>
      </w:r>
      <w:r>
        <w:rPr>
          <w:rFonts w:ascii="Calibri" w:hAnsi="Calibri" w:cs="Calibri"/>
          <w:sz w:val="22"/>
          <w:szCs w:val="22"/>
        </w:rPr>
        <w:t>.</w:t>
      </w:r>
    </w:p>
    <w:p w14:paraId="18291109" w14:textId="67557983" w:rsidR="005D7B2E" w:rsidRPr="008D21F0" w:rsidRDefault="005D7B2E" w:rsidP="00937ED9">
      <w:pPr>
        <w:numPr>
          <w:ilvl w:val="0"/>
          <w:numId w:val="26"/>
        </w:numPr>
        <w:spacing w:before="120" w:after="120"/>
        <w:ind w:left="567" w:right="-142" w:hanging="567"/>
        <w:jc w:val="both"/>
        <w:rPr>
          <w:rFonts w:ascii="Calibri" w:hAnsi="Calibri" w:cs="Calibri"/>
          <w:sz w:val="22"/>
          <w:szCs w:val="22"/>
          <w:u w:val="single"/>
        </w:rPr>
      </w:pPr>
      <w:r w:rsidRPr="008D21F0">
        <w:rPr>
          <w:rFonts w:ascii="Calibri" w:hAnsi="Calibri" w:cs="Calibri"/>
          <w:sz w:val="22"/>
          <w:szCs w:val="22"/>
          <w:u w:val="single"/>
        </w:rPr>
        <w:t>Contingências</w:t>
      </w:r>
      <w:r w:rsidR="00FE1F7E" w:rsidRPr="008D21F0">
        <w:rPr>
          <w:rFonts w:ascii="Calibri" w:hAnsi="Calibri" w:cs="Calibri"/>
          <w:sz w:val="22"/>
          <w:szCs w:val="22"/>
          <w:u w:val="single"/>
        </w:rPr>
        <w:t xml:space="preserve"> de Ações </w:t>
      </w:r>
      <w:r w:rsidRPr="008D21F0">
        <w:rPr>
          <w:rFonts w:ascii="Calibri" w:hAnsi="Calibri" w:cs="Calibri"/>
          <w:sz w:val="22"/>
          <w:szCs w:val="22"/>
          <w:u w:val="single"/>
        </w:rPr>
        <w:t xml:space="preserve">Trabalhistas: </w:t>
      </w:r>
    </w:p>
    <w:p w14:paraId="7A7F3C4A" w14:textId="77777777" w:rsidR="005D7B2E" w:rsidRPr="008D21F0" w:rsidRDefault="005D7B2E" w:rsidP="00937ED9">
      <w:pPr>
        <w:spacing w:after="120"/>
        <w:ind w:right="57"/>
        <w:jc w:val="both"/>
        <w:rPr>
          <w:rFonts w:ascii="Calibri" w:hAnsi="Calibri" w:cs="Calibri"/>
          <w:sz w:val="22"/>
          <w:szCs w:val="22"/>
        </w:rPr>
      </w:pPr>
      <w:r w:rsidRPr="008D21F0">
        <w:rPr>
          <w:rFonts w:ascii="Calibri" w:hAnsi="Calibri" w:cs="Calibri"/>
          <w:sz w:val="22"/>
          <w:szCs w:val="22"/>
        </w:rPr>
        <w:t xml:space="preserve">As ações judiciais denominadas de reclamações trabalhistas constituem controvérsias entre os sujeitos da relação de trabalho, frequentemente empregador e empregado, submetidas à resolução jurisdicional. No âmbito da </w:t>
      </w:r>
      <w:r w:rsidR="00920ED9" w:rsidRPr="008D21F0">
        <w:rPr>
          <w:rFonts w:ascii="Calibri" w:hAnsi="Calibri" w:cs="Calibri"/>
          <w:sz w:val="22"/>
          <w:szCs w:val="22"/>
        </w:rPr>
        <w:t>VALEC</w:t>
      </w:r>
      <w:r w:rsidRPr="008D21F0">
        <w:rPr>
          <w:rFonts w:ascii="Calibri" w:hAnsi="Calibri" w:cs="Calibri"/>
          <w:sz w:val="22"/>
          <w:szCs w:val="22"/>
        </w:rPr>
        <w:t xml:space="preserve">, esses processos são divididos em dois grandes grupos: o primeiro, formado por empregados efetivos que geralmente demandam o judiciário em razão de algum direito trabalhista específico ou supostos descumprimentos do Plano de Cargos e Salários a que se vinculam; e o segundo, por empregados das empresas que mantêm ou mantiveram contratos de fornecimento de mão de obra com a </w:t>
      </w:r>
      <w:r w:rsidR="00920ED9" w:rsidRPr="008D21F0">
        <w:rPr>
          <w:rFonts w:ascii="Calibri" w:hAnsi="Calibri" w:cs="Calibri"/>
          <w:sz w:val="22"/>
          <w:szCs w:val="22"/>
        </w:rPr>
        <w:t>VALEC</w:t>
      </w:r>
      <w:r w:rsidRPr="008D21F0">
        <w:rPr>
          <w:rFonts w:ascii="Calibri" w:hAnsi="Calibri" w:cs="Calibri"/>
          <w:sz w:val="22"/>
          <w:szCs w:val="22"/>
        </w:rPr>
        <w:t xml:space="preserve">. Nestes últimos, a </w:t>
      </w:r>
      <w:r w:rsidR="00920ED9" w:rsidRPr="008D21F0">
        <w:rPr>
          <w:rFonts w:ascii="Calibri" w:hAnsi="Calibri" w:cs="Calibri"/>
          <w:sz w:val="22"/>
          <w:szCs w:val="22"/>
        </w:rPr>
        <w:t>VALEC</w:t>
      </w:r>
      <w:r w:rsidRPr="008D21F0">
        <w:rPr>
          <w:rFonts w:ascii="Calibri" w:hAnsi="Calibri" w:cs="Calibri"/>
          <w:sz w:val="22"/>
          <w:szCs w:val="22"/>
        </w:rPr>
        <w:t xml:space="preserve"> é demandada de forma subsidiária.</w:t>
      </w:r>
    </w:p>
    <w:p w14:paraId="7E38E1A8" w14:textId="77777777" w:rsidR="005D7B2E" w:rsidRPr="008D21F0" w:rsidRDefault="005D7B2E" w:rsidP="00937ED9">
      <w:pPr>
        <w:spacing w:after="120"/>
        <w:ind w:right="57"/>
        <w:jc w:val="both"/>
        <w:rPr>
          <w:rFonts w:ascii="Calibri" w:hAnsi="Calibri" w:cs="Calibri"/>
          <w:sz w:val="22"/>
          <w:szCs w:val="22"/>
        </w:rPr>
      </w:pPr>
      <w:r w:rsidRPr="008D21F0">
        <w:rPr>
          <w:rFonts w:ascii="Calibri" w:hAnsi="Calibri" w:cs="Calibri"/>
          <w:sz w:val="22"/>
          <w:szCs w:val="22"/>
        </w:rPr>
        <w:t xml:space="preserve">A temática de responsabilidade subsidiária trabalhista é a mais recorrente no universo quantitativo e diz respeito ao descumprimento, pelas Contratadas da </w:t>
      </w:r>
      <w:r w:rsidR="00920ED9" w:rsidRPr="008D21F0">
        <w:rPr>
          <w:rFonts w:ascii="Calibri" w:hAnsi="Calibri" w:cs="Calibri"/>
          <w:sz w:val="22"/>
          <w:szCs w:val="22"/>
        </w:rPr>
        <w:t>VALEC</w:t>
      </w:r>
      <w:r w:rsidRPr="008D21F0">
        <w:rPr>
          <w:rFonts w:ascii="Calibri" w:hAnsi="Calibri" w:cs="Calibri"/>
          <w:sz w:val="22"/>
          <w:szCs w:val="22"/>
        </w:rPr>
        <w:t xml:space="preserve">, das obrigações trabalhistas em face aos seus próprios empregados mobilizados para prestação de serviços em contratos firmados com a </w:t>
      </w:r>
      <w:r w:rsidR="00787F70" w:rsidRPr="008D21F0">
        <w:rPr>
          <w:rFonts w:ascii="Calibri" w:hAnsi="Calibri" w:cs="Calibri"/>
          <w:sz w:val="22"/>
          <w:szCs w:val="22"/>
        </w:rPr>
        <w:t>Estatal</w:t>
      </w:r>
      <w:r w:rsidRPr="008D21F0">
        <w:rPr>
          <w:rFonts w:ascii="Calibri" w:hAnsi="Calibri" w:cs="Calibri"/>
          <w:sz w:val="22"/>
          <w:szCs w:val="22"/>
        </w:rPr>
        <w:t xml:space="preserve">, implicando na inclusão da </w:t>
      </w:r>
      <w:r w:rsidR="00920ED9" w:rsidRPr="008D21F0">
        <w:rPr>
          <w:rFonts w:ascii="Calibri" w:hAnsi="Calibri" w:cs="Calibri"/>
          <w:sz w:val="22"/>
          <w:szCs w:val="22"/>
        </w:rPr>
        <w:t>VALEC</w:t>
      </w:r>
      <w:r w:rsidRPr="008D21F0">
        <w:rPr>
          <w:rFonts w:ascii="Calibri" w:hAnsi="Calibri" w:cs="Calibri"/>
          <w:sz w:val="22"/>
          <w:szCs w:val="22"/>
        </w:rPr>
        <w:t> como responsável subsidiariamente no polo passivo dessas demandas judiciais.</w:t>
      </w:r>
    </w:p>
    <w:p w14:paraId="6735F71F" w14:textId="77777777" w:rsidR="00F80F84" w:rsidRPr="008D21F0" w:rsidRDefault="00F80F84" w:rsidP="00937ED9">
      <w:pPr>
        <w:spacing w:after="120"/>
        <w:ind w:right="57"/>
        <w:jc w:val="both"/>
        <w:rPr>
          <w:rFonts w:ascii="Calibri" w:hAnsi="Calibri" w:cs="Calibri"/>
          <w:sz w:val="22"/>
          <w:szCs w:val="22"/>
        </w:rPr>
      </w:pPr>
      <w:r w:rsidRPr="008D21F0">
        <w:rPr>
          <w:rFonts w:ascii="Calibri" w:hAnsi="Calibri" w:cs="Calibri"/>
          <w:sz w:val="22"/>
          <w:szCs w:val="22"/>
        </w:rPr>
        <w:t xml:space="preserve">Além do quadro dito </w:t>
      </w:r>
      <w:r w:rsidR="00920ED9" w:rsidRPr="008D21F0">
        <w:rPr>
          <w:rFonts w:ascii="Calibri" w:hAnsi="Calibri" w:cs="Calibri"/>
          <w:sz w:val="22"/>
          <w:szCs w:val="22"/>
        </w:rPr>
        <w:t>VALEC</w:t>
      </w:r>
      <w:r w:rsidRPr="008D21F0">
        <w:rPr>
          <w:rFonts w:ascii="Calibri" w:hAnsi="Calibri" w:cs="Calibri"/>
          <w:sz w:val="22"/>
          <w:szCs w:val="22"/>
        </w:rPr>
        <w:t xml:space="preserve">, a Estatal sucedeu ao longo dos anos obrigações de empresas extintas, como GEIPOT e RFFSA, absorvendo o quadro de pessoal dessas empresas que passaram a compor, dentro das suas particularidades, também o seu quadro efetivo. Necessário explanar que, quando da extinção da Empresa Brasileira de Planejamento de Transportes </w:t>
      </w:r>
      <w:r w:rsidR="00AD6E75" w:rsidRPr="008D21F0">
        <w:rPr>
          <w:rFonts w:ascii="Calibri" w:hAnsi="Calibri" w:cs="Calibri"/>
          <w:sz w:val="22"/>
          <w:szCs w:val="22"/>
        </w:rPr>
        <w:t>(</w:t>
      </w:r>
      <w:r w:rsidRPr="008D21F0">
        <w:rPr>
          <w:rFonts w:ascii="Calibri" w:hAnsi="Calibri" w:cs="Calibri"/>
          <w:sz w:val="22"/>
          <w:szCs w:val="22"/>
        </w:rPr>
        <w:t>GEIPOT</w:t>
      </w:r>
      <w:r w:rsidR="00AD6E75" w:rsidRPr="008D21F0">
        <w:rPr>
          <w:rFonts w:ascii="Calibri" w:hAnsi="Calibri" w:cs="Calibri"/>
          <w:sz w:val="22"/>
          <w:szCs w:val="22"/>
        </w:rPr>
        <w:t>)</w:t>
      </w:r>
      <w:r w:rsidRPr="008D21F0">
        <w:rPr>
          <w:rFonts w:ascii="Calibri" w:hAnsi="Calibri" w:cs="Calibri"/>
          <w:sz w:val="22"/>
          <w:szCs w:val="22"/>
        </w:rPr>
        <w:t xml:space="preserve">, a transferência dos seus empregados ao quadro especial da </w:t>
      </w:r>
      <w:r w:rsidR="00920ED9" w:rsidRPr="008D21F0">
        <w:rPr>
          <w:rFonts w:ascii="Calibri" w:hAnsi="Calibri" w:cs="Calibri"/>
          <w:sz w:val="22"/>
          <w:szCs w:val="22"/>
        </w:rPr>
        <w:t>VALEC</w:t>
      </w:r>
      <w:r w:rsidRPr="008D21F0">
        <w:rPr>
          <w:rFonts w:ascii="Calibri" w:hAnsi="Calibri" w:cs="Calibri"/>
          <w:sz w:val="22"/>
          <w:szCs w:val="22"/>
        </w:rPr>
        <w:t xml:space="preserve"> ocorreu por força do artigo 26 da Lei nº 11.772/2008, que previu a vedação de comunicação aos planos de cargos e salários da </w:t>
      </w:r>
      <w:r w:rsidR="00920ED9" w:rsidRPr="008D21F0">
        <w:rPr>
          <w:rFonts w:ascii="Calibri" w:hAnsi="Calibri" w:cs="Calibri"/>
          <w:sz w:val="22"/>
          <w:szCs w:val="22"/>
        </w:rPr>
        <w:t>VALEC</w:t>
      </w:r>
      <w:r w:rsidRPr="008D21F0">
        <w:rPr>
          <w:rFonts w:ascii="Calibri" w:hAnsi="Calibri" w:cs="Calibri"/>
          <w:sz w:val="22"/>
          <w:szCs w:val="22"/>
        </w:rPr>
        <w:t xml:space="preserve">. Embora pacificada na legislação, a questão foi objeto de diversas judicializações face à Estatal, que se amparava nos ditames legais para lograr êxito no judiciário. Ademais, os empregados do extinto </w:t>
      </w:r>
      <w:r w:rsidR="00AD6E75" w:rsidRPr="008D21F0">
        <w:rPr>
          <w:rFonts w:ascii="Calibri" w:hAnsi="Calibri" w:cs="Calibri"/>
          <w:sz w:val="22"/>
          <w:szCs w:val="22"/>
        </w:rPr>
        <w:t>GEIPOT</w:t>
      </w:r>
      <w:r w:rsidRPr="008D21F0">
        <w:rPr>
          <w:rFonts w:ascii="Calibri" w:hAnsi="Calibri" w:cs="Calibri"/>
          <w:sz w:val="22"/>
          <w:szCs w:val="22"/>
        </w:rPr>
        <w:t xml:space="preserve"> também ingressaram com outros pleitos, muitos deles já arquivados, dos quais destacam-se os de incorporação de gratificação, cessão de empregados, plano de saúde e cumprimento do Plano de Cargos e Salários.</w:t>
      </w:r>
    </w:p>
    <w:p w14:paraId="1C563B4D" w14:textId="5E3742BE" w:rsidR="005D7B2E" w:rsidRDefault="00F80F84" w:rsidP="00937ED9">
      <w:pPr>
        <w:spacing w:after="120"/>
        <w:ind w:right="57"/>
        <w:jc w:val="both"/>
        <w:rPr>
          <w:rFonts w:ascii="Calibri" w:hAnsi="Calibri" w:cs="Calibri"/>
          <w:sz w:val="22"/>
          <w:szCs w:val="22"/>
        </w:rPr>
      </w:pPr>
      <w:r w:rsidRPr="008D21F0">
        <w:rPr>
          <w:rFonts w:ascii="Calibri" w:hAnsi="Calibri" w:cs="Calibri"/>
          <w:sz w:val="22"/>
          <w:szCs w:val="22"/>
        </w:rPr>
        <w:t xml:space="preserve">Quanto à Rede Ferroviária Federal S/A </w:t>
      </w:r>
      <w:r w:rsidR="00AD6E75" w:rsidRPr="008D21F0">
        <w:rPr>
          <w:rFonts w:ascii="Calibri" w:hAnsi="Calibri" w:cs="Calibri"/>
          <w:sz w:val="22"/>
          <w:szCs w:val="22"/>
        </w:rPr>
        <w:t>(</w:t>
      </w:r>
      <w:r w:rsidRPr="008D21F0">
        <w:rPr>
          <w:rFonts w:ascii="Calibri" w:hAnsi="Calibri" w:cs="Calibri"/>
          <w:sz w:val="22"/>
          <w:szCs w:val="22"/>
        </w:rPr>
        <w:t>RFFSA</w:t>
      </w:r>
      <w:r w:rsidR="00AD6E75" w:rsidRPr="008D21F0">
        <w:rPr>
          <w:rFonts w:ascii="Calibri" w:hAnsi="Calibri" w:cs="Calibri"/>
          <w:sz w:val="22"/>
          <w:szCs w:val="22"/>
        </w:rPr>
        <w:t>)</w:t>
      </w:r>
      <w:r w:rsidRPr="008D21F0">
        <w:rPr>
          <w:rFonts w:ascii="Calibri" w:hAnsi="Calibri" w:cs="Calibri"/>
          <w:sz w:val="22"/>
          <w:szCs w:val="22"/>
        </w:rPr>
        <w:t xml:space="preserve">, a alteração do contrato de trabalho com a sucessão trabalhista se deu por força da Lei nº 11.483/2007 e as principais judicializações dessa categoria contemplam pedidos para manutenção dos empregados nas cidades em que laboravam à época da Inventariança. Ademais, também foram propostas ações requerendo equiparação salarial aos empregados da </w:t>
      </w:r>
      <w:r w:rsidR="00920ED9" w:rsidRPr="008D21F0">
        <w:rPr>
          <w:rFonts w:ascii="Calibri" w:hAnsi="Calibri" w:cs="Calibri"/>
          <w:sz w:val="22"/>
          <w:szCs w:val="22"/>
        </w:rPr>
        <w:t>VALEC</w:t>
      </w:r>
      <w:r w:rsidRPr="008D21F0">
        <w:rPr>
          <w:rFonts w:ascii="Calibri" w:hAnsi="Calibri" w:cs="Calibri"/>
          <w:sz w:val="22"/>
          <w:szCs w:val="22"/>
        </w:rPr>
        <w:t>. De igual modo à legislação aplicada ao GEIPOT, há óbice nas demandas apresentadas em razão do disposto no §2º, art. 17 da Lei nº 11.48</w:t>
      </w:r>
      <w:r w:rsidR="00214011" w:rsidRPr="008D21F0">
        <w:rPr>
          <w:rFonts w:ascii="Calibri" w:hAnsi="Calibri" w:cs="Calibri"/>
          <w:sz w:val="22"/>
          <w:szCs w:val="22"/>
        </w:rPr>
        <w:t xml:space="preserve">3, de 31 de maio de </w:t>
      </w:r>
      <w:r w:rsidRPr="008D21F0">
        <w:rPr>
          <w:rFonts w:ascii="Calibri" w:hAnsi="Calibri" w:cs="Calibri"/>
          <w:sz w:val="22"/>
          <w:szCs w:val="22"/>
        </w:rPr>
        <w:t xml:space="preserve">2007, que veda a comunicação dos Planos de Cargos e Salários da </w:t>
      </w:r>
      <w:r w:rsidR="00920ED9" w:rsidRPr="008D21F0">
        <w:rPr>
          <w:rFonts w:ascii="Calibri" w:hAnsi="Calibri" w:cs="Calibri"/>
          <w:sz w:val="22"/>
          <w:szCs w:val="22"/>
        </w:rPr>
        <w:t>VALEC</w:t>
      </w:r>
      <w:r w:rsidRPr="008D21F0">
        <w:rPr>
          <w:rFonts w:ascii="Calibri" w:hAnsi="Calibri" w:cs="Calibri"/>
          <w:sz w:val="22"/>
          <w:szCs w:val="22"/>
        </w:rPr>
        <w:t>. </w:t>
      </w:r>
    </w:p>
    <w:p w14:paraId="2F656C1D" w14:textId="46CB1EEE" w:rsidR="004F0040" w:rsidRDefault="004F0040" w:rsidP="004F0040">
      <w:pPr>
        <w:spacing w:after="120"/>
        <w:ind w:right="57"/>
        <w:jc w:val="both"/>
        <w:rPr>
          <w:rFonts w:ascii="Calibri" w:hAnsi="Calibri" w:cs="Calibri"/>
          <w:sz w:val="22"/>
          <w:szCs w:val="22"/>
        </w:rPr>
      </w:pPr>
      <w:r w:rsidRPr="004F0040">
        <w:rPr>
          <w:rFonts w:ascii="Calibri" w:hAnsi="Calibri" w:cs="Calibri"/>
          <w:sz w:val="22"/>
          <w:szCs w:val="22"/>
        </w:rPr>
        <w:t>As principais ações com riscos de prováveis perdas são das varas trabalhistas, dentre as quais se destacam:</w:t>
      </w:r>
    </w:p>
    <w:p w14:paraId="60F157AB" w14:textId="3415FE6B" w:rsidR="004F0040" w:rsidRPr="00281671" w:rsidRDefault="004F0040" w:rsidP="00107845">
      <w:pPr>
        <w:pStyle w:val="PargrafodaLista"/>
        <w:numPr>
          <w:ilvl w:val="0"/>
          <w:numId w:val="48"/>
        </w:numPr>
        <w:spacing w:after="120"/>
        <w:ind w:left="851" w:right="57" w:hanging="425"/>
        <w:jc w:val="both"/>
        <w:rPr>
          <w:rFonts w:ascii="Calibri" w:hAnsi="Calibri" w:cs="Calibri"/>
          <w:sz w:val="22"/>
          <w:szCs w:val="22"/>
        </w:rPr>
      </w:pPr>
      <w:r w:rsidRPr="00281671">
        <w:rPr>
          <w:rFonts w:ascii="Calibri" w:hAnsi="Calibri" w:cs="Calibri"/>
          <w:sz w:val="22"/>
          <w:szCs w:val="22"/>
        </w:rPr>
        <w:t>0002602-09.2014.5.03.0181: Trata-se de Embargos de Terceiros para discutir a Titularidade de Crédito Remanescente (Cessão Fiduciária) referente ao contrato 053/2010. Valor provável da provisão da contingência R$ 10.398.125,87.</w:t>
      </w:r>
    </w:p>
    <w:p w14:paraId="7DC2C53F" w14:textId="045CBB39" w:rsidR="00281671" w:rsidRDefault="00281671" w:rsidP="00107845">
      <w:pPr>
        <w:pStyle w:val="PargrafodaLista"/>
        <w:numPr>
          <w:ilvl w:val="0"/>
          <w:numId w:val="48"/>
        </w:numPr>
        <w:spacing w:after="120"/>
        <w:ind w:left="851" w:right="57" w:hanging="425"/>
        <w:jc w:val="both"/>
        <w:rPr>
          <w:rFonts w:ascii="Calibri" w:hAnsi="Calibri" w:cs="Calibri"/>
          <w:sz w:val="22"/>
          <w:szCs w:val="22"/>
        </w:rPr>
      </w:pPr>
      <w:r w:rsidRPr="004F0040">
        <w:rPr>
          <w:rFonts w:ascii="Calibri" w:hAnsi="Calibri" w:cs="Calibri"/>
          <w:sz w:val="22"/>
          <w:szCs w:val="22"/>
        </w:rPr>
        <w:t>0012183-63.2017.5.18.0201: Trata-se da reclamação da autora requerendo indenização por doença ocupacional. Valor provável da provisão da contingência R$ 2.463.524,00.</w:t>
      </w:r>
    </w:p>
    <w:p w14:paraId="748720E4" w14:textId="72034645" w:rsidR="00281671" w:rsidRDefault="00281671" w:rsidP="00107845">
      <w:pPr>
        <w:pStyle w:val="PargrafodaLista"/>
        <w:numPr>
          <w:ilvl w:val="0"/>
          <w:numId w:val="48"/>
        </w:numPr>
        <w:spacing w:after="120"/>
        <w:ind w:left="851" w:right="57" w:hanging="425"/>
        <w:jc w:val="both"/>
        <w:rPr>
          <w:rFonts w:ascii="Calibri" w:hAnsi="Calibri" w:cs="Calibri"/>
          <w:sz w:val="22"/>
          <w:szCs w:val="22"/>
        </w:rPr>
      </w:pPr>
      <w:r w:rsidRPr="004F0040">
        <w:rPr>
          <w:rFonts w:ascii="Calibri" w:hAnsi="Calibri" w:cs="Calibri"/>
          <w:sz w:val="22"/>
          <w:szCs w:val="22"/>
        </w:rPr>
        <w:t>0163600-69.2005.5.01.0003: Trata-se de Ação de Cumprimento visando o pagamento dos reajustes contidos em convenções coletivas do trabalho de 2001,2002e2003. Valor provável da provisão da contingência R$18.000.000,00.</w:t>
      </w:r>
    </w:p>
    <w:p w14:paraId="0908575B" w14:textId="57638BB0" w:rsidR="004F0040" w:rsidRPr="00281671" w:rsidRDefault="00281671" w:rsidP="00107845">
      <w:pPr>
        <w:pStyle w:val="PargrafodaLista"/>
        <w:numPr>
          <w:ilvl w:val="0"/>
          <w:numId w:val="48"/>
        </w:numPr>
        <w:spacing w:after="120"/>
        <w:ind w:left="851" w:right="57" w:hanging="425"/>
        <w:jc w:val="both"/>
        <w:rPr>
          <w:rFonts w:ascii="Calibri" w:hAnsi="Calibri" w:cs="Calibri"/>
          <w:sz w:val="22"/>
          <w:szCs w:val="22"/>
        </w:rPr>
      </w:pPr>
      <w:r w:rsidRPr="004F0040">
        <w:rPr>
          <w:rFonts w:ascii="Calibri" w:hAnsi="Calibri" w:cs="Calibri"/>
          <w:sz w:val="22"/>
          <w:szCs w:val="22"/>
        </w:rPr>
        <w:t>0166100-75.1991.5.01.0011: Execução de Contribuição Previdenciária referente pagamento de execução efetuado pela Valec, de reclamação em que o SINTRACONST-RIO pleiteava diferenças salariais devidas aos empregados substituídos (PSC 88, atual 2007). Valor provável da provisão da contingência R$ 6.139.245,68</w:t>
      </w:r>
      <w:r>
        <w:rPr>
          <w:rFonts w:ascii="Calibri" w:hAnsi="Calibri" w:cs="Calibri"/>
          <w:sz w:val="22"/>
          <w:szCs w:val="22"/>
        </w:rPr>
        <w:t>.</w:t>
      </w:r>
    </w:p>
    <w:p w14:paraId="59AF9BAF" w14:textId="31708044" w:rsidR="002A23EE" w:rsidRPr="008D21F0" w:rsidRDefault="002A23EE" w:rsidP="002A23EE">
      <w:pPr>
        <w:numPr>
          <w:ilvl w:val="0"/>
          <w:numId w:val="26"/>
        </w:numPr>
        <w:spacing w:before="120" w:after="120"/>
        <w:ind w:left="567" w:right="-142" w:hanging="567"/>
        <w:jc w:val="both"/>
        <w:rPr>
          <w:rFonts w:ascii="Calibri" w:hAnsi="Calibri" w:cs="Calibri"/>
          <w:sz w:val="22"/>
          <w:szCs w:val="22"/>
          <w:u w:val="single"/>
        </w:rPr>
      </w:pPr>
      <w:r w:rsidRPr="008D21F0">
        <w:rPr>
          <w:rFonts w:ascii="Calibri" w:hAnsi="Calibri" w:cs="Calibri"/>
          <w:sz w:val="22"/>
          <w:szCs w:val="22"/>
          <w:u w:val="single"/>
        </w:rPr>
        <w:t xml:space="preserve">Contingências de </w:t>
      </w:r>
      <w:r w:rsidR="00FE1F7E" w:rsidRPr="008D21F0">
        <w:rPr>
          <w:rFonts w:ascii="Calibri" w:hAnsi="Calibri" w:cs="Calibri"/>
          <w:sz w:val="22"/>
          <w:szCs w:val="22"/>
          <w:u w:val="single"/>
        </w:rPr>
        <w:t xml:space="preserve">Ações de </w:t>
      </w:r>
      <w:r w:rsidRPr="008D21F0">
        <w:rPr>
          <w:rFonts w:ascii="Calibri" w:hAnsi="Calibri" w:cs="Calibri"/>
          <w:sz w:val="22"/>
          <w:szCs w:val="22"/>
          <w:u w:val="single"/>
        </w:rPr>
        <w:t xml:space="preserve">Desapropriações: </w:t>
      </w:r>
    </w:p>
    <w:p w14:paraId="21ED8DEE" w14:textId="77777777" w:rsidR="00FE1F7E" w:rsidRPr="008D21F0" w:rsidRDefault="00CB405C" w:rsidP="00FE1F7E">
      <w:pPr>
        <w:spacing w:after="120"/>
        <w:ind w:right="57"/>
        <w:jc w:val="both"/>
        <w:rPr>
          <w:rFonts w:ascii="Calibri" w:hAnsi="Calibri" w:cs="Calibri"/>
          <w:sz w:val="22"/>
          <w:szCs w:val="22"/>
        </w:rPr>
      </w:pPr>
      <w:r w:rsidRPr="008D21F0">
        <w:rPr>
          <w:rFonts w:ascii="Calibri" w:hAnsi="Calibri" w:cs="Calibri"/>
          <w:sz w:val="22"/>
          <w:szCs w:val="22"/>
        </w:rPr>
        <w:t>Os processos de desapropriação são medidas</w:t>
      </w:r>
      <w:r w:rsidR="00FE1F7E" w:rsidRPr="008D21F0">
        <w:rPr>
          <w:rFonts w:ascii="Calibri" w:hAnsi="Calibri" w:cs="Calibri"/>
          <w:sz w:val="22"/>
          <w:szCs w:val="22"/>
        </w:rPr>
        <w:t xml:space="preserve"> </w:t>
      </w:r>
      <w:r w:rsidRPr="008D21F0">
        <w:rPr>
          <w:rFonts w:ascii="Calibri" w:hAnsi="Calibri" w:cs="Calibri"/>
          <w:sz w:val="22"/>
          <w:szCs w:val="22"/>
        </w:rPr>
        <w:t xml:space="preserve">judiciais necessárias à obtenção de imóveis para implantar infraestrutura ferroviária, objeto social da estatal Valec. Portanto, são parte da atividade fim da companhia. Regulamentada pelo Decreto Lei nº 3.365/1941, a desapropriação por utilidade pública se inicia como um processo administrativo e, a depender da concordância ou não do expropriado com o valor do bem avaliado, torna-se um </w:t>
      </w:r>
      <w:r w:rsidRPr="008D21F0">
        <w:rPr>
          <w:rFonts w:ascii="Calibri" w:hAnsi="Calibri" w:cs="Calibri"/>
          <w:sz w:val="22"/>
          <w:szCs w:val="22"/>
        </w:rPr>
        <w:lastRenderedPageBreak/>
        <w:t xml:space="preserve">processo judicial. A Administração avalia os imóveis que necessita expropriar para implantar a infraestrutura e oferece um valor indenizatório ao proprietário que, aceitando, lavra-se escritura e resta constituída a propriedade da Administração. </w:t>
      </w:r>
    </w:p>
    <w:p w14:paraId="2A603F2C" w14:textId="25DA2C03" w:rsidR="00CB405C" w:rsidRDefault="00CB405C" w:rsidP="00FE1F7E">
      <w:pPr>
        <w:spacing w:after="120"/>
        <w:ind w:right="57"/>
        <w:jc w:val="both"/>
        <w:rPr>
          <w:rFonts w:ascii="Calibri" w:hAnsi="Calibri" w:cs="Calibri"/>
          <w:sz w:val="22"/>
          <w:szCs w:val="22"/>
        </w:rPr>
      </w:pPr>
      <w:r w:rsidRPr="008D21F0">
        <w:rPr>
          <w:rFonts w:ascii="Calibri" w:hAnsi="Calibri" w:cs="Calibri"/>
          <w:sz w:val="22"/>
          <w:szCs w:val="22"/>
        </w:rPr>
        <w:t xml:space="preserve">Negando-se o expropriado, a Administração ajuíza uma ação de desapropriação por utilidade pública. </w:t>
      </w:r>
    </w:p>
    <w:p w14:paraId="157321E0" w14:textId="37554B35" w:rsidR="00FE1F7E" w:rsidRPr="008D21F0" w:rsidRDefault="00FE1F7E" w:rsidP="001D610C">
      <w:pPr>
        <w:numPr>
          <w:ilvl w:val="0"/>
          <w:numId w:val="26"/>
        </w:numPr>
        <w:spacing w:before="120" w:after="120"/>
        <w:ind w:left="567" w:right="-142" w:hanging="567"/>
        <w:jc w:val="both"/>
        <w:rPr>
          <w:rFonts w:ascii="Calibri" w:hAnsi="Calibri" w:cs="Calibri"/>
          <w:sz w:val="22"/>
          <w:szCs w:val="22"/>
          <w:u w:val="single"/>
        </w:rPr>
      </w:pPr>
      <w:r w:rsidRPr="008D21F0">
        <w:rPr>
          <w:rFonts w:ascii="Calibri" w:hAnsi="Calibri" w:cs="Calibri"/>
          <w:sz w:val="22"/>
          <w:szCs w:val="22"/>
          <w:u w:val="single"/>
        </w:rPr>
        <w:t xml:space="preserve">Contingências de </w:t>
      </w:r>
      <w:r w:rsidR="001D610C" w:rsidRPr="008D21F0">
        <w:rPr>
          <w:rFonts w:ascii="Calibri" w:hAnsi="Calibri" w:cs="Calibri"/>
          <w:sz w:val="22"/>
          <w:szCs w:val="22"/>
          <w:u w:val="single"/>
        </w:rPr>
        <w:t>Ações Tributárias</w:t>
      </w:r>
      <w:r w:rsidRPr="008D21F0">
        <w:rPr>
          <w:rFonts w:ascii="Calibri" w:hAnsi="Calibri" w:cs="Calibri"/>
          <w:sz w:val="22"/>
          <w:szCs w:val="22"/>
          <w:u w:val="single"/>
        </w:rPr>
        <w:t xml:space="preserve">: </w:t>
      </w:r>
    </w:p>
    <w:p w14:paraId="57C8503D" w14:textId="68FA6795" w:rsidR="001D610C" w:rsidRDefault="001D610C" w:rsidP="001D610C">
      <w:pPr>
        <w:spacing w:after="120"/>
        <w:ind w:right="57"/>
        <w:jc w:val="both"/>
        <w:rPr>
          <w:rFonts w:ascii="Calibri" w:hAnsi="Calibri" w:cs="Calibri"/>
          <w:sz w:val="22"/>
          <w:szCs w:val="22"/>
        </w:rPr>
      </w:pPr>
      <w:r w:rsidRPr="008D21F0">
        <w:rPr>
          <w:rFonts w:ascii="Calibri" w:hAnsi="Calibri" w:cs="Calibri"/>
          <w:sz w:val="22"/>
          <w:szCs w:val="22"/>
        </w:rPr>
        <w:t>As ações</w:t>
      </w:r>
      <w:r w:rsidR="00CB405C" w:rsidRPr="008D21F0">
        <w:rPr>
          <w:rFonts w:ascii="Calibri" w:hAnsi="Calibri" w:cs="Calibri"/>
          <w:sz w:val="22"/>
          <w:szCs w:val="22"/>
        </w:rPr>
        <w:t xml:space="preserve"> tributárias</w:t>
      </w:r>
      <w:r w:rsidRPr="008D21F0">
        <w:rPr>
          <w:rFonts w:ascii="Calibri" w:hAnsi="Calibri" w:cs="Calibri"/>
          <w:sz w:val="22"/>
          <w:szCs w:val="22"/>
        </w:rPr>
        <w:t>, e</w:t>
      </w:r>
      <w:r w:rsidR="00CB405C" w:rsidRPr="008D21F0">
        <w:rPr>
          <w:rFonts w:ascii="Calibri" w:hAnsi="Calibri" w:cs="Calibri"/>
          <w:sz w:val="22"/>
          <w:szCs w:val="22"/>
        </w:rPr>
        <w:t>ssencialmente, versam sobre ações em que a Valec requer o reconhecimento da não incidência</w:t>
      </w:r>
      <w:r w:rsidR="00CB405C" w:rsidRPr="001D610C">
        <w:rPr>
          <w:rFonts w:ascii="Calibri" w:hAnsi="Calibri" w:cs="Calibri"/>
          <w:sz w:val="22"/>
          <w:szCs w:val="22"/>
        </w:rPr>
        <w:t xml:space="preserve"> de determinado tributo a que é compelida a pagar, assim como a restituição de valores que entende terem sido pagos </w:t>
      </w:r>
      <w:r w:rsidR="00CB405C" w:rsidRPr="008D21F0">
        <w:rPr>
          <w:rFonts w:ascii="Calibri" w:hAnsi="Calibri" w:cs="Calibri"/>
          <w:sz w:val="22"/>
          <w:szCs w:val="22"/>
        </w:rPr>
        <w:t>indevidamente. Por outro lado, quando figura como parte ré, em geral as ações versam sobre execuções fiscais para cobrança de créditos tributários referentes a um determinado tributo.</w:t>
      </w:r>
    </w:p>
    <w:p w14:paraId="1AB2FB73" w14:textId="698964C1" w:rsidR="00281671" w:rsidRDefault="00281671" w:rsidP="00281671">
      <w:pPr>
        <w:spacing w:after="120"/>
        <w:ind w:right="57"/>
        <w:jc w:val="both"/>
        <w:rPr>
          <w:rFonts w:ascii="Calibri" w:hAnsi="Calibri" w:cs="Calibri"/>
          <w:sz w:val="22"/>
          <w:szCs w:val="22"/>
        </w:rPr>
      </w:pPr>
      <w:r w:rsidRPr="00281671">
        <w:rPr>
          <w:rFonts w:ascii="Calibri" w:hAnsi="Calibri" w:cs="Calibri"/>
          <w:sz w:val="22"/>
          <w:szCs w:val="22"/>
        </w:rPr>
        <w:t>As principais provisões prováveis tributárias são:</w:t>
      </w:r>
    </w:p>
    <w:p w14:paraId="6964B272" w14:textId="4B5F805E" w:rsidR="00281671" w:rsidRPr="00107845" w:rsidRDefault="00107845" w:rsidP="00107845">
      <w:pPr>
        <w:pStyle w:val="PargrafodaLista"/>
        <w:numPr>
          <w:ilvl w:val="0"/>
          <w:numId w:val="49"/>
        </w:numPr>
        <w:spacing w:after="120"/>
        <w:ind w:left="851" w:right="57" w:hanging="425"/>
        <w:jc w:val="both"/>
        <w:rPr>
          <w:rFonts w:ascii="Calibri" w:hAnsi="Calibri" w:cs="Calibri"/>
          <w:sz w:val="22"/>
          <w:szCs w:val="22"/>
        </w:rPr>
      </w:pPr>
      <w:r w:rsidRPr="00107845">
        <w:rPr>
          <w:rFonts w:ascii="Calibri" w:hAnsi="Calibri" w:cs="Calibri"/>
          <w:sz w:val="22"/>
          <w:szCs w:val="22"/>
        </w:rPr>
        <w:t>1005464-23.2019.4.01.3309. Trata-se de ação anulatória de ISS pelo município de Ibiassuncê-BA. Valor provável da provisão da contingência R$ R$ 1.105.829,47.</w:t>
      </w:r>
      <w:r w:rsidR="00281671" w:rsidRPr="00107845">
        <w:rPr>
          <w:rFonts w:ascii="Calibri" w:hAnsi="Calibri" w:cs="Calibri"/>
          <w:sz w:val="22"/>
          <w:szCs w:val="22"/>
        </w:rPr>
        <w:tab/>
      </w:r>
    </w:p>
    <w:p w14:paraId="037314A6" w14:textId="39F682B9" w:rsidR="001D610C" w:rsidRPr="008D21F0" w:rsidRDefault="001D610C" w:rsidP="001D610C">
      <w:pPr>
        <w:numPr>
          <w:ilvl w:val="0"/>
          <w:numId w:val="26"/>
        </w:numPr>
        <w:spacing w:before="120" w:after="120"/>
        <w:ind w:left="567" w:right="-142" w:hanging="567"/>
        <w:jc w:val="both"/>
        <w:rPr>
          <w:rFonts w:ascii="Calibri" w:hAnsi="Calibri" w:cs="Calibri"/>
          <w:sz w:val="22"/>
          <w:szCs w:val="22"/>
          <w:u w:val="single"/>
        </w:rPr>
      </w:pPr>
      <w:r w:rsidRPr="008D21F0">
        <w:rPr>
          <w:rFonts w:ascii="Calibri" w:hAnsi="Calibri" w:cs="Calibri"/>
          <w:sz w:val="22"/>
          <w:szCs w:val="22"/>
          <w:u w:val="single"/>
        </w:rPr>
        <w:t xml:space="preserve">Contingências de Ações Previdenciárias: </w:t>
      </w:r>
    </w:p>
    <w:p w14:paraId="4B7AD5D0" w14:textId="2A7ABD4B" w:rsidR="007D6164" w:rsidRDefault="001D610C" w:rsidP="00EC17B2">
      <w:pPr>
        <w:spacing w:after="120"/>
        <w:ind w:right="57"/>
        <w:jc w:val="both"/>
        <w:rPr>
          <w:rFonts w:ascii="Calibri" w:hAnsi="Calibri" w:cs="Calibri"/>
          <w:sz w:val="22"/>
          <w:szCs w:val="22"/>
        </w:rPr>
      </w:pPr>
      <w:r w:rsidRPr="008D21F0">
        <w:rPr>
          <w:rFonts w:ascii="Calibri" w:hAnsi="Calibri" w:cs="Calibri"/>
          <w:sz w:val="22"/>
          <w:szCs w:val="22"/>
        </w:rPr>
        <w:t>Nas</w:t>
      </w:r>
      <w:r w:rsidR="00CB405C" w:rsidRPr="008D21F0">
        <w:rPr>
          <w:rFonts w:ascii="Calibri" w:hAnsi="Calibri" w:cs="Calibri"/>
          <w:sz w:val="22"/>
          <w:szCs w:val="22"/>
        </w:rPr>
        <w:t xml:space="preserve"> ações de natureza previdenciária acompanhadas pela Valec a parte autora pleiteia, da União, a complementação dos vencimentos de aposentadoria (Lei nº 10.233/200) em relação aos valores atualmente pagos ao pessoal do quadro da Valec, estatal que absorveu os empregados ativos da extinta RFFSA (Lei nº 11.483/2007). Não obstante a responsável pela eventual complementação de aposentadoria seja a União, os pedidos direcionados à Valec resumem-se, basicamente, à apresentação de documentos relativos ao seu quadro de pessoal, como meio de confirmar e calcular esta possível complementação. </w:t>
      </w:r>
    </w:p>
    <w:p w14:paraId="7DEBC2A6" w14:textId="6BBDAE94" w:rsidR="00281671" w:rsidRPr="00281671" w:rsidRDefault="00281671" w:rsidP="00281671">
      <w:pPr>
        <w:spacing w:after="120"/>
        <w:ind w:right="57"/>
        <w:jc w:val="both"/>
        <w:rPr>
          <w:rFonts w:ascii="Calibri" w:hAnsi="Calibri" w:cs="Calibri"/>
          <w:sz w:val="22"/>
          <w:szCs w:val="22"/>
        </w:rPr>
      </w:pPr>
      <w:r w:rsidRPr="00281671">
        <w:rPr>
          <w:rFonts w:ascii="Calibri" w:hAnsi="Calibri" w:cs="Calibri"/>
          <w:sz w:val="22"/>
          <w:szCs w:val="22"/>
        </w:rPr>
        <w:t xml:space="preserve">As principais provisões prováveis </w:t>
      </w:r>
      <w:r>
        <w:rPr>
          <w:rFonts w:ascii="Calibri" w:hAnsi="Calibri" w:cs="Calibri"/>
          <w:sz w:val="22"/>
          <w:szCs w:val="22"/>
        </w:rPr>
        <w:t>previdenciárias</w:t>
      </w:r>
      <w:r w:rsidRPr="00281671">
        <w:rPr>
          <w:rFonts w:ascii="Calibri" w:hAnsi="Calibri" w:cs="Calibri"/>
          <w:sz w:val="22"/>
          <w:szCs w:val="22"/>
        </w:rPr>
        <w:t xml:space="preserve"> são:</w:t>
      </w:r>
    </w:p>
    <w:p w14:paraId="22D4ADA4" w14:textId="77777777" w:rsidR="00281671" w:rsidRPr="00281671" w:rsidRDefault="00281671" w:rsidP="00107845">
      <w:pPr>
        <w:pStyle w:val="PargrafodaLista"/>
        <w:spacing w:after="120"/>
        <w:ind w:left="851" w:right="57" w:hanging="425"/>
        <w:jc w:val="both"/>
        <w:rPr>
          <w:rFonts w:ascii="Calibri" w:hAnsi="Calibri" w:cs="Calibri"/>
          <w:sz w:val="22"/>
          <w:szCs w:val="22"/>
        </w:rPr>
      </w:pPr>
      <w:r w:rsidRPr="00281671">
        <w:rPr>
          <w:rFonts w:ascii="Calibri" w:hAnsi="Calibri" w:cs="Calibri"/>
          <w:sz w:val="22"/>
          <w:szCs w:val="22"/>
        </w:rPr>
        <w:t>a)</w:t>
      </w:r>
      <w:r w:rsidRPr="00281671">
        <w:rPr>
          <w:rFonts w:ascii="Calibri" w:hAnsi="Calibri" w:cs="Calibri"/>
          <w:sz w:val="22"/>
          <w:szCs w:val="22"/>
        </w:rPr>
        <w:tab/>
        <w:t>0044589-52.2013.4.01.3300. Trata-se de pleito para que a União/INSS proceda com a complementação de aposentadoria conforme remuneração do pessoal da ativa da Valec. Valor provável da provisão da contingência R$ 100.000,00.</w:t>
      </w:r>
    </w:p>
    <w:p w14:paraId="54162C44" w14:textId="66DF641E" w:rsidR="00281671" w:rsidRPr="00281671" w:rsidRDefault="00281671" w:rsidP="00107845">
      <w:pPr>
        <w:pStyle w:val="PargrafodaLista"/>
        <w:spacing w:after="120"/>
        <w:ind w:left="851" w:right="57" w:hanging="425"/>
        <w:jc w:val="both"/>
        <w:rPr>
          <w:rFonts w:ascii="Calibri" w:hAnsi="Calibri" w:cs="Calibri"/>
          <w:sz w:val="22"/>
          <w:szCs w:val="22"/>
        </w:rPr>
      </w:pPr>
      <w:r w:rsidRPr="00281671">
        <w:rPr>
          <w:rFonts w:ascii="Calibri" w:hAnsi="Calibri" w:cs="Calibri"/>
          <w:sz w:val="22"/>
          <w:szCs w:val="22"/>
        </w:rPr>
        <w:t>b)</w:t>
      </w:r>
      <w:r w:rsidRPr="00281671">
        <w:rPr>
          <w:rFonts w:ascii="Calibri" w:hAnsi="Calibri" w:cs="Calibri"/>
          <w:sz w:val="22"/>
          <w:szCs w:val="22"/>
        </w:rPr>
        <w:tab/>
        <w:t>5000627-71.2021.4.03.6107. Trata-se de pleito para que a União/INSS proceda com a complementação de aposentadoria com equiparação no quadro ativo da Valec. Valor provável da provisão da contingência R$ 231.573,00</w:t>
      </w:r>
      <w:r>
        <w:rPr>
          <w:rFonts w:ascii="Calibri" w:hAnsi="Calibri" w:cs="Calibri"/>
          <w:sz w:val="22"/>
          <w:szCs w:val="22"/>
        </w:rPr>
        <w:t>.</w:t>
      </w:r>
    </w:p>
    <w:p w14:paraId="786C8CA2" w14:textId="71AD15AD" w:rsidR="00281671" w:rsidRPr="00EC17B2" w:rsidRDefault="00281671" w:rsidP="00107845">
      <w:pPr>
        <w:pStyle w:val="PargrafodaLista"/>
        <w:spacing w:after="120"/>
        <w:ind w:left="851" w:right="57" w:hanging="425"/>
        <w:jc w:val="both"/>
        <w:rPr>
          <w:rFonts w:ascii="Calibri" w:hAnsi="Calibri" w:cs="Calibri"/>
          <w:sz w:val="22"/>
          <w:szCs w:val="22"/>
        </w:rPr>
      </w:pPr>
      <w:r w:rsidRPr="00281671">
        <w:rPr>
          <w:rFonts w:ascii="Calibri" w:hAnsi="Calibri" w:cs="Calibri"/>
          <w:sz w:val="22"/>
          <w:szCs w:val="22"/>
        </w:rPr>
        <w:t>c)</w:t>
      </w:r>
      <w:r w:rsidRPr="00281671">
        <w:rPr>
          <w:rFonts w:ascii="Calibri" w:hAnsi="Calibri" w:cs="Calibri"/>
          <w:sz w:val="22"/>
          <w:szCs w:val="22"/>
        </w:rPr>
        <w:tab/>
        <w:t>5001880-31.2020.4.03.6107. Autor requer pagamento de diferenças referentes à complementação de aposentadoria com base na Lei nº 8.186/91. Valor provável da provisão da contingência R$108.197,88.</w:t>
      </w:r>
    </w:p>
    <w:p w14:paraId="6247DB0B" w14:textId="5927B050" w:rsidR="007D6164" w:rsidRPr="008D21F0" w:rsidRDefault="007D6164" w:rsidP="00937ED9">
      <w:pPr>
        <w:spacing w:after="120"/>
        <w:ind w:right="57"/>
        <w:jc w:val="both"/>
        <w:rPr>
          <w:rFonts w:ascii="Calibri" w:hAnsi="Calibri" w:cs="Calibri"/>
          <w:b/>
          <w:bCs/>
          <w:sz w:val="22"/>
          <w:szCs w:val="22"/>
        </w:rPr>
      </w:pPr>
      <w:r w:rsidRPr="008D21F0">
        <w:rPr>
          <w:rFonts w:ascii="Calibri" w:hAnsi="Calibri" w:cs="Calibri"/>
          <w:b/>
          <w:bCs/>
          <w:sz w:val="22"/>
          <w:szCs w:val="22"/>
        </w:rPr>
        <w:t xml:space="preserve">b.3) Ações com Riscos de Perdas Possíveis: </w:t>
      </w:r>
    </w:p>
    <w:p w14:paraId="332DC70D" w14:textId="77777777" w:rsidR="00970EA8" w:rsidRPr="008D21F0" w:rsidRDefault="00970EA8" w:rsidP="00937ED9">
      <w:pPr>
        <w:spacing w:after="120"/>
        <w:ind w:right="57"/>
        <w:jc w:val="both"/>
        <w:rPr>
          <w:rFonts w:ascii="Calibri" w:hAnsi="Calibri" w:cs="Calibri"/>
          <w:sz w:val="22"/>
          <w:szCs w:val="22"/>
        </w:rPr>
      </w:pPr>
      <w:r w:rsidRPr="008D21F0">
        <w:rPr>
          <w:rFonts w:ascii="Calibri" w:hAnsi="Calibri" w:cs="Calibri"/>
          <w:sz w:val="22"/>
          <w:szCs w:val="22"/>
        </w:rPr>
        <w:t>Conforme Item n° 86 do CPC 25 - Provisões, Passivos Contingentes e Ativos Contingentes; “a entidade deve divulgar para cada classe de passivo contingente na data do balanço, uma breve descrição da natureza do passivo contingente...”. Assim, os processos judiciais impetrados contra a VALEC, a extinta RFFSA e o GEIPOT, classificados pela Assessoria Jurídica como obrigações “possíveis”, não foram contabilizados, apenas divulgados em Nota Explicativa.</w:t>
      </w:r>
    </w:p>
    <w:p w14:paraId="7E39FB89" w14:textId="22B6D414" w:rsidR="00977AD1" w:rsidRPr="008D21F0" w:rsidRDefault="00970EA8" w:rsidP="00937ED9">
      <w:pPr>
        <w:spacing w:after="120"/>
        <w:ind w:right="57"/>
        <w:jc w:val="both"/>
        <w:rPr>
          <w:rFonts w:ascii="Calibri" w:hAnsi="Calibri" w:cs="Calibri"/>
          <w:sz w:val="22"/>
          <w:szCs w:val="22"/>
        </w:rPr>
      </w:pPr>
      <w:r w:rsidRPr="008D21F0">
        <w:rPr>
          <w:rFonts w:ascii="Calibri" w:hAnsi="Calibri" w:cs="Calibri"/>
          <w:sz w:val="22"/>
          <w:szCs w:val="22"/>
        </w:rPr>
        <w:t xml:space="preserve">Os processos judiciais classificados com “possível” risco de perda, apresentaram os seguintes saldos em </w:t>
      </w:r>
      <w:r w:rsidR="00255AD7" w:rsidRPr="008D21F0">
        <w:rPr>
          <w:rFonts w:ascii="Calibri" w:hAnsi="Calibri" w:cs="Calibri"/>
          <w:sz w:val="22"/>
          <w:szCs w:val="22"/>
        </w:rPr>
        <w:t>3</w:t>
      </w:r>
      <w:r w:rsidR="004E3A39">
        <w:rPr>
          <w:rFonts w:ascii="Calibri" w:hAnsi="Calibri" w:cs="Calibri"/>
          <w:sz w:val="22"/>
          <w:szCs w:val="22"/>
        </w:rPr>
        <w:t>0</w:t>
      </w:r>
      <w:r w:rsidR="00255AD7" w:rsidRPr="008D21F0">
        <w:rPr>
          <w:rFonts w:ascii="Calibri" w:hAnsi="Calibri" w:cs="Calibri"/>
          <w:sz w:val="22"/>
          <w:szCs w:val="22"/>
        </w:rPr>
        <w:t xml:space="preserve"> de </w:t>
      </w:r>
      <w:r w:rsidR="004E3A39">
        <w:rPr>
          <w:rFonts w:ascii="Calibri" w:hAnsi="Calibri" w:cs="Calibri"/>
          <w:sz w:val="22"/>
          <w:szCs w:val="22"/>
        </w:rPr>
        <w:t>junh</w:t>
      </w:r>
      <w:r w:rsidR="00294296">
        <w:rPr>
          <w:rFonts w:ascii="Calibri" w:hAnsi="Calibri" w:cs="Calibri"/>
          <w:sz w:val="22"/>
          <w:szCs w:val="22"/>
        </w:rPr>
        <w:t>o</w:t>
      </w:r>
      <w:r w:rsidRPr="008D21F0">
        <w:rPr>
          <w:rFonts w:ascii="Calibri" w:hAnsi="Calibri" w:cs="Calibri"/>
          <w:sz w:val="22"/>
          <w:szCs w:val="22"/>
        </w:rPr>
        <w:t xml:space="preserve"> de 20</w:t>
      </w:r>
      <w:r w:rsidR="00B632AC" w:rsidRPr="008D21F0">
        <w:rPr>
          <w:rFonts w:ascii="Calibri" w:hAnsi="Calibri" w:cs="Calibri"/>
          <w:sz w:val="22"/>
          <w:szCs w:val="22"/>
        </w:rPr>
        <w:t>2</w:t>
      </w:r>
      <w:r w:rsidR="00294296">
        <w:rPr>
          <w:rFonts w:ascii="Calibri" w:hAnsi="Calibri" w:cs="Calibri"/>
          <w:sz w:val="22"/>
          <w:szCs w:val="22"/>
        </w:rPr>
        <w:t>2</w:t>
      </w:r>
      <w:r w:rsidRPr="008D21F0">
        <w:rPr>
          <w:rFonts w:ascii="Calibri" w:hAnsi="Calibri" w:cs="Calibri"/>
          <w:sz w:val="22"/>
          <w:szCs w:val="22"/>
        </w:rPr>
        <w:t>:</w:t>
      </w:r>
    </w:p>
    <w:tbl>
      <w:tblPr>
        <w:tblW w:w="5001" w:type="pct"/>
        <w:tblCellMar>
          <w:left w:w="70" w:type="dxa"/>
          <w:right w:w="70" w:type="dxa"/>
        </w:tblCellMar>
        <w:tblLook w:val="04A0" w:firstRow="1" w:lastRow="0" w:firstColumn="1" w:lastColumn="0" w:noHBand="0" w:noVBand="1"/>
      </w:tblPr>
      <w:tblGrid>
        <w:gridCol w:w="2338"/>
        <w:gridCol w:w="4466"/>
        <w:gridCol w:w="1843"/>
        <w:gridCol w:w="1822"/>
      </w:tblGrid>
      <w:tr w:rsidR="00B632AC" w:rsidRPr="008D21F0" w14:paraId="30EBC64F" w14:textId="77777777" w:rsidTr="009303E0">
        <w:trPr>
          <w:trHeight w:hRule="exact" w:val="227"/>
        </w:trPr>
        <w:tc>
          <w:tcPr>
            <w:tcW w:w="1117" w:type="pct"/>
            <w:tcBorders>
              <w:top w:val="nil"/>
              <w:left w:val="nil"/>
              <w:bottom w:val="single" w:sz="8" w:space="0" w:color="auto"/>
              <w:right w:val="nil"/>
            </w:tcBorders>
            <w:shd w:val="clear" w:color="auto" w:fill="auto"/>
            <w:noWrap/>
            <w:vAlign w:val="bottom"/>
            <w:hideMark/>
          </w:tcPr>
          <w:p w14:paraId="1173B15B" w14:textId="5D0F68BA" w:rsidR="00B632AC" w:rsidRPr="00C514C3" w:rsidRDefault="009303E0" w:rsidP="00937ED9">
            <w:pPr>
              <w:spacing w:after="120"/>
              <w:rPr>
                <w:rFonts w:ascii="Calibri" w:hAnsi="Calibri" w:cs="Calibri"/>
                <w:b/>
                <w:bCs/>
                <w:color w:val="000000"/>
                <w:sz w:val="16"/>
                <w:szCs w:val="16"/>
              </w:rPr>
            </w:pPr>
            <w:r w:rsidRPr="00C514C3">
              <w:rPr>
                <w:rFonts w:ascii="Calibri" w:hAnsi="Calibri" w:cs="Calibri"/>
                <w:b/>
                <w:bCs/>
                <w:color w:val="000000"/>
                <w:sz w:val="16"/>
                <w:szCs w:val="16"/>
              </w:rPr>
              <w:t>AÇÕES</w:t>
            </w:r>
          </w:p>
        </w:tc>
        <w:tc>
          <w:tcPr>
            <w:tcW w:w="2133" w:type="pct"/>
            <w:tcBorders>
              <w:top w:val="nil"/>
              <w:left w:val="nil"/>
              <w:bottom w:val="single" w:sz="8" w:space="0" w:color="auto"/>
              <w:right w:val="nil"/>
            </w:tcBorders>
            <w:shd w:val="clear" w:color="auto" w:fill="auto"/>
            <w:vAlign w:val="bottom"/>
          </w:tcPr>
          <w:p w14:paraId="1E67A9D5" w14:textId="77777777" w:rsidR="00B632AC" w:rsidRPr="00C514C3" w:rsidRDefault="00B632AC" w:rsidP="00937ED9">
            <w:pPr>
              <w:spacing w:after="120"/>
              <w:jc w:val="right"/>
              <w:rPr>
                <w:rFonts w:ascii="Calibri" w:hAnsi="Calibri" w:cs="Calibri"/>
                <w:b/>
                <w:bCs/>
                <w:color w:val="000000"/>
                <w:sz w:val="16"/>
                <w:szCs w:val="16"/>
              </w:rPr>
            </w:pPr>
          </w:p>
        </w:tc>
        <w:tc>
          <w:tcPr>
            <w:tcW w:w="880" w:type="pct"/>
            <w:tcBorders>
              <w:top w:val="nil"/>
              <w:left w:val="nil"/>
              <w:bottom w:val="single" w:sz="8" w:space="0" w:color="auto"/>
              <w:right w:val="nil"/>
            </w:tcBorders>
            <w:shd w:val="clear" w:color="auto" w:fill="auto"/>
            <w:vAlign w:val="bottom"/>
          </w:tcPr>
          <w:p w14:paraId="09EB0595" w14:textId="448F83FB" w:rsidR="00B632AC" w:rsidRPr="00C514C3" w:rsidRDefault="00B632AC" w:rsidP="00937ED9">
            <w:pPr>
              <w:spacing w:after="120"/>
              <w:jc w:val="right"/>
              <w:rPr>
                <w:rFonts w:ascii="Calibri" w:hAnsi="Calibri" w:cs="Calibri"/>
                <w:b/>
                <w:bCs/>
                <w:color w:val="000000"/>
                <w:sz w:val="16"/>
                <w:szCs w:val="16"/>
              </w:rPr>
            </w:pPr>
          </w:p>
        </w:tc>
        <w:tc>
          <w:tcPr>
            <w:tcW w:w="870" w:type="pct"/>
            <w:tcBorders>
              <w:top w:val="nil"/>
              <w:left w:val="nil"/>
              <w:bottom w:val="single" w:sz="8" w:space="0" w:color="auto"/>
              <w:right w:val="nil"/>
            </w:tcBorders>
            <w:vAlign w:val="bottom"/>
          </w:tcPr>
          <w:p w14:paraId="1841D742" w14:textId="7A041F6E" w:rsidR="00B632AC" w:rsidRPr="00C514C3" w:rsidRDefault="003364DA" w:rsidP="00937ED9">
            <w:pPr>
              <w:spacing w:after="120"/>
              <w:jc w:val="right"/>
              <w:rPr>
                <w:rFonts w:ascii="Calibri" w:hAnsi="Calibri" w:cs="Calibri"/>
                <w:b/>
                <w:bCs/>
                <w:color w:val="000000"/>
                <w:sz w:val="16"/>
                <w:szCs w:val="16"/>
              </w:rPr>
            </w:pPr>
            <w:r w:rsidRPr="00C514C3">
              <w:rPr>
                <w:rFonts w:ascii="Calibri" w:hAnsi="Calibri" w:cs="Calibri"/>
                <w:b/>
                <w:bCs/>
                <w:color w:val="000000"/>
                <w:sz w:val="16"/>
                <w:szCs w:val="16"/>
              </w:rPr>
              <w:t>3</w:t>
            </w:r>
            <w:r w:rsidR="004E3A39">
              <w:rPr>
                <w:rFonts w:ascii="Calibri" w:hAnsi="Calibri" w:cs="Calibri"/>
                <w:b/>
                <w:bCs/>
                <w:color w:val="000000"/>
                <w:sz w:val="16"/>
                <w:szCs w:val="16"/>
              </w:rPr>
              <w:t>0</w:t>
            </w:r>
            <w:r w:rsidR="00255AD7" w:rsidRPr="00C514C3">
              <w:rPr>
                <w:rFonts w:ascii="Calibri" w:hAnsi="Calibri" w:cs="Calibri"/>
                <w:b/>
                <w:bCs/>
                <w:color w:val="000000"/>
                <w:sz w:val="16"/>
                <w:szCs w:val="16"/>
              </w:rPr>
              <w:t>/</w:t>
            </w:r>
            <w:r w:rsidR="00294296" w:rsidRPr="00C514C3">
              <w:rPr>
                <w:rFonts w:ascii="Calibri" w:hAnsi="Calibri" w:cs="Calibri"/>
                <w:b/>
                <w:bCs/>
                <w:color w:val="000000"/>
                <w:sz w:val="16"/>
                <w:szCs w:val="16"/>
              </w:rPr>
              <w:t>0</w:t>
            </w:r>
            <w:r w:rsidR="004E3A39">
              <w:rPr>
                <w:rFonts w:ascii="Calibri" w:hAnsi="Calibri" w:cs="Calibri"/>
                <w:b/>
                <w:bCs/>
                <w:color w:val="000000"/>
                <w:sz w:val="16"/>
                <w:szCs w:val="16"/>
              </w:rPr>
              <w:t>6</w:t>
            </w:r>
            <w:r w:rsidR="00255AD7" w:rsidRPr="00C514C3">
              <w:rPr>
                <w:rFonts w:ascii="Calibri" w:hAnsi="Calibri" w:cs="Calibri"/>
                <w:b/>
                <w:bCs/>
                <w:color w:val="000000"/>
                <w:sz w:val="16"/>
                <w:szCs w:val="16"/>
              </w:rPr>
              <w:t>/202</w:t>
            </w:r>
            <w:r w:rsidR="00294296" w:rsidRPr="00C514C3">
              <w:rPr>
                <w:rFonts w:ascii="Calibri" w:hAnsi="Calibri" w:cs="Calibri"/>
                <w:b/>
                <w:bCs/>
                <w:color w:val="000000"/>
                <w:sz w:val="16"/>
                <w:szCs w:val="16"/>
              </w:rPr>
              <w:t>2</w:t>
            </w:r>
          </w:p>
        </w:tc>
      </w:tr>
      <w:tr w:rsidR="00B632AC" w:rsidRPr="008D21F0" w14:paraId="6F509C99" w14:textId="77777777" w:rsidTr="009303E0">
        <w:trPr>
          <w:trHeight w:hRule="exact" w:val="227"/>
        </w:trPr>
        <w:tc>
          <w:tcPr>
            <w:tcW w:w="1117" w:type="pct"/>
            <w:tcBorders>
              <w:top w:val="nil"/>
              <w:left w:val="nil"/>
              <w:bottom w:val="nil"/>
              <w:right w:val="nil"/>
            </w:tcBorders>
            <w:shd w:val="clear" w:color="auto" w:fill="auto"/>
            <w:noWrap/>
            <w:vAlign w:val="center"/>
            <w:hideMark/>
          </w:tcPr>
          <w:p w14:paraId="60239B8A" w14:textId="21C60C7D" w:rsidR="00B632AC" w:rsidRPr="00C514C3" w:rsidRDefault="009303E0" w:rsidP="00937ED9">
            <w:pPr>
              <w:spacing w:after="120"/>
              <w:rPr>
                <w:rFonts w:ascii="Calibri" w:hAnsi="Calibri" w:cs="Calibri"/>
                <w:color w:val="000000"/>
                <w:sz w:val="16"/>
                <w:szCs w:val="16"/>
              </w:rPr>
            </w:pPr>
            <w:r w:rsidRPr="00C514C3">
              <w:rPr>
                <w:rFonts w:ascii="Calibri" w:hAnsi="Calibri" w:cs="Calibri"/>
                <w:color w:val="000000"/>
                <w:sz w:val="16"/>
                <w:szCs w:val="16"/>
              </w:rPr>
              <w:t>Desapropriações</w:t>
            </w:r>
          </w:p>
        </w:tc>
        <w:tc>
          <w:tcPr>
            <w:tcW w:w="2133" w:type="pct"/>
            <w:tcBorders>
              <w:top w:val="nil"/>
              <w:left w:val="nil"/>
              <w:bottom w:val="nil"/>
              <w:right w:val="nil"/>
            </w:tcBorders>
            <w:shd w:val="clear" w:color="auto" w:fill="auto"/>
            <w:noWrap/>
            <w:vAlign w:val="center"/>
          </w:tcPr>
          <w:p w14:paraId="5112EAFA" w14:textId="77777777" w:rsidR="00B632AC" w:rsidRPr="00C514C3" w:rsidRDefault="00B632AC" w:rsidP="00937ED9">
            <w:pPr>
              <w:spacing w:after="120"/>
              <w:jc w:val="right"/>
              <w:rPr>
                <w:rFonts w:ascii="Calibri" w:hAnsi="Calibri" w:cs="Calibri"/>
                <w:color w:val="000000"/>
                <w:sz w:val="16"/>
                <w:szCs w:val="16"/>
              </w:rPr>
            </w:pPr>
          </w:p>
        </w:tc>
        <w:tc>
          <w:tcPr>
            <w:tcW w:w="880" w:type="pct"/>
            <w:tcBorders>
              <w:top w:val="nil"/>
              <w:left w:val="nil"/>
              <w:bottom w:val="nil"/>
              <w:right w:val="nil"/>
            </w:tcBorders>
            <w:shd w:val="clear" w:color="auto" w:fill="auto"/>
            <w:vAlign w:val="center"/>
          </w:tcPr>
          <w:p w14:paraId="5DCD5D99" w14:textId="50C700D6" w:rsidR="00B632AC" w:rsidRPr="00C514C3" w:rsidRDefault="00B632AC" w:rsidP="00937ED9">
            <w:pPr>
              <w:spacing w:after="120"/>
              <w:jc w:val="right"/>
              <w:rPr>
                <w:rFonts w:ascii="Calibri" w:hAnsi="Calibri" w:cs="Calibri"/>
                <w:color w:val="000000"/>
                <w:sz w:val="16"/>
                <w:szCs w:val="16"/>
              </w:rPr>
            </w:pPr>
          </w:p>
        </w:tc>
        <w:tc>
          <w:tcPr>
            <w:tcW w:w="870" w:type="pct"/>
            <w:tcBorders>
              <w:top w:val="nil"/>
              <w:left w:val="nil"/>
              <w:bottom w:val="nil"/>
              <w:right w:val="nil"/>
            </w:tcBorders>
            <w:vAlign w:val="center"/>
          </w:tcPr>
          <w:p w14:paraId="2A8C9C30" w14:textId="4083F672" w:rsidR="00B632AC" w:rsidRPr="00C514C3" w:rsidRDefault="004E3A39" w:rsidP="00937ED9">
            <w:pPr>
              <w:spacing w:after="120"/>
              <w:jc w:val="right"/>
              <w:rPr>
                <w:rFonts w:ascii="Calibri" w:hAnsi="Calibri" w:cs="Calibri"/>
                <w:color w:val="000000"/>
                <w:sz w:val="16"/>
                <w:szCs w:val="16"/>
              </w:rPr>
            </w:pPr>
            <w:r>
              <w:rPr>
                <w:rFonts w:ascii="Calibri" w:hAnsi="Calibri" w:cs="Calibri"/>
                <w:color w:val="000000"/>
                <w:sz w:val="16"/>
                <w:szCs w:val="16"/>
              </w:rPr>
              <w:t>3.580.456</w:t>
            </w:r>
          </w:p>
        </w:tc>
      </w:tr>
      <w:tr w:rsidR="009303E0" w:rsidRPr="008D21F0" w14:paraId="28DE37EF" w14:textId="77777777" w:rsidTr="009303E0">
        <w:trPr>
          <w:trHeight w:hRule="exact" w:val="227"/>
        </w:trPr>
        <w:tc>
          <w:tcPr>
            <w:tcW w:w="1117" w:type="pct"/>
            <w:tcBorders>
              <w:top w:val="nil"/>
              <w:left w:val="nil"/>
              <w:bottom w:val="nil"/>
              <w:right w:val="nil"/>
            </w:tcBorders>
            <w:shd w:val="clear" w:color="auto" w:fill="auto"/>
            <w:noWrap/>
            <w:vAlign w:val="center"/>
          </w:tcPr>
          <w:p w14:paraId="79690878" w14:textId="2F9A214A" w:rsidR="009303E0" w:rsidRPr="00C514C3" w:rsidRDefault="009303E0" w:rsidP="00937ED9">
            <w:pPr>
              <w:spacing w:after="120"/>
              <w:rPr>
                <w:rFonts w:ascii="Calibri" w:hAnsi="Calibri" w:cs="Calibri"/>
                <w:color w:val="000000"/>
                <w:sz w:val="16"/>
                <w:szCs w:val="16"/>
              </w:rPr>
            </w:pPr>
            <w:r w:rsidRPr="00C514C3">
              <w:rPr>
                <w:rFonts w:ascii="Calibri" w:hAnsi="Calibri" w:cs="Calibri"/>
                <w:color w:val="000000"/>
                <w:sz w:val="16"/>
                <w:szCs w:val="16"/>
              </w:rPr>
              <w:t>Trabalhistas</w:t>
            </w:r>
          </w:p>
        </w:tc>
        <w:tc>
          <w:tcPr>
            <w:tcW w:w="2133" w:type="pct"/>
            <w:tcBorders>
              <w:top w:val="nil"/>
              <w:left w:val="nil"/>
              <w:bottom w:val="nil"/>
              <w:right w:val="nil"/>
            </w:tcBorders>
            <w:shd w:val="clear" w:color="auto" w:fill="auto"/>
            <w:noWrap/>
            <w:vAlign w:val="center"/>
          </w:tcPr>
          <w:p w14:paraId="4D76ED29" w14:textId="77777777" w:rsidR="009303E0" w:rsidRPr="00C514C3" w:rsidRDefault="009303E0" w:rsidP="00937ED9">
            <w:pPr>
              <w:spacing w:after="120"/>
              <w:jc w:val="right"/>
              <w:rPr>
                <w:rFonts w:ascii="Calibri" w:hAnsi="Calibri" w:cs="Calibri"/>
                <w:color w:val="000000"/>
                <w:sz w:val="16"/>
                <w:szCs w:val="16"/>
              </w:rPr>
            </w:pPr>
          </w:p>
        </w:tc>
        <w:tc>
          <w:tcPr>
            <w:tcW w:w="880" w:type="pct"/>
            <w:tcBorders>
              <w:top w:val="nil"/>
              <w:left w:val="nil"/>
              <w:bottom w:val="nil"/>
              <w:right w:val="nil"/>
            </w:tcBorders>
            <w:shd w:val="clear" w:color="auto" w:fill="auto"/>
            <w:vAlign w:val="center"/>
          </w:tcPr>
          <w:p w14:paraId="66752A9D" w14:textId="77777777" w:rsidR="009303E0" w:rsidRPr="00C514C3" w:rsidRDefault="009303E0" w:rsidP="00937ED9">
            <w:pPr>
              <w:spacing w:after="120"/>
              <w:jc w:val="right"/>
              <w:rPr>
                <w:rFonts w:ascii="Calibri" w:hAnsi="Calibri" w:cs="Calibri"/>
                <w:color w:val="000000"/>
                <w:sz w:val="16"/>
                <w:szCs w:val="16"/>
              </w:rPr>
            </w:pPr>
          </w:p>
        </w:tc>
        <w:tc>
          <w:tcPr>
            <w:tcW w:w="870" w:type="pct"/>
            <w:tcBorders>
              <w:top w:val="nil"/>
              <w:left w:val="nil"/>
              <w:bottom w:val="nil"/>
              <w:right w:val="nil"/>
            </w:tcBorders>
            <w:vAlign w:val="center"/>
          </w:tcPr>
          <w:p w14:paraId="37F0B861" w14:textId="7EAD0A32" w:rsidR="009303E0" w:rsidRPr="00C514C3" w:rsidRDefault="004E3A39" w:rsidP="00937ED9">
            <w:pPr>
              <w:spacing w:after="120"/>
              <w:jc w:val="right"/>
              <w:rPr>
                <w:rFonts w:ascii="Calibri" w:hAnsi="Calibri" w:cs="Calibri"/>
                <w:color w:val="000000"/>
                <w:sz w:val="16"/>
                <w:szCs w:val="16"/>
              </w:rPr>
            </w:pPr>
            <w:r>
              <w:rPr>
                <w:rFonts w:ascii="Calibri" w:hAnsi="Calibri" w:cs="Calibri"/>
                <w:color w:val="000000"/>
                <w:sz w:val="16"/>
                <w:szCs w:val="16"/>
              </w:rPr>
              <w:t>69.367.967</w:t>
            </w:r>
          </w:p>
        </w:tc>
      </w:tr>
      <w:tr w:rsidR="009303E0" w:rsidRPr="008D21F0" w14:paraId="67458FE5" w14:textId="77777777" w:rsidTr="009303E0">
        <w:trPr>
          <w:trHeight w:hRule="exact" w:val="227"/>
        </w:trPr>
        <w:tc>
          <w:tcPr>
            <w:tcW w:w="1117" w:type="pct"/>
            <w:tcBorders>
              <w:top w:val="nil"/>
              <w:left w:val="nil"/>
              <w:bottom w:val="nil"/>
              <w:right w:val="nil"/>
            </w:tcBorders>
            <w:shd w:val="clear" w:color="auto" w:fill="auto"/>
            <w:noWrap/>
            <w:vAlign w:val="center"/>
          </w:tcPr>
          <w:p w14:paraId="57EB295F" w14:textId="5E4D542B" w:rsidR="009303E0" w:rsidRPr="00C514C3" w:rsidRDefault="009303E0" w:rsidP="00937ED9">
            <w:pPr>
              <w:spacing w:after="120"/>
              <w:rPr>
                <w:rFonts w:ascii="Calibri" w:hAnsi="Calibri" w:cs="Calibri"/>
                <w:color w:val="000000"/>
                <w:sz w:val="16"/>
                <w:szCs w:val="16"/>
              </w:rPr>
            </w:pPr>
            <w:r w:rsidRPr="00C514C3">
              <w:rPr>
                <w:rFonts w:ascii="Calibri" w:hAnsi="Calibri" w:cs="Calibri"/>
                <w:color w:val="000000"/>
                <w:sz w:val="16"/>
                <w:szCs w:val="16"/>
              </w:rPr>
              <w:t>Cíveis</w:t>
            </w:r>
          </w:p>
        </w:tc>
        <w:tc>
          <w:tcPr>
            <w:tcW w:w="2133" w:type="pct"/>
            <w:tcBorders>
              <w:top w:val="nil"/>
              <w:left w:val="nil"/>
              <w:bottom w:val="nil"/>
              <w:right w:val="nil"/>
            </w:tcBorders>
            <w:shd w:val="clear" w:color="auto" w:fill="auto"/>
            <w:noWrap/>
            <w:vAlign w:val="center"/>
          </w:tcPr>
          <w:p w14:paraId="739EF9B3" w14:textId="77777777" w:rsidR="009303E0" w:rsidRPr="00C514C3" w:rsidRDefault="009303E0" w:rsidP="00937ED9">
            <w:pPr>
              <w:spacing w:after="120"/>
              <w:jc w:val="right"/>
              <w:rPr>
                <w:rFonts w:ascii="Calibri" w:hAnsi="Calibri" w:cs="Calibri"/>
                <w:color w:val="000000"/>
                <w:sz w:val="16"/>
                <w:szCs w:val="16"/>
              </w:rPr>
            </w:pPr>
          </w:p>
        </w:tc>
        <w:tc>
          <w:tcPr>
            <w:tcW w:w="880" w:type="pct"/>
            <w:tcBorders>
              <w:top w:val="nil"/>
              <w:left w:val="nil"/>
              <w:bottom w:val="nil"/>
              <w:right w:val="nil"/>
            </w:tcBorders>
            <w:shd w:val="clear" w:color="auto" w:fill="auto"/>
            <w:vAlign w:val="center"/>
          </w:tcPr>
          <w:p w14:paraId="34DE4037" w14:textId="77777777" w:rsidR="009303E0" w:rsidRPr="00C514C3" w:rsidRDefault="009303E0" w:rsidP="00937ED9">
            <w:pPr>
              <w:spacing w:after="120"/>
              <w:jc w:val="right"/>
              <w:rPr>
                <w:rFonts w:ascii="Calibri" w:hAnsi="Calibri" w:cs="Calibri"/>
                <w:color w:val="000000"/>
                <w:sz w:val="16"/>
                <w:szCs w:val="16"/>
              </w:rPr>
            </w:pPr>
          </w:p>
        </w:tc>
        <w:tc>
          <w:tcPr>
            <w:tcW w:w="870" w:type="pct"/>
            <w:tcBorders>
              <w:top w:val="nil"/>
              <w:left w:val="nil"/>
              <w:bottom w:val="nil"/>
              <w:right w:val="nil"/>
            </w:tcBorders>
            <w:vAlign w:val="center"/>
          </w:tcPr>
          <w:p w14:paraId="4D523EF1" w14:textId="79F35424" w:rsidR="009303E0" w:rsidRPr="00C514C3" w:rsidRDefault="009303E0" w:rsidP="00937ED9">
            <w:pPr>
              <w:spacing w:after="120"/>
              <w:jc w:val="right"/>
              <w:rPr>
                <w:rFonts w:ascii="Calibri" w:hAnsi="Calibri" w:cs="Calibri"/>
                <w:color w:val="000000"/>
                <w:sz w:val="16"/>
                <w:szCs w:val="16"/>
              </w:rPr>
            </w:pPr>
            <w:r w:rsidRPr="00C514C3">
              <w:rPr>
                <w:rFonts w:ascii="Calibri" w:hAnsi="Calibri" w:cs="Calibri"/>
                <w:color w:val="000000"/>
                <w:sz w:val="16"/>
                <w:szCs w:val="16"/>
              </w:rPr>
              <w:t>1.0</w:t>
            </w:r>
            <w:r w:rsidR="004E3A39">
              <w:rPr>
                <w:rFonts w:ascii="Calibri" w:hAnsi="Calibri" w:cs="Calibri"/>
                <w:color w:val="000000"/>
                <w:sz w:val="16"/>
                <w:szCs w:val="16"/>
              </w:rPr>
              <w:t>80.509.915</w:t>
            </w:r>
          </w:p>
        </w:tc>
      </w:tr>
      <w:tr w:rsidR="009303E0" w:rsidRPr="008D21F0" w14:paraId="03B6D66E" w14:textId="77777777" w:rsidTr="009303E0">
        <w:trPr>
          <w:trHeight w:hRule="exact" w:val="227"/>
        </w:trPr>
        <w:tc>
          <w:tcPr>
            <w:tcW w:w="1117" w:type="pct"/>
            <w:tcBorders>
              <w:top w:val="nil"/>
              <w:left w:val="nil"/>
              <w:bottom w:val="nil"/>
              <w:right w:val="nil"/>
            </w:tcBorders>
            <w:shd w:val="clear" w:color="auto" w:fill="auto"/>
            <w:noWrap/>
            <w:vAlign w:val="center"/>
          </w:tcPr>
          <w:p w14:paraId="1DE870D1" w14:textId="41157A2F" w:rsidR="009303E0" w:rsidRPr="00C514C3" w:rsidRDefault="009303E0" w:rsidP="00937ED9">
            <w:pPr>
              <w:spacing w:after="120"/>
              <w:rPr>
                <w:rFonts w:ascii="Calibri" w:hAnsi="Calibri" w:cs="Calibri"/>
                <w:color w:val="000000"/>
                <w:sz w:val="16"/>
                <w:szCs w:val="16"/>
              </w:rPr>
            </w:pPr>
            <w:r w:rsidRPr="00C514C3">
              <w:rPr>
                <w:rFonts w:ascii="Calibri" w:hAnsi="Calibri" w:cs="Calibri"/>
                <w:color w:val="000000"/>
                <w:sz w:val="16"/>
                <w:szCs w:val="16"/>
              </w:rPr>
              <w:t>Tributárias</w:t>
            </w:r>
          </w:p>
        </w:tc>
        <w:tc>
          <w:tcPr>
            <w:tcW w:w="2133" w:type="pct"/>
            <w:tcBorders>
              <w:top w:val="nil"/>
              <w:left w:val="nil"/>
              <w:bottom w:val="nil"/>
              <w:right w:val="nil"/>
            </w:tcBorders>
            <w:shd w:val="clear" w:color="auto" w:fill="auto"/>
            <w:noWrap/>
            <w:vAlign w:val="center"/>
          </w:tcPr>
          <w:p w14:paraId="793CC429" w14:textId="77777777" w:rsidR="009303E0" w:rsidRPr="00C514C3" w:rsidRDefault="009303E0" w:rsidP="00937ED9">
            <w:pPr>
              <w:spacing w:after="120"/>
              <w:jc w:val="right"/>
              <w:rPr>
                <w:rFonts w:ascii="Calibri" w:hAnsi="Calibri" w:cs="Calibri"/>
                <w:color w:val="000000"/>
                <w:sz w:val="16"/>
                <w:szCs w:val="16"/>
              </w:rPr>
            </w:pPr>
          </w:p>
        </w:tc>
        <w:tc>
          <w:tcPr>
            <w:tcW w:w="880" w:type="pct"/>
            <w:tcBorders>
              <w:top w:val="nil"/>
              <w:left w:val="nil"/>
              <w:bottom w:val="nil"/>
              <w:right w:val="nil"/>
            </w:tcBorders>
            <w:shd w:val="clear" w:color="auto" w:fill="auto"/>
            <w:vAlign w:val="center"/>
          </w:tcPr>
          <w:p w14:paraId="2B3E489D" w14:textId="77777777" w:rsidR="009303E0" w:rsidRPr="00C514C3" w:rsidRDefault="009303E0" w:rsidP="00937ED9">
            <w:pPr>
              <w:spacing w:after="120"/>
              <w:jc w:val="right"/>
              <w:rPr>
                <w:rFonts w:ascii="Calibri" w:hAnsi="Calibri" w:cs="Calibri"/>
                <w:color w:val="000000"/>
                <w:sz w:val="16"/>
                <w:szCs w:val="16"/>
              </w:rPr>
            </w:pPr>
          </w:p>
        </w:tc>
        <w:tc>
          <w:tcPr>
            <w:tcW w:w="870" w:type="pct"/>
            <w:tcBorders>
              <w:top w:val="nil"/>
              <w:left w:val="nil"/>
              <w:bottom w:val="nil"/>
              <w:right w:val="nil"/>
            </w:tcBorders>
            <w:vAlign w:val="center"/>
          </w:tcPr>
          <w:p w14:paraId="0F748249" w14:textId="49A35F11" w:rsidR="009303E0" w:rsidRPr="00C514C3" w:rsidRDefault="004E3A39" w:rsidP="00937ED9">
            <w:pPr>
              <w:spacing w:after="120"/>
              <w:jc w:val="right"/>
              <w:rPr>
                <w:rFonts w:ascii="Calibri" w:hAnsi="Calibri" w:cs="Calibri"/>
                <w:color w:val="000000"/>
                <w:sz w:val="16"/>
                <w:szCs w:val="16"/>
              </w:rPr>
            </w:pPr>
            <w:r>
              <w:rPr>
                <w:rFonts w:ascii="Calibri" w:hAnsi="Calibri" w:cs="Calibri"/>
                <w:color w:val="000000"/>
                <w:sz w:val="16"/>
                <w:szCs w:val="16"/>
              </w:rPr>
              <w:t>8.227.959</w:t>
            </w:r>
          </w:p>
        </w:tc>
      </w:tr>
      <w:tr w:rsidR="00B632AC" w:rsidRPr="008D21F0" w14:paraId="26C5D3BF" w14:textId="77777777" w:rsidTr="009303E0">
        <w:trPr>
          <w:trHeight w:hRule="exact" w:val="227"/>
        </w:trPr>
        <w:tc>
          <w:tcPr>
            <w:tcW w:w="1117" w:type="pct"/>
            <w:tcBorders>
              <w:top w:val="nil"/>
              <w:left w:val="nil"/>
              <w:bottom w:val="nil"/>
              <w:right w:val="nil"/>
            </w:tcBorders>
            <w:shd w:val="clear" w:color="auto" w:fill="auto"/>
            <w:noWrap/>
            <w:vAlign w:val="center"/>
            <w:hideMark/>
          </w:tcPr>
          <w:p w14:paraId="02949E82" w14:textId="750FDE30" w:rsidR="00B632AC" w:rsidRPr="00C514C3" w:rsidRDefault="009303E0" w:rsidP="00937ED9">
            <w:pPr>
              <w:spacing w:after="120"/>
              <w:rPr>
                <w:rFonts w:ascii="Calibri" w:hAnsi="Calibri" w:cs="Calibri"/>
                <w:color w:val="000000"/>
                <w:sz w:val="16"/>
                <w:szCs w:val="16"/>
              </w:rPr>
            </w:pPr>
            <w:r w:rsidRPr="00C514C3">
              <w:rPr>
                <w:rFonts w:ascii="Calibri" w:hAnsi="Calibri" w:cs="Calibri"/>
                <w:color w:val="000000"/>
                <w:sz w:val="16"/>
                <w:szCs w:val="16"/>
              </w:rPr>
              <w:t>Previdenciárias</w:t>
            </w:r>
          </w:p>
        </w:tc>
        <w:tc>
          <w:tcPr>
            <w:tcW w:w="2133" w:type="pct"/>
            <w:tcBorders>
              <w:top w:val="nil"/>
              <w:left w:val="nil"/>
              <w:bottom w:val="nil"/>
              <w:right w:val="nil"/>
            </w:tcBorders>
            <w:shd w:val="clear" w:color="auto" w:fill="auto"/>
            <w:noWrap/>
            <w:vAlign w:val="center"/>
          </w:tcPr>
          <w:p w14:paraId="1A919DB2" w14:textId="77777777" w:rsidR="00B632AC" w:rsidRPr="00C514C3" w:rsidRDefault="00B632AC" w:rsidP="00937ED9">
            <w:pPr>
              <w:spacing w:after="120"/>
              <w:jc w:val="right"/>
              <w:rPr>
                <w:rFonts w:ascii="Calibri" w:hAnsi="Calibri" w:cs="Calibri"/>
                <w:color w:val="000000"/>
                <w:sz w:val="16"/>
                <w:szCs w:val="16"/>
              </w:rPr>
            </w:pPr>
          </w:p>
        </w:tc>
        <w:tc>
          <w:tcPr>
            <w:tcW w:w="880" w:type="pct"/>
            <w:tcBorders>
              <w:top w:val="nil"/>
              <w:left w:val="nil"/>
              <w:bottom w:val="nil"/>
              <w:right w:val="nil"/>
            </w:tcBorders>
            <w:shd w:val="clear" w:color="auto" w:fill="auto"/>
            <w:vAlign w:val="center"/>
          </w:tcPr>
          <w:p w14:paraId="5F5B7F8B" w14:textId="7D77E49C" w:rsidR="00B632AC" w:rsidRPr="00C514C3" w:rsidRDefault="00B632AC" w:rsidP="00937ED9">
            <w:pPr>
              <w:spacing w:after="120"/>
              <w:jc w:val="right"/>
              <w:rPr>
                <w:rFonts w:ascii="Calibri" w:hAnsi="Calibri" w:cs="Calibri"/>
                <w:color w:val="000000"/>
                <w:sz w:val="16"/>
                <w:szCs w:val="16"/>
              </w:rPr>
            </w:pPr>
          </w:p>
        </w:tc>
        <w:tc>
          <w:tcPr>
            <w:tcW w:w="870" w:type="pct"/>
            <w:tcBorders>
              <w:top w:val="nil"/>
              <w:left w:val="nil"/>
              <w:bottom w:val="nil"/>
              <w:right w:val="nil"/>
            </w:tcBorders>
            <w:vAlign w:val="center"/>
          </w:tcPr>
          <w:p w14:paraId="5438EC15" w14:textId="7491538F" w:rsidR="00B632AC" w:rsidRPr="00C514C3" w:rsidRDefault="009303E0" w:rsidP="00937ED9">
            <w:pPr>
              <w:spacing w:after="120"/>
              <w:jc w:val="right"/>
              <w:rPr>
                <w:rFonts w:ascii="Calibri" w:hAnsi="Calibri" w:cs="Calibri"/>
                <w:color w:val="000000"/>
                <w:sz w:val="16"/>
                <w:szCs w:val="16"/>
              </w:rPr>
            </w:pPr>
            <w:r w:rsidRPr="00C514C3">
              <w:rPr>
                <w:rFonts w:ascii="Calibri" w:hAnsi="Calibri" w:cs="Calibri"/>
                <w:color w:val="000000"/>
                <w:sz w:val="16"/>
                <w:szCs w:val="16"/>
              </w:rPr>
              <w:t>7.9</w:t>
            </w:r>
            <w:r w:rsidR="004E3A39">
              <w:rPr>
                <w:rFonts w:ascii="Calibri" w:hAnsi="Calibri" w:cs="Calibri"/>
                <w:color w:val="000000"/>
                <w:sz w:val="16"/>
                <w:szCs w:val="16"/>
              </w:rPr>
              <w:t>10.948</w:t>
            </w:r>
          </w:p>
        </w:tc>
      </w:tr>
      <w:tr w:rsidR="00B632AC" w:rsidRPr="008D21F0" w14:paraId="7D1350C8" w14:textId="77777777" w:rsidTr="009303E0">
        <w:trPr>
          <w:trHeight w:hRule="exact" w:val="227"/>
        </w:trPr>
        <w:tc>
          <w:tcPr>
            <w:tcW w:w="1117" w:type="pct"/>
            <w:tcBorders>
              <w:top w:val="single" w:sz="8" w:space="0" w:color="auto"/>
              <w:left w:val="nil"/>
              <w:bottom w:val="single" w:sz="8" w:space="0" w:color="auto"/>
              <w:right w:val="nil"/>
            </w:tcBorders>
            <w:shd w:val="clear" w:color="auto" w:fill="auto"/>
            <w:noWrap/>
            <w:vAlign w:val="center"/>
            <w:hideMark/>
          </w:tcPr>
          <w:p w14:paraId="0E59125E" w14:textId="77777777" w:rsidR="00B632AC" w:rsidRPr="00C514C3" w:rsidRDefault="00B632AC" w:rsidP="00937ED9">
            <w:pPr>
              <w:spacing w:after="120"/>
              <w:rPr>
                <w:rFonts w:ascii="Calibri" w:hAnsi="Calibri" w:cs="Calibri"/>
                <w:b/>
                <w:bCs/>
                <w:color w:val="000000"/>
                <w:sz w:val="16"/>
                <w:szCs w:val="16"/>
              </w:rPr>
            </w:pPr>
            <w:r w:rsidRPr="00C514C3">
              <w:rPr>
                <w:rFonts w:ascii="Calibri" w:hAnsi="Calibri" w:cs="Calibri"/>
                <w:b/>
                <w:bCs/>
                <w:color w:val="000000"/>
                <w:sz w:val="16"/>
                <w:szCs w:val="16"/>
              </w:rPr>
              <w:t>SALDO</w:t>
            </w:r>
          </w:p>
        </w:tc>
        <w:tc>
          <w:tcPr>
            <w:tcW w:w="2133" w:type="pct"/>
            <w:tcBorders>
              <w:top w:val="single" w:sz="8" w:space="0" w:color="auto"/>
              <w:left w:val="nil"/>
              <w:bottom w:val="single" w:sz="8" w:space="0" w:color="auto"/>
              <w:right w:val="nil"/>
            </w:tcBorders>
            <w:shd w:val="clear" w:color="auto" w:fill="auto"/>
            <w:noWrap/>
            <w:vAlign w:val="center"/>
          </w:tcPr>
          <w:p w14:paraId="0A225AAC" w14:textId="77777777" w:rsidR="00B632AC" w:rsidRPr="00C514C3" w:rsidRDefault="00B632AC" w:rsidP="00937ED9">
            <w:pPr>
              <w:spacing w:after="120"/>
              <w:jc w:val="right"/>
              <w:rPr>
                <w:rFonts w:ascii="Calibri" w:hAnsi="Calibri" w:cs="Calibri"/>
                <w:b/>
                <w:bCs/>
                <w:color w:val="000000"/>
                <w:sz w:val="16"/>
                <w:szCs w:val="16"/>
              </w:rPr>
            </w:pPr>
          </w:p>
        </w:tc>
        <w:tc>
          <w:tcPr>
            <w:tcW w:w="880" w:type="pct"/>
            <w:tcBorders>
              <w:top w:val="single" w:sz="8" w:space="0" w:color="auto"/>
              <w:left w:val="nil"/>
              <w:bottom w:val="single" w:sz="8" w:space="0" w:color="auto"/>
              <w:right w:val="nil"/>
            </w:tcBorders>
            <w:shd w:val="clear" w:color="auto" w:fill="auto"/>
            <w:vAlign w:val="center"/>
          </w:tcPr>
          <w:p w14:paraId="62FD26A3" w14:textId="7B8A30D3" w:rsidR="00B632AC" w:rsidRPr="00C514C3" w:rsidRDefault="00B632AC" w:rsidP="00937ED9">
            <w:pPr>
              <w:spacing w:after="120"/>
              <w:jc w:val="right"/>
              <w:rPr>
                <w:rFonts w:ascii="Calibri" w:hAnsi="Calibri" w:cs="Calibri"/>
                <w:b/>
                <w:bCs/>
                <w:color w:val="000000"/>
                <w:sz w:val="16"/>
                <w:szCs w:val="16"/>
              </w:rPr>
            </w:pPr>
          </w:p>
        </w:tc>
        <w:tc>
          <w:tcPr>
            <w:tcW w:w="870" w:type="pct"/>
            <w:tcBorders>
              <w:top w:val="single" w:sz="8" w:space="0" w:color="auto"/>
              <w:left w:val="nil"/>
              <w:bottom w:val="single" w:sz="8" w:space="0" w:color="auto"/>
              <w:right w:val="nil"/>
            </w:tcBorders>
            <w:vAlign w:val="center"/>
          </w:tcPr>
          <w:p w14:paraId="24C03739" w14:textId="606F4E19" w:rsidR="00B632AC" w:rsidRPr="00C514C3" w:rsidRDefault="009303E0" w:rsidP="00937ED9">
            <w:pPr>
              <w:spacing w:after="120"/>
              <w:jc w:val="right"/>
              <w:rPr>
                <w:rFonts w:ascii="Calibri" w:hAnsi="Calibri" w:cs="Calibri"/>
                <w:b/>
                <w:bCs/>
                <w:color w:val="000000"/>
                <w:sz w:val="16"/>
                <w:szCs w:val="16"/>
              </w:rPr>
            </w:pPr>
            <w:r w:rsidRPr="00C514C3">
              <w:rPr>
                <w:rFonts w:ascii="Calibri" w:hAnsi="Calibri" w:cs="Calibri"/>
                <w:b/>
                <w:bCs/>
                <w:color w:val="000000"/>
                <w:sz w:val="16"/>
                <w:szCs w:val="16"/>
              </w:rPr>
              <w:t>1</w:t>
            </w:r>
            <w:r w:rsidR="004E3A39">
              <w:rPr>
                <w:rFonts w:ascii="Calibri" w:hAnsi="Calibri" w:cs="Calibri"/>
                <w:b/>
                <w:bCs/>
                <w:color w:val="000000"/>
                <w:sz w:val="16"/>
                <w:szCs w:val="16"/>
              </w:rPr>
              <w:t>.169.597.245</w:t>
            </w:r>
          </w:p>
        </w:tc>
      </w:tr>
    </w:tbl>
    <w:p w14:paraId="1A75ACC8" w14:textId="25EA49E2" w:rsidR="001A1B68" w:rsidRDefault="00970EA8" w:rsidP="0062214B">
      <w:pPr>
        <w:spacing w:before="120" w:after="120"/>
        <w:ind w:right="57"/>
        <w:jc w:val="both"/>
        <w:rPr>
          <w:rFonts w:ascii="Calibri" w:hAnsi="Calibri" w:cs="Calibri"/>
          <w:sz w:val="22"/>
          <w:szCs w:val="22"/>
        </w:rPr>
      </w:pPr>
      <w:r w:rsidRPr="008D21F0">
        <w:rPr>
          <w:rFonts w:ascii="Calibri" w:hAnsi="Calibri" w:cs="Calibri"/>
          <w:sz w:val="22"/>
          <w:szCs w:val="22"/>
        </w:rPr>
        <w:lastRenderedPageBreak/>
        <w:t>Os valores classificados como possíveis “superfaturamentos” ou “sobrepreços” levantados por Tomadas de Contas Especiais do Tribunal de Contas da União, divulgados nas notas explicativas de anos anteriores, foram desconsiderados para fins de divulgação nestas Notas, devido ao reconhecimento da perda pelo valor recuperável após a subconcessão da Ferrovia Norte Sul.</w:t>
      </w:r>
      <w:bookmarkEnd w:id="5"/>
    </w:p>
    <w:p w14:paraId="28212ABC" w14:textId="77777777" w:rsidR="00CE78FA" w:rsidRPr="008D21F0" w:rsidRDefault="00CE78FA" w:rsidP="0062214B">
      <w:pPr>
        <w:spacing w:before="120" w:after="120"/>
        <w:ind w:right="57"/>
        <w:jc w:val="both"/>
        <w:rPr>
          <w:rFonts w:ascii="Calibri" w:hAnsi="Calibri" w:cs="Calibri"/>
          <w:bCs/>
          <w:sz w:val="22"/>
          <w:szCs w:val="22"/>
        </w:rPr>
      </w:pPr>
    </w:p>
    <w:p w14:paraId="1BA0420E" w14:textId="5100E1E4" w:rsidR="001A1B68" w:rsidRPr="008D21F0" w:rsidRDefault="001A1B68" w:rsidP="001A1B68">
      <w:pPr>
        <w:pStyle w:val="Ttulo4"/>
        <w:tabs>
          <w:tab w:val="left" w:pos="0"/>
        </w:tabs>
        <w:spacing w:before="120" w:after="120" w:line="240" w:lineRule="auto"/>
        <w:rPr>
          <w:rFonts w:asciiTheme="minorHAnsi" w:hAnsiTheme="minorHAnsi" w:cstheme="minorHAnsi"/>
          <w:bCs w:val="0"/>
          <w:sz w:val="22"/>
          <w:szCs w:val="22"/>
        </w:rPr>
      </w:pPr>
      <w:r w:rsidRPr="00C514C3">
        <w:rPr>
          <w:rFonts w:asciiTheme="minorHAnsi" w:hAnsiTheme="minorHAnsi" w:cstheme="minorHAnsi"/>
          <w:bCs w:val="0"/>
          <w:sz w:val="22"/>
          <w:szCs w:val="22"/>
        </w:rPr>
        <w:t>NOTA 12 – PRECATÓRIOS DE TERCEIROS</w:t>
      </w:r>
      <w:r w:rsidR="00F1031A" w:rsidRPr="008D21F0">
        <w:rPr>
          <w:rFonts w:asciiTheme="minorHAnsi" w:hAnsiTheme="minorHAnsi" w:cstheme="minorHAnsi"/>
          <w:bCs w:val="0"/>
          <w:sz w:val="22"/>
          <w:szCs w:val="22"/>
        </w:rPr>
        <w:t xml:space="preserve"> </w:t>
      </w:r>
    </w:p>
    <w:p w14:paraId="0871388E" w14:textId="0419C688" w:rsidR="00F1031A" w:rsidRPr="008D21F0" w:rsidRDefault="00F1031A" w:rsidP="00F1031A">
      <w:pPr>
        <w:pStyle w:val="PargrafodaLista"/>
        <w:numPr>
          <w:ilvl w:val="0"/>
          <w:numId w:val="40"/>
        </w:numPr>
        <w:ind w:left="426" w:hanging="426"/>
        <w:rPr>
          <w:rFonts w:asciiTheme="minorHAnsi" w:hAnsiTheme="minorHAnsi" w:cstheme="minorHAnsi"/>
          <w:b/>
          <w:bCs/>
          <w:sz w:val="22"/>
          <w:szCs w:val="22"/>
        </w:rPr>
      </w:pPr>
      <w:r w:rsidRPr="008D21F0">
        <w:rPr>
          <w:rFonts w:asciiTheme="minorHAnsi" w:hAnsiTheme="minorHAnsi" w:cstheme="minorHAnsi"/>
          <w:b/>
          <w:bCs/>
          <w:sz w:val="22"/>
          <w:szCs w:val="22"/>
        </w:rPr>
        <w:t>Precatórios de Terceiros – Curto Prazo</w:t>
      </w:r>
    </w:p>
    <w:p w14:paraId="1D1C40D6" w14:textId="1B713AA7" w:rsidR="00F1031A" w:rsidRDefault="00F1031A" w:rsidP="003233F5">
      <w:pPr>
        <w:jc w:val="both"/>
        <w:rPr>
          <w:rFonts w:asciiTheme="minorHAnsi" w:hAnsiTheme="minorHAnsi" w:cstheme="minorHAnsi"/>
          <w:sz w:val="22"/>
          <w:szCs w:val="22"/>
        </w:rPr>
      </w:pPr>
      <w:r w:rsidRPr="008D21F0">
        <w:rPr>
          <w:rFonts w:asciiTheme="minorHAnsi" w:hAnsiTheme="minorHAnsi" w:cstheme="minorHAnsi"/>
          <w:sz w:val="22"/>
          <w:szCs w:val="22"/>
        </w:rPr>
        <w:t xml:space="preserve">Registros de Precatórios de Terceiros realizado pelo Tribunal Regional Federal da 4ª Região referentes a precatórios alimentares e comuns autuados entre julho de 2020 a julho de 2021 a serem pagos em setembro de 2022: </w:t>
      </w:r>
    </w:p>
    <w:p w14:paraId="61E3CFAA" w14:textId="77777777" w:rsidR="00CE78FA" w:rsidRPr="008D21F0" w:rsidRDefault="00CE78FA" w:rsidP="003233F5">
      <w:pPr>
        <w:jc w:val="both"/>
        <w:rPr>
          <w:rFonts w:asciiTheme="minorHAnsi" w:hAnsiTheme="minorHAnsi" w:cstheme="minorHAnsi"/>
          <w:sz w:val="22"/>
          <w:szCs w:val="22"/>
        </w:rPr>
      </w:pPr>
    </w:p>
    <w:p w14:paraId="7EB81948" w14:textId="77777777" w:rsidR="00F1031A" w:rsidRPr="008D21F0" w:rsidRDefault="00F1031A" w:rsidP="00F1031A">
      <w:pPr>
        <w:rPr>
          <w:rFonts w:asciiTheme="minorHAnsi" w:hAnsiTheme="minorHAnsi" w:cstheme="minorHAnsi"/>
          <w:sz w:val="22"/>
          <w:szCs w:val="22"/>
        </w:rPr>
      </w:pPr>
    </w:p>
    <w:tbl>
      <w:tblPr>
        <w:tblW w:w="5001" w:type="pct"/>
        <w:tblCellMar>
          <w:left w:w="70" w:type="dxa"/>
          <w:right w:w="70" w:type="dxa"/>
        </w:tblCellMar>
        <w:tblLook w:val="04A0" w:firstRow="1" w:lastRow="0" w:firstColumn="1" w:lastColumn="0" w:noHBand="0" w:noVBand="1"/>
      </w:tblPr>
      <w:tblGrid>
        <w:gridCol w:w="2912"/>
        <w:gridCol w:w="4274"/>
        <w:gridCol w:w="1652"/>
        <w:gridCol w:w="1631"/>
      </w:tblGrid>
      <w:tr w:rsidR="00F1031A" w:rsidRPr="008D21F0" w14:paraId="39D28987" w14:textId="77777777" w:rsidTr="00670EF5">
        <w:trPr>
          <w:trHeight w:hRule="exact" w:val="227"/>
        </w:trPr>
        <w:tc>
          <w:tcPr>
            <w:tcW w:w="1116" w:type="pct"/>
            <w:tcBorders>
              <w:top w:val="nil"/>
              <w:left w:val="nil"/>
              <w:bottom w:val="single" w:sz="8" w:space="0" w:color="auto"/>
              <w:right w:val="nil"/>
            </w:tcBorders>
            <w:shd w:val="clear" w:color="auto" w:fill="auto"/>
            <w:noWrap/>
            <w:vAlign w:val="bottom"/>
            <w:hideMark/>
          </w:tcPr>
          <w:p w14:paraId="1B5CD072" w14:textId="49E0DF09" w:rsidR="00F1031A" w:rsidRPr="008D21F0" w:rsidRDefault="00F1031A" w:rsidP="00670EF5">
            <w:pPr>
              <w:spacing w:after="120"/>
              <w:rPr>
                <w:rFonts w:asciiTheme="minorHAnsi" w:hAnsiTheme="minorHAnsi" w:cstheme="minorHAnsi"/>
                <w:b/>
                <w:bCs/>
                <w:color w:val="000000"/>
                <w:sz w:val="16"/>
                <w:szCs w:val="16"/>
              </w:rPr>
            </w:pPr>
            <w:r w:rsidRPr="008D21F0">
              <w:rPr>
                <w:rFonts w:asciiTheme="minorHAnsi" w:hAnsiTheme="minorHAnsi" w:cstheme="minorHAnsi"/>
                <w:b/>
                <w:bCs/>
                <w:color w:val="000000"/>
                <w:sz w:val="16"/>
                <w:szCs w:val="16"/>
              </w:rPr>
              <w:t>PROCESSO: PA 007980-80-2015.4.04.8000</w:t>
            </w:r>
          </w:p>
        </w:tc>
        <w:tc>
          <w:tcPr>
            <w:tcW w:w="2133" w:type="pct"/>
            <w:tcBorders>
              <w:top w:val="nil"/>
              <w:left w:val="nil"/>
              <w:bottom w:val="single" w:sz="8" w:space="0" w:color="auto"/>
              <w:right w:val="nil"/>
            </w:tcBorders>
            <w:shd w:val="clear" w:color="auto" w:fill="auto"/>
            <w:vAlign w:val="bottom"/>
          </w:tcPr>
          <w:p w14:paraId="52B56B2C" w14:textId="77777777" w:rsidR="00F1031A" w:rsidRPr="008D21F0" w:rsidRDefault="00F1031A" w:rsidP="00670EF5">
            <w:pPr>
              <w:spacing w:after="120"/>
              <w:jc w:val="right"/>
              <w:rPr>
                <w:rFonts w:asciiTheme="minorHAnsi" w:hAnsiTheme="minorHAnsi" w:cstheme="minorHAnsi"/>
                <w:b/>
                <w:bCs/>
                <w:color w:val="000000"/>
                <w:sz w:val="16"/>
                <w:szCs w:val="16"/>
              </w:rPr>
            </w:pPr>
          </w:p>
        </w:tc>
        <w:tc>
          <w:tcPr>
            <w:tcW w:w="880" w:type="pct"/>
            <w:tcBorders>
              <w:top w:val="nil"/>
              <w:left w:val="nil"/>
              <w:bottom w:val="single" w:sz="8" w:space="0" w:color="auto"/>
              <w:right w:val="nil"/>
            </w:tcBorders>
            <w:shd w:val="clear" w:color="auto" w:fill="auto"/>
            <w:vAlign w:val="bottom"/>
          </w:tcPr>
          <w:p w14:paraId="14DD54F3" w14:textId="542D25D3" w:rsidR="00F1031A" w:rsidRPr="008D21F0" w:rsidRDefault="0062214B" w:rsidP="00670EF5">
            <w:pPr>
              <w:spacing w:after="120"/>
              <w:jc w:val="right"/>
              <w:rPr>
                <w:rFonts w:asciiTheme="minorHAnsi" w:hAnsiTheme="minorHAnsi" w:cstheme="minorHAnsi"/>
                <w:b/>
                <w:bCs/>
                <w:color w:val="000000"/>
                <w:sz w:val="16"/>
                <w:szCs w:val="16"/>
              </w:rPr>
            </w:pPr>
            <w:r w:rsidRPr="008D21F0">
              <w:rPr>
                <w:rFonts w:asciiTheme="minorHAnsi" w:hAnsiTheme="minorHAnsi" w:cstheme="minorHAnsi"/>
                <w:b/>
                <w:bCs/>
                <w:color w:val="000000"/>
                <w:sz w:val="16"/>
                <w:szCs w:val="16"/>
              </w:rPr>
              <w:t>3</w:t>
            </w:r>
            <w:r w:rsidR="000C3FEE">
              <w:rPr>
                <w:rFonts w:asciiTheme="minorHAnsi" w:hAnsiTheme="minorHAnsi" w:cstheme="minorHAnsi"/>
                <w:b/>
                <w:bCs/>
                <w:color w:val="000000"/>
                <w:sz w:val="16"/>
                <w:szCs w:val="16"/>
              </w:rPr>
              <w:t>0</w:t>
            </w:r>
            <w:r w:rsidRPr="008D21F0">
              <w:rPr>
                <w:rFonts w:asciiTheme="minorHAnsi" w:hAnsiTheme="minorHAnsi" w:cstheme="minorHAnsi"/>
                <w:b/>
                <w:bCs/>
                <w:color w:val="000000"/>
                <w:sz w:val="16"/>
                <w:szCs w:val="16"/>
              </w:rPr>
              <w:t>/</w:t>
            </w:r>
            <w:r>
              <w:rPr>
                <w:rFonts w:asciiTheme="minorHAnsi" w:hAnsiTheme="minorHAnsi" w:cstheme="minorHAnsi"/>
                <w:b/>
                <w:bCs/>
                <w:color w:val="000000"/>
                <w:sz w:val="16"/>
                <w:szCs w:val="16"/>
              </w:rPr>
              <w:t>0</w:t>
            </w:r>
            <w:r w:rsidR="000C3FEE">
              <w:rPr>
                <w:rFonts w:asciiTheme="minorHAnsi" w:hAnsiTheme="minorHAnsi" w:cstheme="minorHAnsi"/>
                <w:b/>
                <w:bCs/>
                <w:color w:val="000000"/>
                <w:sz w:val="16"/>
                <w:szCs w:val="16"/>
              </w:rPr>
              <w:t>6</w:t>
            </w:r>
            <w:r w:rsidRPr="008D21F0">
              <w:rPr>
                <w:rFonts w:asciiTheme="minorHAnsi" w:hAnsiTheme="minorHAnsi" w:cstheme="minorHAnsi"/>
                <w:b/>
                <w:bCs/>
                <w:color w:val="000000"/>
                <w:sz w:val="16"/>
                <w:szCs w:val="16"/>
              </w:rPr>
              <w:t>/202</w:t>
            </w:r>
            <w:r>
              <w:rPr>
                <w:rFonts w:asciiTheme="minorHAnsi" w:hAnsiTheme="minorHAnsi" w:cstheme="minorHAnsi"/>
                <w:b/>
                <w:bCs/>
                <w:color w:val="000000"/>
                <w:sz w:val="16"/>
                <w:szCs w:val="16"/>
              </w:rPr>
              <w:t>2</w:t>
            </w:r>
          </w:p>
        </w:tc>
        <w:tc>
          <w:tcPr>
            <w:tcW w:w="870" w:type="pct"/>
            <w:tcBorders>
              <w:top w:val="nil"/>
              <w:left w:val="nil"/>
              <w:bottom w:val="single" w:sz="8" w:space="0" w:color="auto"/>
              <w:right w:val="nil"/>
            </w:tcBorders>
            <w:vAlign w:val="bottom"/>
          </w:tcPr>
          <w:p w14:paraId="0A109937" w14:textId="0B192E81" w:rsidR="00F1031A" w:rsidRPr="008D21F0" w:rsidRDefault="00F1031A" w:rsidP="00670EF5">
            <w:pPr>
              <w:spacing w:after="120"/>
              <w:jc w:val="right"/>
              <w:rPr>
                <w:rFonts w:asciiTheme="minorHAnsi" w:hAnsiTheme="minorHAnsi" w:cstheme="minorHAnsi"/>
                <w:b/>
                <w:bCs/>
                <w:color w:val="000000"/>
                <w:sz w:val="16"/>
                <w:szCs w:val="16"/>
              </w:rPr>
            </w:pPr>
            <w:r w:rsidRPr="008D21F0">
              <w:rPr>
                <w:rFonts w:asciiTheme="minorHAnsi" w:hAnsiTheme="minorHAnsi" w:cstheme="minorHAnsi"/>
                <w:b/>
                <w:bCs/>
                <w:color w:val="000000"/>
                <w:sz w:val="16"/>
                <w:szCs w:val="16"/>
              </w:rPr>
              <w:t>31/</w:t>
            </w:r>
            <w:r w:rsidR="0062214B">
              <w:rPr>
                <w:rFonts w:asciiTheme="minorHAnsi" w:hAnsiTheme="minorHAnsi" w:cstheme="minorHAnsi"/>
                <w:b/>
                <w:bCs/>
                <w:color w:val="000000"/>
                <w:sz w:val="16"/>
                <w:szCs w:val="16"/>
              </w:rPr>
              <w:t>12</w:t>
            </w:r>
            <w:r w:rsidRPr="008D21F0">
              <w:rPr>
                <w:rFonts w:asciiTheme="minorHAnsi" w:hAnsiTheme="minorHAnsi" w:cstheme="minorHAnsi"/>
                <w:b/>
                <w:bCs/>
                <w:color w:val="000000"/>
                <w:sz w:val="16"/>
                <w:szCs w:val="16"/>
              </w:rPr>
              <w:t>/202</w:t>
            </w:r>
            <w:r w:rsidR="00A46353">
              <w:rPr>
                <w:rFonts w:asciiTheme="minorHAnsi" w:hAnsiTheme="minorHAnsi" w:cstheme="minorHAnsi"/>
                <w:b/>
                <w:bCs/>
                <w:color w:val="000000"/>
                <w:sz w:val="16"/>
                <w:szCs w:val="16"/>
              </w:rPr>
              <w:t>1</w:t>
            </w:r>
          </w:p>
        </w:tc>
      </w:tr>
      <w:tr w:rsidR="0062214B" w:rsidRPr="008D21F0" w14:paraId="279F5D77" w14:textId="77777777" w:rsidTr="00670EF5">
        <w:trPr>
          <w:trHeight w:hRule="exact" w:val="227"/>
        </w:trPr>
        <w:tc>
          <w:tcPr>
            <w:tcW w:w="1116" w:type="pct"/>
            <w:tcBorders>
              <w:top w:val="nil"/>
              <w:left w:val="nil"/>
              <w:bottom w:val="nil"/>
              <w:right w:val="nil"/>
            </w:tcBorders>
            <w:shd w:val="clear" w:color="auto" w:fill="auto"/>
            <w:noWrap/>
            <w:vAlign w:val="center"/>
          </w:tcPr>
          <w:p w14:paraId="0D0CE8AF" w14:textId="43DF80E5" w:rsidR="0062214B" w:rsidRPr="008D21F0" w:rsidRDefault="0062214B" w:rsidP="00670EF5">
            <w:pPr>
              <w:spacing w:after="120"/>
              <w:rPr>
                <w:rFonts w:asciiTheme="minorHAnsi" w:hAnsiTheme="minorHAnsi" w:cstheme="minorHAnsi"/>
                <w:color w:val="000000"/>
                <w:sz w:val="16"/>
                <w:szCs w:val="16"/>
              </w:rPr>
            </w:pPr>
            <w:r>
              <w:rPr>
                <w:rFonts w:asciiTheme="minorHAnsi" w:hAnsiTheme="minorHAnsi" w:cstheme="minorHAnsi"/>
                <w:color w:val="000000"/>
                <w:sz w:val="16"/>
                <w:szCs w:val="16"/>
              </w:rPr>
              <w:t>Saldo inicial</w:t>
            </w:r>
          </w:p>
        </w:tc>
        <w:tc>
          <w:tcPr>
            <w:tcW w:w="2133" w:type="pct"/>
            <w:tcBorders>
              <w:top w:val="nil"/>
              <w:left w:val="nil"/>
              <w:bottom w:val="nil"/>
              <w:right w:val="nil"/>
            </w:tcBorders>
            <w:shd w:val="clear" w:color="auto" w:fill="auto"/>
            <w:noWrap/>
            <w:vAlign w:val="center"/>
          </w:tcPr>
          <w:p w14:paraId="43473546" w14:textId="77777777" w:rsidR="0062214B" w:rsidRPr="008D21F0" w:rsidRDefault="0062214B" w:rsidP="00670EF5">
            <w:pPr>
              <w:spacing w:after="120"/>
              <w:jc w:val="right"/>
              <w:rPr>
                <w:rFonts w:asciiTheme="minorHAnsi" w:hAnsiTheme="minorHAnsi" w:cstheme="minorHAnsi"/>
                <w:color w:val="000000"/>
                <w:sz w:val="16"/>
                <w:szCs w:val="16"/>
              </w:rPr>
            </w:pPr>
          </w:p>
        </w:tc>
        <w:tc>
          <w:tcPr>
            <w:tcW w:w="880" w:type="pct"/>
            <w:tcBorders>
              <w:top w:val="nil"/>
              <w:left w:val="nil"/>
              <w:bottom w:val="nil"/>
              <w:right w:val="nil"/>
            </w:tcBorders>
            <w:shd w:val="clear" w:color="auto" w:fill="auto"/>
            <w:vAlign w:val="center"/>
          </w:tcPr>
          <w:p w14:paraId="1DD3A502" w14:textId="28A93C1E" w:rsidR="0062214B" w:rsidRPr="00A46353" w:rsidRDefault="00A46353" w:rsidP="00670EF5">
            <w:pPr>
              <w:spacing w:after="120"/>
              <w:jc w:val="right"/>
              <w:rPr>
                <w:rFonts w:asciiTheme="minorHAnsi" w:hAnsiTheme="minorHAnsi" w:cstheme="minorHAnsi"/>
                <w:color w:val="000000"/>
                <w:sz w:val="16"/>
                <w:szCs w:val="16"/>
              </w:rPr>
            </w:pPr>
            <w:r w:rsidRPr="00A46353">
              <w:rPr>
                <w:rFonts w:asciiTheme="minorHAnsi" w:hAnsiTheme="minorHAnsi" w:cstheme="minorHAnsi"/>
                <w:color w:val="000000"/>
                <w:sz w:val="16"/>
                <w:szCs w:val="16"/>
              </w:rPr>
              <w:t>679.957</w:t>
            </w:r>
          </w:p>
        </w:tc>
        <w:tc>
          <w:tcPr>
            <w:tcW w:w="870" w:type="pct"/>
            <w:tcBorders>
              <w:top w:val="nil"/>
              <w:left w:val="nil"/>
              <w:bottom w:val="nil"/>
              <w:right w:val="nil"/>
            </w:tcBorders>
            <w:vAlign w:val="center"/>
          </w:tcPr>
          <w:p w14:paraId="5B6E0AC0" w14:textId="32302042" w:rsidR="0062214B" w:rsidRPr="008D21F0" w:rsidRDefault="00A46353" w:rsidP="00670EF5">
            <w:pPr>
              <w:spacing w:after="120"/>
              <w:jc w:val="right"/>
              <w:rPr>
                <w:rFonts w:asciiTheme="minorHAnsi" w:hAnsiTheme="minorHAnsi" w:cstheme="minorHAnsi"/>
                <w:color w:val="000000"/>
                <w:sz w:val="16"/>
                <w:szCs w:val="16"/>
              </w:rPr>
            </w:pPr>
            <w:r>
              <w:rPr>
                <w:rFonts w:asciiTheme="minorHAnsi" w:hAnsiTheme="minorHAnsi" w:cstheme="minorHAnsi"/>
                <w:color w:val="000000"/>
                <w:sz w:val="16"/>
                <w:szCs w:val="16"/>
              </w:rPr>
              <w:t>0</w:t>
            </w:r>
          </w:p>
        </w:tc>
      </w:tr>
      <w:tr w:rsidR="00F1031A" w:rsidRPr="008D21F0" w14:paraId="30E9F25B" w14:textId="77777777" w:rsidTr="00670EF5">
        <w:trPr>
          <w:trHeight w:hRule="exact" w:val="227"/>
        </w:trPr>
        <w:tc>
          <w:tcPr>
            <w:tcW w:w="1116" w:type="pct"/>
            <w:tcBorders>
              <w:top w:val="nil"/>
              <w:left w:val="nil"/>
              <w:bottom w:val="nil"/>
              <w:right w:val="nil"/>
            </w:tcBorders>
            <w:shd w:val="clear" w:color="auto" w:fill="auto"/>
            <w:noWrap/>
            <w:vAlign w:val="center"/>
            <w:hideMark/>
          </w:tcPr>
          <w:p w14:paraId="5CF2E2DF" w14:textId="2AE1C430" w:rsidR="00F1031A" w:rsidRPr="008D21F0" w:rsidRDefault="00F1031A" w:rsidP="00670EF5">
            <w:pPr>
              <w:spacing w:after="120"/>
              <w:rPr>
                <w:rFonts w:asciiTheme="minorHAnsi" w:hAnsiTheme="minorHAnsi" w:cstheme="minorHAnsi"/>
                <w:color w:val="000000"/>
                <w:sz w:val="16"/>
                <w:szCs w:val="16"/>
              </w:rPr>
            </w:pPr>
            <w:r w:rsidRPr="008D21F0">
              <w:rPr>
                <w:rFonts w:asciiTheme="minorHAnsi" w:hAnsiTheme="minorHAnsi" w:cstheme="minorHAnsi"/>
                <w:color w:val="000000"/>
                <w:sz w:val="16"/>
                <w:szCs w:val="16"/>
              </w:rPr>
              <w:t>Principal</w:t>
            </w:r>
            <w:r w:rsidR="0062214B">
              <w:rPr>
                <w:rFonts w:asciiTheme="minorHAnsi" w:hAnsiTheme="minorHAnsi" w:cstheme="minorHAnsi"/>
                <w:color w:val="000000"/>
                <w:sz w:val="16"/>
                <w:szCs w:val="16"/>
              </w:rPr>
              <w:t xml:space="preserve"> (Entradas</w:t>
            </w:r>
            <w:r w:rsidR="00A46353">
              <w:rPr>
                <w:rFonts w:asciiTheme="minorHAnsi" w:hAnsiTheme="minorHAnsi" w:cstheme="minorHAnsi"/>
                <w:color w:val="000000"/>
                <w:sz w:val="16"/>
                <w:szCs w:val="16"/>
              </w:rPr>
              <w:t>)</w:t>
            </w:r>
          </w:p>
        </w:tc>
        <w:tc>
          <w:tcPr>
            <w:tcW w:w="2133" w:type="pct"/>
            <w:tcBorders>
              <w:top w:val="nil"/>
              <w:left w:val="nil"/>
              <w:bottom w:val="nil"/>
              <w:right w:val="nil"/>
            </w:tcBorders>
            <w:shd w:val="clear" w:color="auto" w:fill="auto"/>
            <w:noWrap/>
            <w:vAlign w:val="center"/>
          </w:tcPr>
          <w:p w14:paraId="6CF67540" w14:textId="77777777" w:rsidR="00F1031A" w:rsidRPr="008D21F0" w:rsidRDefault="00F1031A" w:rsidP="00670EF5">
            <w:pPr>
              <w:spacing w:after="120"/>
              <w:jc w:val="right"/>
              <w:rPr>
                <w:rFonts w:asciiTheme="minorHAnsi" w:hAnsiTheme="minorHAnsi" w:cstheme="minorHAnsi"/>
                <w:color w:val="000000"/>
                <w:sz w:val="16"/>
                <w:szCs w:val="16"/>
              </w:rPr>
            </w:pPr>
          </w:p>
        </w:tc>
        <w:tc>
          <w:tcPr>
            <w:tcW w:w="880" w:type="pct"/>
            <w:tcBorders>
              <w:top w:val="nil"/>
              <w:left w:val="nil"/>
              <w:bottom w:val="nil"/>
              <w:right w:val="nil"/>
            </w:tcBorders>
            <w:shd w:val="clear" w:color="auto" w:fill="auto"/>
            <w:vAlign w:val="center"/>
          </w:tcPr>
          <w:p w14:paraId="45FD1C33" w14:textId="7F741DC4" w:rsidR="00F1031A" w:rsidRPr="008D21F0" w:rsidRDefault="00A46353" w:rsidP="00670EF5">
            <w:pPr>
              <w:spacing w:after="120"/>
              <w:jc w:val="right"/>
              <w:rPr>
                <w:rFonts w:asciiTheme="minorHAnsi" w:hAnsiTheme="minorHAnsi" w:cstheme="minorHAnsi"/>
                <w:color w:val="000000"/>
                <w:sz w:val="16"/>
                <w:szCs w:val="16"/>
              </w:rPr>
            </w:pPr>
            <w:r>
              <w:rPr>
                <w:rFonts w:asciiTheme="minorHAnsi" w:hAnsiTheme="minorHAnsi" w:cstheme="minorHAnsi"/>
                <w:color w:val="000000"/>
                <w:sz w:val="16"/>
                <w:szCs w:val="16"/>
              </w:rPr>
              <w:t>0</w:t>
            </w:r>
          </w:p>
        </w:tc>
        <w:tc>
          <w:tcPr>
            <w:tcW w:w="870" w:type="pct"/>
            <w:tcBorders>
              <w:top w:val="nil"/>
              <w:left w:val="nil"/>
              <w:bottom w:val="nil"/>
              <w:right w:val="nil"/>
            </w:tcBorders>
            <w:vAlign w:val="center"/>
          </w:tcPr>
          <w:p w14:paraId="1A2FA56C" w14:textId="35AFDFB2" w:rsidR="00F1031A" w:rsidRPr="008D21F0" w:rsidRDefault="00F1031A" w:rsidP="00670EF5">
            <w:pPr>
              <w:spacing w:after="120"/>
              <w:jc w:val="right"/>
              <w:rPr>
                <w:rFonts w:asciiTheme="minorHAnsi" w:hAnsiTheme="minorHAnsi" w:cstheme="minorHAnsi"/>
                <w:color w:val="000000"/>
                <w:sz w:val="16"/>
                <w:szCs w:val="16"/>
              </w:rPr>
            </w:pPr>
            <w:r w:rsidRPr="008D21F0">
              <w:rPr>
                <w:rFonts w:asciiTheme="minorHAnsi" w:hAnsiTheme="minorHAnsi" w:cstheme="minorHAnsi"/>
                <w:color w:val="000000"/>
                <w:sz w:val="16"/>
                <w:szCs w:val="16"/>
              </w:rPr>
              <w:t>641.192</w:t>
            </w:r>
          </w:p>
        </w:tc>
      </w:tr>
      <w:tr w:rsidR="00F1031A" w:rsidRPr="008D21F0" w14:paraId="2463813C" w14:textId="77777777" w:rsidTr="00670EF5">
        <w:trPr>
          <w:trHeight w:hRule="exact" w:val="227"/>
        </w:trPr>
        <w:tc>
          <w:tcPr>
            <w:tcW w:w="1116" w:type="pct"/>
            <w:tcBorders>
              <w:top w:val="nil"/>
              <w:left w:val="nil"/>
              <w:bottom w:val="nil"/>
              <w:right w:val="nil"/>
            </w:tcBorders>
            <w:shd w:val="clear" w:color="auto" w:fill="auto"/>
            <w:noWrap/>
            <w:vAlign w:val="center"/>
            <w:hideMark/>
          </w:tcPr>
          <w:p w14:paraId="1A0369E6" w14:textId="3AF7436F" w:rsidR="00F1031A" w:rsidRPr="008D21F0" w:rsidRDefault="00F1031A" w:rsidP="00670EF5">
            <w:pPr>
              <w:spacing w:after="120"/>
              <w:rPr>
                <w:rFonts w:asciiTheme="minorHAnsi" w:hAnsiTheme="minorHAnsi" w:cstheme="minorHAnsi"/>
                <w:color w:val="000000"/>
                <w:sz w:val="16"/>
                <w:szCs w:val="16"/>
              </w:rPr>
            </w:pPr>
            <w:r w:rsidRPr="008D21F0">
              <w:rPr>
                <w:rFonts w:asciiTheme="minorHAnsi" w:hAnsiTheme="minorHAnsi" w:cstheme="minorHAnsi"/>
                <w:color w:val="000000"/>
                <w:sz w:val="16"/>
                <w:szCs w:val="16"/>
              </w:rPr>
              <w:t>Atualização Monetária</w:t>
            </w:r>
          </w:p>
        </w:tc>
        <w:tc>
          <w:tcPr>
            <w:tcW w:w="2133" w:type="pct"/>
            <w:tcBorders>
              <w:top w:val="nil"/>
              <w:left w:val="nil"/>
              <w:bottom w:val="nil"/>
              <w:right w:val="nil"/>
            </w:tcBorders>
            <w:shd w:val="clear" w:color="auto" w:fill="auto"/>
            <w:noWrap/>
            <w:vAlign w:val="center"/>
          </w:tcPr>
          <w:p w14:paraId="1002520F" w14:textId="77777777" w:rsidR="00F1031A" w:rsidRPr="008D21F0" w:rsidRDefault="00F1031A" w:rsidP="00670EF5">
            <w:pPr>
              <w:spacing w:after="120"/>
              <w:jc w:val="right"/>
              <w:rPr>
                <w:rFonts w:asciiTheme="minorHAnsi" w:hAnsiTheme="minorHAnsi" w:cstheme="minorHAnsi"/>
                <w:color w:val="000000"/>
                <w:sz w:val="16"/>
                <w:szCs w:val="16"/>
              </w:rPr>
            </w:pPr>
          </w:p>
        </w:tc>
        <w:tc>
          <w:tcPr>
            <w:tcW w:w="880" w:type="pct"/>
            <w:tcBorders>
              <w:top w:val="nil"/>
              <w:left w:val="nil"/>
              <w:bottom w:val="nil"/>
              <w:right w:val="nil"/>
            </w:tcBorders>
            <w:shd w:val="clear" w:color="auto" w:fill="auto"/>
            <w:vAlign w:val="center"/>
          </w:tcPr>
          <w:p w14:paraId="4412B116" w14:textId="699F7219" w:rsidR="00F1031A" w:rsidRPr="008D21F0" w:rsidRDefault="007B5325" w:rsidP="00670EF5">
            <w:pPr>
              <w:spacing w:after="120"/>
              <w:jc w:val="right"/>
              <w:rPr>
                <w:rFonts w:asciiTheme="minorHAnsi" w:hAnsiTheme="minorHAnsi" w:cstheme="minorHAnsi"/>
                <w:color w:val="000000"/>
                <w:sz w:val="16"/>
                <w:szCs w:val="16"/>
              </w:rPr>
            </w:pPr>
            <w:r>
              <w:rPr>
                <w:rFonts w:asciiTheme="minorHAnsi" w:hAnsiTheme="minorHAnsi" w:cstheme="minorHAnsi"/>
                <w:color w:val="000000"/>
                <w:sz w:val="16"/>
                <w:szCs w:val="16"/>
              </w:rPr>
              <w:t>29</w:t>
            </w:r>
            <w:r w:rsidR="00A46353">
              <w:rPr>
                <w:rFonts w:asciiTheme="minorHAnsi" w:hAnsiTheme="minorHAnsi" w:cstheme="minorHAnsi"/>
                <w:color w:val="000000"/>
                <w:sz w:val="16"/>
                <w:szCs w:val="16"/>
              </w:rPr>
              <w:t>.</w:t>
            </w:r>
            <w:r>
              <w:rPr>
                <w:rFonts w:asciiTheme="minorHAnsi" w:hAnsiTheme="minorHAnsi" w:cstheme="minorHAnsi"/>
                <w:color w:val="000000"/>
                <w:sz w:val="16"/>
                <w:szCs w:val="16"/>
              </w:rPr>
              <w:t>338</w:t>
            </w:r>
          </w:p>
        </w:tc>
        <w:tc>
          <w:tcPr>
            <w:tcW w:w="870" w:type="pct"/>
            <w:tcBorders>
              <w:top w:val="nil"/>
              <w:left w:val="nil"/>
              <w:bottom w:val="nil"/>
              <w:right w:val="nil"/>
            </w:tcBorders>
            <w:vAlign w:val="center"/>
          </w:tcPr>
          <w:p w14:paraId="1C207635" w14:textId="48BCED7E" w:rsidR="00F1031A" w:rsidRPr="008D21F0" w:rsidRDefault="00F1031A" w:rsidP="00670EF5">
            <w:pPr>
              <w:spacing w:after="120"/>
              <w:jc w:val="right"/>
              <w:rPr>
                <w:rFonts w:asciiTheme="minorHAnsi" w:hAnsiTheme="minorHAnsi" w:cstheme="minorHAnsi"/>
                <w:color w:val="000000"/>
                <w:sz w:val="16"/>
                <w:szCs w:val="16"/>
              </w:rPr>
            </w:pPr>
            <w:r w:rsidRPr="008D21F0">
              <w:rPr>
                <w:rFonts w:asciiTheme="minorHAnsi" w:hAnsiTheme="minorHAnsi" w:cstheme="minorHAnsi"/>
                <w:color w:val="000000"/>
                <w:sz w:val="16"/>
                <w:szCs w:val="16"/>
              </w:rPr>
              <w:t>38.765</w:t>
            </w:r>
          </w:p>
        </w:tc>
      </w:tr>
      <w:tr w:rsidR="00F1031A" w:rsidRPr="008D21F0" w14:paraId="4F9A15FF" w14:textId="77777777" w:rsidTr="00670EF5">
        <w:trPr>
          <w:trHeight w:hRule="exact" w:val="227"/>
        </w:trPr>
        <w:tc>
          <w:tcPr>
            <w:tcW w:w="1116" w:type="pct"/>
            <w:tcBorders>
              <w:top w:val="single" w:sz="8" w:space="0" w:color="auto"/>
              <w:left w:val="nil"/>
              <w:bottom w:val="single" w:sz="8" w:space="0" w:color="auto"/>
              <w:right w:val="nil"/>
            </w:tcBorders>
            <w:shd w:val="clear" w:color="auto" w:fill="auto"/>
            <w:noWrap/>
            <w:vAlign w:val="center"/>
            <w:hideMark/>
          </w:tcPr>
          <w:p w14:paraId="18619432" w14:textId="2366D984" w:rsidR="00F1031A" w:rsidRPr="008D21F0" w:rsidRDefault="00F1031A" w:rsidP="00670EF5">
            <w:pPr>
              <w:spacing w:after="120"/>
              <w:rPr>
                <w:rFonts w:asciiTheme="minorHAnsi" w:hAnsiTheme="minorHAnsi" w:cstheme="minorHAnsi"/>
                <w:b/>
                <w:bCs/>
                <w:color w:val="000000"/>
                <w:sz w:val="16"/>
                <w:szCs w:val="16"/>
              </w:rPr>
            </w:pPr>
            <w:r w:rsidRPr="008D21F0">
              <w:rPr>
                <w:rFonts w:asciiTheme="minorHAnsi" w:hAnsiTheme="minorHAnsi" w:cstheme="minorHAnsi"/>
                <w:b/>
                <w:bCs/>
                <w:color w:val="000000"/>
                <w:sz w:val="16"/>
                <w:szCs w:val="16"/>
              </w:rPr>
              <w:t>SALDO</w:t>
            </w:r>
            <w:r w:rsidR="003233F5" w:rsidRPr="008D21F0">
              <w:rPr>
                <w:rFonts w:asciiTheme="minorHAnsi" w:hAnsiTheme="minorHAnsi" w:cstheme="minorHAnsi"/>
                <w:b/>
                <w:bCs/>
                <w:color w:val="000000"/>
                <w:sz w:val="16"/>
                <w:szCs w:val="16"/>
              </w:rPr>
              <w:t xml:space="preserve"> </w:t>
            </w:r>
          </w:p>
        </w:tc>
        <w:tc>
          <w:tcPr>
            <w:tcW w:w="2133" w:type="pct"/>
            <w:tcBorders>
              <w:top w:val="single" w:sz="8" w:space="0" w:color="auto"/>
              <w:left w:val="nil"/>
              <w:bottom w:val="single" w:sz="8" w:space="0" w:color="auto"/>
              <w:right w:val="nil"/>
            </w:tcBorders>
            <w:shd w:val="clear" w:color="auto" w:fill="auto"/>
            <w:noWrap/>
            <w:vAlign w:val="center"/>
          </w:tcPr>
          <w:p w14:paraId="727EFAE2" w14:textId="77777777" w:rsidR="00F1031A" w:rsidRPr="008D21F0" w:rsidRDefault="00F1031A" w:rsidP="00670EF5">
            <w:pPr>
              <w:spacing w:after="120"/>
              <w:jc w:val="right"/>
              <w:rPr>
                <w:rFonts w:asciiTheme="minorHAnsi" w:hAnsiTheme="minorHAnsi" w:cstheme="minorHAnsi"/>
                <w:b/>
                <w:bCs/>
                <w:color w:val="000000"/>
                <w:sz w:val="16"/>
                <w:szCs w:val="16"/>
              </w:rPr>
            </w:pPr>
          </w:p>
        </w:tc>
        <w:tc>
          <w:tcPr>
            <w:tcW w:w="880" w:type="pct"/>
            <w:tcBorders>
              <w:top w:val="single" w:sz="8" w:space="0" w:color="auto"/>
              <w:left w:val="nil"/>
              <w:bottom w:val="single" w:sz="8" w:space="0" w:color="auto"/>
              <w:right w:val="nil"/>
            </w:tcBorders>
            <w:shd w:val="clear" w:color="auto" w:fill="auto"/>
            <w:vAlign w:val="center"/>
          </w:tcPr>
          <w:p w14:paraId="0C6B9D33" w14:textId="0BED5D99" w:rsidR="00F1031A" w:rsidRPr="008D21F0" w:rsidRDefault="007B5325" w:rsidP="00670EF5">
            <w:pPr>
              <w:spacing w:after="120"/>
              <w:jc w:val="right"/>
              <w:rPr>
                <w:rFonts w:asciiTheme="minorHAnsi" w:hAnsiTheme="minorHAnsi" w:cstheme="minorHAnsi"/>
                <w:b/>
                <w:bCs/>
                <w:color w:val="000000"/>
                <w:sz w:val="16"/>
                <w:szCs w:val="16"/>
              </w:rPr>
            </w:pPr>
            <w:r>
              <w:rPr>
                <w:rFonts w:asciiTheme="minorHAnsi" w:hAnsiTheme="minorHAnsi" w:cstheme="minorHAnsi"/>
                <w:b/>
                <w:bCs/>
                <w:color w:val="000000"/>
                <w:sz w:val="16"/>
                <w:szCs w:val="16"/>
              </w:rPr>
              <w:t>709.295</w:t>
            </w:r>
          </w:p>
        </w:tc>
        <w:tc>
          <w:tcPr>
            <w:tcW w:w="870" w:type="pct"/>
            <w:tcBorders>
              <w:top w:val="single" w:sz="8" w:space="0" w:color="auto"/>
              <w:left w:val="nil"/>
              <w:bottom w:val="single" w:sz="8" w:space="0" w:color="auto"/>
              <w:right w:val="nil"/>
            </w:tcBorders>
            <w:vAlign w:val="center"/>
          </w:tcPr>
          <w:p w14:paraId="177A72FD" w14:textId="0EA3E0D0" w:rsidR="00F1031A" w:rsidRPr="008D21F0" w:rsidRDefault="003233F5" w:rsidP="00670EF5">
            <w:pPr>
              <w:spacing w:after="120"/>
              <w:jc w:val="right"/>
              <w:rPr>
                <w:rFonts w:asciiTheme="minorHAnsi" w:hAnsiTheme="minorHAnsi" w:cstheme="minorHAnsi"/>
                <w:b/>
                <w:bCs/>
                <w:color w:val="000000"/>
                <w:sz w:val="16"/>
                <w:szCs w:val="16"/>
              </w:rPr>
            </w:pPr>
            <w:r w:rsidRPr="008D21F0">
              <w:rPr>
                <w:rFonts w:asciiTheme="minorHAnsi" w:hAnsiTheme="minorHAnsi" w:cstheme="minorHAnsi"/>
                <w:b/>
                <w:bCs/>
                <w:color w:val="000000"/>
                <w:sz w:val="16"/>
                <w:szCs w:val="16"/>
              </w:rPr>
              <w:t>679.957</w:t>
            </w:r>
          </w:p>
        </w:tc>
      </w:tr>
    </w:tbl>
    <w:p w14:paraId="327ABA89" w14:textId="2952D93C" w:rsidR="00F1031A" w:rsidRPr="008D21F0" w:rsidRDefault="00F1031A" w:rsidP="00F1031A">
      <w:pPr>
        <w:rPr>
          <w:rFonts w:asciiTheme="minorHAnsi" w:hAnsiTheme="minorHAnsi" w:cstheme="minorHAnsi"/>
          <w:sz w:val="22"/>
          <w:szCs w:val="22"/>
        </w:rPr>
      </w:pPr>
    </w:p>
    <w:p w14:paraId="5E016AC3" w14:textId="1D1DCE00" w:rsidR="003233F5" w:rsidRPr="008D21F0" w:rsidRDefault="003233F5" w:rsidP="003233F5">
      <w:pPr>
        <w:pStyle w:val="PargrafodaLista"/>
        <w:numPr>
          <w:ilvl w:val="0"/>
          <w:numId w:val="40"/>
        </w:numPr>
        <w:ind w:left="426" w:hanging="426"/>
        <w:rPr>
          <w:rFonts w:asciiTheme="minorHAnsi" w:hAnsiTheme="minorHAnsi" w:cstheme="minorHAnsi"/>
          <w:b/>
          <w:bCs/>
          <w:sz w:val="22"/>
          <w:szCs w:val="22"/>
        </w:rPr>
      </w:pPr>
      <w:r w:rsidRPr="008D21F0">
        <w:rPr>
          <w:rFonts w:asciiTheme="minorHAnsi" w:hAnsiTheme="minorHAnsi" w:cstheme="minorHAnsi"/>
          <w:b/>
          <w:bCs/>
          <w:sz w:val="22"/>
          <w:szCs w:val="22"/>
        </w:rPr>
        <w:t>Precatórios de Terceiros – Longo Prazo</w:t>
      </w:r>
    </w:p>
    <w:p w14:paraId="29CE89B3" w14:textId="7B7A18B6" w:rsidR="003233F5" w:rsidRDefault="003233F5" w:rsidP="003233F5">
      <w:pPr>
        <w:jc w:val="both"/>
        <w:rPr>
          <w:rFonts w:asciiTheme="minorHAnsi" w:hAnsiTheme="minorHAnsi" w:cstheme="minorHAnsi"/>
          <w:sz w:val="22"/>
          <w:szCs w:val="22"/>
        </w:rPr>
      </w:pPr>
      <w:r w:rsidRPr="008D21F0">
        <w:rPr>
          <w:rFonts w:asciiTheme="minorHAnsi" w:hAnsiTheme="minorHAnsi" w:cstheme="minorHAnsi"/>
          <w:sz w:val="22"/>
          <w:szCs w:val="22"/>
        </w:rPr>
        <w:t>Registros de Precatórios de Terceiros realizado pelo Tribunal Regional Federal da 4ª Região referentes a precatórios alimentares e comuns autuados entre julho de 2021 a dezembro de 2021 a serem pagos em setembro de 2023:</w:t>
      </w:r>
    </w:p>
    <w:p w14:paraId="30F6F97D" w14:textId="77777777" w:rsidR="003233F5" w:rsidRPr="008D21F0" w:rsidRDefault="003233F5" w:rsidP="00F1031A"/>
    <w:tbl>
      <w:tblPr>
        <w:tblW w:w="5001" w:type="pct"/>
        <w:tblCellMar>
          <w:left w:w="70" w:type="dxa"/>
          <w:right w:w="70" w:type="dxa"/>
        </w:tblCellMar>
        <w:tblLook w:val="04A0" w:firstRow="1" w:lastRow="0" w:firstColumn="1" w:lastColumn="0" w:noHBand="0" w:noVBand="1"/>
      </w:tblPr>
      <w:tblGrid>
        <w:gridCol w:w="2912"/>
        <w:gridCol w:w="4274"/>
        <w:gridCol w:w="1652"/>
        <w:gridCol w:w="1631"/>
      </w:tblGrid>
      <w:tr w:rsidR="003233F5" w:rsidRPr="008D21F0" w14:paraId="2D6D1399" w14:textId="77777777" w:rsidTr="00670EF5">
        <w:trPr>
          <w:trHeight w:hRule="exact" w:val="227"/>
        </w:trPr>
        <w:tc>
          <w:tcPr>
            <w:tcW w:w="1116" w:type="pct"/>
            <w:tcBorders>
              <w:top w:val="nil"/>
              <w:left w:val="nil"/>
              <w:bottom w:val="single" w:sz="8" w:space="0" w:color="auto"/>
              <w:right w:val="nil"/>
            </w:tcBorders>
            <w:shd w:val="clear" w:color="auto" w:fill="auto"/>
            <w:noWrap/>
            <w:vAlign w:val="bottom"/>
            <w:hideMark/>
          </w:tcPr>
          <w:p w14:paraId="6281B5A0" w14:textId="77777777" w:rsidR="003233F5" w:rsidRPr="008D21F0" w:rsidRDefault="003233F5" w:rsidP="00670EF5">
            <w:pPr>
              <w:spacing w:after="120"/>
              <w:rPr>
                <w:rFonts w:ascii="Calibri" w:hAnsi="Calibri" w:cs="Calibri"/>
                <w:b/>
                <w:bCs/>
                <w:color w:val="000000"/>
                <w:sz w:val="16"/>
                <w:szCs w:val="16"/>
              </w:rPr>
            </w:pPr>
            <w:r w:rsidRPr="008D21F0">
              <w:rPr>
                <w:rFonts w:ascii="Calibri" w:hAnsi="Calibri" w:cs="Calibri"/>
                <w:b/>
                <w:bCs/>
                <w:color w:val="000000"/>
                <w:sz w:val="16"/>
                <w:szCs w:val="16"/>
              </w:rPr>
              <w:t>PROCESSO: PA 007980-80-2015.4.04.8000</w:t>
            </w:r>
          </w:p>
        </w:tc>
        <w:tc>
          <w:tcPr>
            <w:tcW w:w="2133" w:type="pct"/>
            <w:tcBorders>
              <w:top w:val="nil"/>
              <w:left w:val="nil"/>
              <w:bottom w:val="single" w:sz="8" w:space="0" w:color="auto"/>
              <w:right w:val="nil"/>
            </w:tcBorders>
            <w:shd w:val="clear" w:color="auto" w:fill="auto"/>
            <w:vAlign w:val="bottom"/>
          </w:tcPr>
          <w:p w14:paraId="2521AF44" w14:textId="77777777" w:rsidR="003233F5" w:rsidRPr="008D21F0" w:rsidRDefault="003233F5" w:rsidP="00670EF5">
            <w:pPr>
              <w:spacing w:after="120"/>
              <w:jc w:val="right"/>
              <w:rPr>
                <w:rFonts w:ascii="Calibri" w:hAnsi="Calibri" w:cs="Calibri"/>
                <w:b/>
                <w:bCs/>
                <w:color w:val="000000"/>
                <w:sz w:val="16"/>
                <w:szCs w:val="16"/>
              </w:rPr>
            </w:pPr>
          </w:p>
        </w:tc>
        <w:tc>
          <w:tcPr>
            <w:tcW w:w="880" w:type="pct"/>
            <w:tcBorders>
              <w:top w:val="nil"/>
              <w:left w:val="nil"/>
              <w:bottom w:val="single" w:sz="8" w:space="0" w:color="auto"/>
              <w:right w:val="nil"/>
            </w:tcBorders>
            <w:shd w:val="clear" w:color="auto" w:fill="auto"/>
            <w:vAlign w:val="bottom"/>
          </w:tcPr>
          <w:p w14:paraId="184D8C03" w14:textId="460F5156" w:rsidR="003233F5" w:rsidRPr="008D21F0" w:rsidRDefault="00A46353" w:rsidP="00670EF5">
            <w:pPr>
              <w:spacing w:after="120"/>
              <w:jc w:val="right"/>
              <w:rPr>
                <w:rFonts w:ascii="Calibri" w:hAnsi="Calibri" w:cs="Calibri"/>
                <w:b/>
                <w:bCs/>
                <w:color w:val="000000"/>
                <w:sz w:val="16"/>
                <w:szCs w:val="16"/>
              </w:rPr>
            </w:pPr>
            <w:r>
              <w:rPr>
                <w:rFonts w:ascii="Calibri" w:hAnsi="Calibri" w:cs="Calibri"/>
                <w:b/>
                <w:bCs/>
                <w:color w:val="000000"/>
                <w:sz w:val="16"/>
                <w:szCs w:val="16"/>
              </w:rPr>
              <w:t>3</w:t>
            </w:r>
            <w:r w:rsidR="007B5325">
              <w:rPr>
                <w:rFonts w:ascii="Calibri" w:hAnsi="Calibri" w:cs="Calibri"/>
                <w:b/>
                <w:bCs/>
                <w:color w:val="000000"/>
                <w:sz w:val="16"/>
                <w:szCs w:val="16"/>
              </w:rPr>
              <w:t>0</w:t>
            </w:r>
            <w:r>
              <w:rPr>
                <w:rFonts w:ascii="Calibri" w:hAnsi="Calibri" w:cs="Calibri"/>
                <w:b/>
                <w:bCs/>
                <w:color w:val="000000"/>
                <w:sz w:val="16"/>
                <w:szCs w:val="16"/>
              </w:rPr>
              <w:t>/0</w:t>
            </w:r>
            <w:r w:rsidR="007B5325">
              <w:rPr>
                <w:rFonts w:ascii="Calibri" w:hAnsi="Calibri" w:cs="Calibri"/>
                <w:b/>
                <w:bCs/>
                <w:color w:val="000000"/>
                <w:sz w:val="16"/>
                <w:szCs w:val="16"/>
              </w:rPr>
              <w:t>6</w:t>
            </w:r>
            <w:r>
              <w:rPr>
                <w:rFonts w:ascii="Calibri" w:hAnsi="Calibri" w:cs="Calibri"/>
                <w:b/>
                <w:bCs/>
                <w:color w:val="000000"/>
                <w:sz w:val="16"/>
                <w:szCs w:val="16"/>
              </w:rPr>
              <w:t>/2022</w:t>
            </w:r>
          </w:p>
        </w:tc>
        <w:tc>
          <w:tcPr>
            <w:tcW w:w="870" w:type="pct"/>
            <w:tcBorders>
              <w:top w:val="nil"/>
              <w:left w:val="nil"/>
              <w:bottom w:val="single" w:sz="8" w:space="0" w:color="auto"/>
              <w:right w:val="nil"/>
            </w:tcBorders>
            <w:vAlign w:val="bottom"/>
          </w:tcPr>
          <w:p w14:paraId="72010D6D" w14:textId="77777777" w:rsidR="003233F5" w:rsidRPr="008D21F0" w:rsidRDefault="003233F5" w:rsidP="00670EF5">
            <w:pPr>
              <w:spacing w:after="120"/>
              <w:jc w:val="right"/>
              <w:rPr>
                <w:rFonts w:ascii="Calibri" w:hAnsi="Calibri" w:cs="Calibri"/>
                <w:b/>
                <w:bCs/>
                <w:color w:val="000000"/>
                <w:sz w:val="16"/>
                <w:szCs w:val="16"/>
              </w:rPr>
            </w:pPr>
            <w:r w:rsidRPr="008D21F0">
              <w:rPr>
                <w:rFonts w:ascii="Calibri" w:hAnsi="Calibri" w:cs="Calibri"/>
                <w:b/>
                <w:bCs/>
                <w:color w:val="000000"/>
                <w:sz w:val="16"/>
                <w:szCs w:val="16"/>
              </w:rPr>
              <w:t>31/12/2021</w:t>
            </w:r>
          </w:p>
        </w:tc>
      </w:tr>
      <w:tr w:rsidR="00A46353" w:rsidRPr="008D21F0" w14:paraId="4C0C335F" w14:textId="77777777" w:rsidTr="00670EF5">
        <w:trPr>
          <w:trHeight w:hRule="exact" w:val="227"/>
        </w:trPr>
        <w:tc>
          <w:tcPr>
            <w:tcW w:w="1116" w:type="pct"/>
            <w:tcBorders>
              <w:top w:val="nil"/>
              <w:left w:val="nil"/>
              <w:bottom w:val="nil"/>
              <w:right w:val="nil"/>
            </w:tcBorders>
            <w:shd w:val="clear" w:color="auto" w:fill="auto"/>
            <w:noWrap/>
            <w:vAlign w:val="center"/>
          </w:tcPr>
          <w:p w14:paraId="5FC9317E" w14:textId="38BAD3E4" w:rsidR="00A46353" w:rsidRPr="008D21F0" w:rsidRDefault="00A46353" w:rsidP="00670EF5">
            <w:pPr>
              <w:spacing w:after="120"/>
              <w:rPr>
                <w:rFonts w:ascii="Calibri" w:hAnsi="Calibri" w:cs="Calibri"/>
                <w:color w:val="000000"/>
                <w:sz w:val="16"/>
                <w:szCs w:val="16"/>
              </w:rPr>
            </w:pPr>
            <w:r>
              <w:rPr>
                <w:rFonts w:asciiTheme="minorHAnsi" w:hAnsiTheme="minorHAnsi" w:cstheme="minorHAnsi"/>
                <w:color w:val="000000"/>
                <w:sz w:val="16"/>
                <w:szCs w:val="16"/>
              </w:rPr>
              <w:t>Saldo inicial</w:t>
            </w:r>
          </w:p>
        </w:tc>
        <w:tc>
          <w:tcPr>
            <w:tcW w:w="2133" w:type="pct"/>
            <w:tcBorders>
              <w:top w:val="nil"/>
              <w:left w:val="nil"/>
              <w:bottom w:val="nil"/>
              <w:right w:val="nil"/>
            </w:tcBorders>
            <w:shd w:val="clear" w:color="auto" w:fill="auto"/>
            <w:noWrap/>
            <w:vAlign w:val="center"/>
          </w:tcPr>
          <w:p w14:paraId="447CA7DC" w14:textId="77777777" w:rsidR="00A46353" w:rsidRPr="008D21F0" w:rsidRDefault="00A46353" w:rsidP="00670EF5">
            <w:pPr>
              <w:spacing w:after="120"/>
              <w:jc w:val="right"/>
              <w:rPr>
                <w:rFonts w:ascii="Calibri" w:hAnsi="Calibri" w:cs="Calibri"/>
                <w:color w:val="000000"/>
                <w:sz w:val="16"/>
                <w:szCs w:val="16"/>
              </w:rPr>
            </w:pPr>
          </w:p>
        </w:tc>
        <w:tc>
          <w:tcPr>
            <w:tcW w:w="880" w:type="pct"/>
            <w:tcBorders>
              <w:top w:val="nil"/>
              <w:left w:val="nil"/>
              <w:bottom w:val="nil"/>
              <w:right w:val="nil"/>
            </w:tcBorders>
            <w:shd w:val="clear" w:color="auto" w:fill="auto"/>
            <w:vAlign w:val="center"/>
          </w:tcPr>
          <w:p w14:paraId="7D406AC6" w14:textId="32480A82" w:rsidR="00A46353" w:rsidRPr="008D21F0" w:rsidRDefault="00A46353" w:rsidP="00670EF5">
            <w:pPr>
              <w:spacing w:after="120"/>
              <w:jc w:val="right"/>
              <w:rPr>
                <w:rFonts w:ascii="Calibri" w:hAnsi="Calibri" w:cs="Calibri"/>
                <w:color w:val="000000"/>
                <w:sz w:val="16"/>
                <w:szCs w:val="16"/>
              </w:rPr>
            </w:pPr>
            <w:r>
              <w:rPr>
                <w:rFonts w:ascii="Calibri" w:hAnsi="Calibri" w:cs="Calibri"/>
                <w:color w:val="000000"/>
                <w:sz w:val="16"/>
                <w:szCs w:val="16"/>
              </w:rPr>
              <w:t>121.593</w:t>
            </w:r>
          </w:p>
        </w:tc>
        <w:tc>
          <w:tcPr>
            <w:tcW w:w="870" w:type="pct"/>
            <w:tcBorders>
              <w:top w:val="nil"/>
              <w:left w:val="nil"/>
              <w:bottom w:val="nil"/>
              <w:right w:val="nil"/>
            </w:tcBorders>
            <w:vAlign w:val="center"/>
          </w:tcPr>
          <w:p w14:paraId="2B4D358D" w14:textId="6E1224BA" w:rsidR="00A46353" w:rsidRPr="008D21F0" w:rsidRDefault="00A46353" w:rsidP="00670EF5">
            <w:pPr>
              <w:spacing w:after="120"/>
              <w:jc w:val="right"/>
              <w:rPr>
                <w:rFonts w:ascii="Calibri" w:hAnsi="Calibri" w:cs="Calibri"/>
                <w:color w:val="000000"/>
                <w:sz w:val="16"/>
                <w:szCs w:val="16"/>
              </w:rPr>
            </w:pPr>
            <w:r>
              <w:rPr>
                <w:rFonts w:ascii="Calibri" w:hAnsi="Calibri" w:cs="Calibri"/>
                <w:color w:val="000000"/>
                <w:sz w:val="16"/>
                <w:szCs w:val="16"/>
              </w:rPr>
              <w:t>0</w:t>
            </w:r>
          </w:p>
        </w:tc>
      </w:tr>
      <w:tr w:rsidR="003233F5" w:rsidRPr="008D21F0" w14:paraId="3EB8C62C" w14:textId="77777777" w:rsidTr="00670EF5">
        <w:trPr>
          <w:trHeight w:hRule="exact" w:val="227"/>
        </w:trPr>
        <w:tc>
          <w:tcPr>
            <w:tcW w:w="1116" w:type="pct"/>
            <w:tcBorders>
              <w:top w:val="nil"/>
              <w:left w:val="nil"/>
              <w:bottom w:val="nil"/>
              <w:right w:val="nil"/>
            </w:tcBorders>
            <w:shd w:val="clear" w:color="auto" w:fill="auto"/>
            <w:noWrap/>
            <w:vAlign w:val="center"/>
            <w:hideMark/>
          </w:tcPr>
          <w:p w14:paraId="4C9597F1" w14:textId="6FCCEB2C" w:rsidR="003233F5" w:rsidRPr="008D21F0" w:rsidRDefault="003233F5" w:rsidP="00670EF5">
            <w:pPr>
              <w:spacing w:after="120"/>
              <w:rPr>
                <w:rFonts w:ascii="Calibri" w:hAnsi="Calibri" w:cs="Calibri"/>
                <w:color w:val="000000"/>
                <w:sz w:val="16"/>
                <w:szCs w:val="16"/>
              </w:rPr>
            </w:pPr>
            <w:r w:rsidRPr="008D21F0">
              <w:rPr>
                <w:rFonts w:ascii="Calibri" w:hAnsi="Calibri" w:cs="Calibri"/>
                <w:color w:val="000000"/>
                <w:sz w:val="16"/>
                <w:szCs w:val="16"/>
              </w:rPr>
              <w:t>Principal</w:t>
            </w:r>
            <w:r w:rsidR="00A46353">
              <w:rPr>
                <w:rFonts w:ascii="Calibri" w:hAnsi="Calibri" w:cs="Calibri"/>
                <w:color w:val="000000"/>
                <w:sz w:val="16"/>
                <w:szCs w:val="16"/>
              </w:rPr>
              <w:t xml:space="preserve"> (Entradas)</w:t>
            </w:r>
          </w:p>
        </w:tc>
        <w:tc>
          <w:tcPr>
            <w:tcW w:w="2133" w:type="pct"/>
            <w:tcBorders>
              <w:top w:val="nil"/>
              <w:left w:val="nil"/>
              <w:bottom w:val="nil"/>
              <w:right w:val="nil"/>
            </w:tcBorders>
            <w:shd w:val="clear" w:color="auto" w:fill="auto"/>
            <w:noWrap/>
            <w:vAlign w:val="center"/>
          </w:tcPr>
          <w:p w14:paraId="21F2DDB5" w14:textId="77777777" w:rsidR="003233F5" w:rsidRPr="008D21F0" w:rsidRDefault="003233F5" w:rsidP="00670EF5">
            <w:pPr>
              <w:spacing w:after="120"/>
              <w:jc w:val="right"/>
              <w:rPr>
                <w:rFonts w:ascii="Calibri" w:hAnsi="Calibri" w:cs="Calibri"/>
                <w:color w:val="000000"/>
                <w:sz w:val="16"/>
                <w:szCs w:val="16"/>
              </w:rPr>
            </w:pPr>
          </w:p>
        </w:tc>
        <w:tc>
          <w:tcPr>
            <w:tcW w:w="880" w:type="pct"/>
            <w:tcBorders>
              <w:top w:val="nil"/>
              <w:left w:val="nil"/>
              <w:bottom w:val="nil"/>
              <w:right w:val="nil"/>
            </w:tcBorders>
            <w:shd w:val="clear" w:color="auto" w:fill="auto"/>
            <w:vAlign w:val="center"/>
          </w:tcPr>
          <w:p w14:paraId="7D302478" w14:textId="10C7F2B9" w:rsidR="003233F5" w:rsidRPr="008D21F0" w:rsidRDefault="00A46353" w:rsidP="00670EF5">
            <w:pPr>
              <w:spacing w:after="120"/>
              <w:jc w:val="right"/>
              <w:rPr>
                <w:rFonts w:ascii="Calibri" w:hAnsi="Calibri" w:cs="Calibri"/>
                <w:color w:val="000000"/>
                <w:sz w:val="16"/>
                <w:szCs w:val="16"/>
              </w:rPr>
            </w:pPr>
            <w:r>
              <w:rPr>
                <w:rFonts w:ascii="Calibri" w:hAnsi="Calibri" w:cs="Calibri"/>
                <w:color w:val="000000"/>
                <w:sz w:val="16"/>
                <w:szCs w:val="16"/>
              </w:rPr>
              <w:t>0</w:t>
            </w:r>
          </w:p>
        </w:tc>
        <w:tc>
          <w:tcPr>
            <w:tcW w:w="870" w:type="pct"/>
            <w:tcBorders>
              <w:top w:val="nil"/>
              <w:left w:val="nil"/>
              <w:bottom w:val="nil"/>
              <w:right w:val="nil"/>
            </w:tcBorders>
            <w:vAlign w:val="center"/>
          </w:tcPr>
          <w:p w14:paraId="3AF406E1" w14:textId="7933FA3C" w:rsidR="003233F5" w:rsidRPr="008D21F0" w:rsidRDefault="003233F5" w:rsidP="00670EF5">
            <w:pPr>
              <w:spacing w:after="120"/>
              <w:jc w:val="right"/>
              <w:rPr>
                <w:rFonts w:ascii="Calibri" w:hAnsi="Calibri" w:cs="Calibri"/>
                <w:color w:val="000000"/>
                <w:sz w:val="16"/>
                <w:szCs w:val="16"/>
              </w:rPr>
            </w:pPr>
            <w:r w:rsidRPr="008D21F0">
              <w:rPr>
                <w:rFonts w:ascii="Calibri" w:hAnsi="Calibri" w:cs="Calibri"/>
                <w:color w:val="000000"/>
                <w:sz w:val="16"/>
                <w:szCs w:val="16"/>
              </w:rPr>
              <w:t>121.593</w:t>
            </w:r>
          </w:p>
        </w:tc>
      </w:tr>
      <w:tr w:rsidR="003233F5" w:rsidRPr="008D21F0" w14:paraId="48D500C9" w14:textId="77777777" w:rsidTr="00670EF5">
        <w:trPr>
          <w:trHeight w:hRule="exact" w:val="227"/>
        </w:trPr>
        <w:tc>
          <w:tcPr>
            <w:tcW w:w="1116" w:type="pct"/>
            <w:tcBorders>
              <w:top w:val="nil"/>
              <w:left w:val="nil"/>
              <w:bottom w:val="nil"/>
              <w:right w:val="nil"/>
            </w:tcBorders>
            <w:shd w:val="clear" w:color="auto" w:fill="auto"/>
            <w:noWrap/>
            <w:vAlign w:val="center"/>
            <w:hideMark/>
          </w:tcPr>
          <w:p w14:paraId="5197570E" w14:textId="77777777" w:rsidR="003233F5" w:rsidRPr="008D21F0" w:rsidRDefault="003233F5" w:rsidP="00670EF5">
            <w:pPr>
              <w:spacing w:after="120"/>
              <w:rPr>
                <w:rFonts w:ascii="Calibri" w:hAnsi="Calibri" w:cs="Calibri"/>
                <w:color w:val="000000"/>
                <w:sz w:val="16"/>
                <w:szCs w:val="16"/>
              </w:rPr>
            </w:pPr>
            <w:r w:rsidRPr="008D21F0">
              <w:rPr>
                <w:rFonts w:ascii="Calibri" w:hAnsi="Calibri" w:cs="Calibri"/>
                <w:color w:val="000000"/>
                <w:sz w:val="16"/>
                <w:szCs w:val="16"/>
              </w:rPr>
              <w:t>Atualização Monetária</w:t>
            </w:r>
          </w:p>
        </w:tc>
        <w:tc>
          <w:tcPr>
            <w:tcW w:w="2133" w:type="pct"/>
            <w:tcBorders>
              <w:top w:val="nil"/>
              <w:left w:val="nil"/>
              <w:bottom w:val="nil"/>
              <w:right w:val="nil"/>
            </w:tcBorders>
            <w:shd w:val="clear" w:color="auto" w:fill="auto"/>
            <w:noWrap/>
            <w:vAlign w:val="center"/>
          </w:tcPr>
          <w:p w14:paraId="35F3A275" w14:textId="77777777" w:rsidR="003233F5" w:rsidRPr="008D21F0" w:rsidRDefault="003233F5" w:rsidP="00670EF5">
            <w:pPr>
              <w:spacing w:after="120"/>
              <w:jc w:val="right"/>
              <w:rPr>
                <w:rFonts w:ascii="Calibri" w:hAnsi="Calibri" w:cs="Calibri"/>
                <w:color w:val="000000"/>
                <w:sz w:val="16"/>
                <w:szCs w:val="16"/>
              </w:rPr>
            </w:pPr>
          </w:p>
        </w:tc>
        <w:tc>
          <w:tcPr>
            <w:tcW w:w="880" w:type="pct"/>
            <w:tcBorders>
              <w:top w:val="nil"/>
              <w:left w:val="nil"/>
              <w:bottom w:val="nil"/>
              <w:right w:val="nil"/>
            </w:tcBorders>
            <w:shd w:val="clear" w:color="auto" w:fill="auto"/>
            <w:vAlign w:val="center"/>
          </w:tcPr>
          <w:p w14:paraId="5EAC2B55" w14:textId="69C10AD9" w:rsidR="003233F5" w:rsidRPr="008D21F0" w:rsidRDefault="007B5325" w:rsidP="00670EF5">
            <w:pPr>
              <w:spacing w:after="120"/>
              <w:jc w:val="right"/>
              <w:rPr>
                <w:rFonts w:ascii="Calibri" w:hAnsi="Calibri" w:cs="Calibri"/>
                <w:color w:val="000000"/>
                <w:sz w:val="16"/>
                <w:szCs w:val="16"/>
              </w:rPr>
            </w:pPr>
            <w:r>
              <w:rPr>
                <w:rFonts w:ascii="Calibri" w:hAnsi="Calibri" w:cs="Calibri"/>
                <w:color w:val="000000"/>
                <w:sz w:val="16"/>
                <w:szCs w:val="16"/>
              </w:rPr>
              <w:t>5.06</w:t>
            </w:r>
            <w:r w:rsidR="006C3AB1">
              <w:rPr>
                <w:rFonts w:ascii="Calibri" w:hAnsi="Calibri" w:cs="Calibri"/>
                <w:color w:val="000000"/>
                <w:sz w:val="16"/>
                <w:szCs w:val="16"/>
              </w:rPr>
              <w:t>1</w:t>
            </w:r>
          </w:p>
        </w:tc>
        <w:tc>
          <w:tcPr>
            <w:tcW w:w="870" w:type="pct"/>
            <w:tcBorders>
              <w:top w:val="nil"/>
              <w:left w:val="nil"/>
              <w:bottom w:val="nil"/>
              <w:right w:val="nil"/>
            </w:tcBorders>
            <w:vAlign w:val="center"/>
          </w:tcPr>
          <w:p w14:paraId="0E074B00" w14:textId="51EDBBBA" w:rsidR="003233F5" w:rsidRPr="008D21F0" w:rsidRDefault="003233F5" w:rsidP="00670EF5">
            <w:pPr>
              <w:spacing w:after="120"/>
              <w:jc w:val="right"/>
              <w:rPr>
                <w:rFonts w:ascii="Calibri" w:hAnsi="Calibri" w:cs="Calibri"/>
                <w:color w:val="000000"/>
                <w:sz w:val="16"/>
                <w:szCs w:val="16"/>
              </w:rPr>
            </w:pPr>
            <w:r w:rsidRPr="008D21F0">
              <w:rPr>
                <w:rFonts w:ascii="Calibri" w:hAnsi="Calibri" w:cs="Calibri"/>
                <w:color w:val="000000"/>
                <w:sz w:val="16"/>
                <w:szCs w:val="16"/>
              </w:rPr>
              <w:t>0</w:t>
            </w:r>
          </w:p>
        </w:tc>
      </w:tr>
      <w:tr w:rsidR="003233F5" w:rsidRPr="008D21F0" w14:paraId="79C9F314" w14:textId="77777777" w:rsidTr="00670EF5">
        <w:trPr>
          <w:trHeight w:hRule="exact" w:val="227"/>
        </w:trPr>
        <w:tc>
          <w:tcPr>
            <w:tcW w:w="1116" w:type="pct"/>
            <w:tcBorders>
              <w:top w:val="single" w:sz="8" w:space="0" w:color="auto"/>
              <w:left w:val="nil"/>
              <w:bottom w:val="single" w:sz="8" w:space="0" w:color="auto"/>
              <w:right w:val="nil"/>
            </w:tcBorders>
            <w:shd w:val="clear" w:color="auto" w:fill="auto"/>
            <w:noWrap/>
            <w:vAlign w:val="center"/>
            <w:hideMark/>
          </w:tcPr>
          <w:p w14:paraId="2E8C0B4B" w14:textId="3BB37166" w:rsidR="003233F5" w:rsidRPr="008D21F0" w:rsidRDefault="003233F5" w:rsidP="00670EF5">
            <w:pPr>
              <w:spacing w:after="120"/>
              <w:rPr>
                <w:rFonts w:ascii="Calibri" w:hAnsi="Calibri" w:cs="Calibri"/>
                <w:b/>
                <w:bCs/>
                <w:color w:val="000000"/>
                <w:sz w:val="16"/>
                <w:szCs w:val="16"/>
              </w:rPr>
            </w:pPr>
            <w:r w:rsidRPr="008D21F0">
              <w:rPr>
                <w:rFonts w:ascii="Calibri" w:hAnsi="Calibri" w:cs="Calibri"/>
                <w:b/>
                <w:bCs/>
                <w:color w:val="000000"/>
                <w:sz w:val="16"/>
                <w:szCs w:val="16"/>
              </w:rPr>
              <w:t xml:space="preserve">SALDO </w:t>
            </w:r>
          </w:p>
        </w:tc>
        <w:tc>
          <w:tcPr>
            <w:tcW w:w="2133" w:type="pct"/>
            <w:tcBorders>
              <w:top w:val="single" w:sz="8" w:space="0" w:color="auto"/>
              <w:left w:val="nil"/>
              <w:bottom w:val="single" w:sz="8" w:space="0" w:color="auto"/>
              <w:right w:val="nil"/>
            </w:tcBorders>
            <w:shd w:val="clear" w:color="auto" w:fill="auto"/>
            <w:noWrap/>
            <w:vAlign w:val="center"/>
          </w:tcPr>
          <w:p w14:paraId="4D9A01C7" w14:textId="77777777" w:rsidR="003233F5" w:rsidRPr="008D21F0" w:rsidRDefault="003233F5" w:rsidP="00670EF5">
            <w:pPr>
              <w:spacing w:after="120"/>
              <w:jc w:val="right"/>
              <w:rPr>
                <w:rFonts w:ascii="Calibri" w:hAnsi="Calibri" w:cs="Calibri"/>
                <w:b/>
                <w:bCs/>
                <w:color w:val="000000"/>
                <w:sz w:val="16"/>
                <w:szCs w:val="16"/>
              </w:rPr>
            </w:pPr>
          </w:p>
        </w:tc>
        <w:tc>
          <w:tcPr>
            <w:tcW w:w="880" w:type="pct"/>
            <w:tcBorders>
              <w:top w:val="single" w:sz="8" w:space="0" w:color="auto"/>
              <w:left w:val="nil"/>
              <w:bottom w:val="single" w:sz="8" w:space="0" w:color="auto"/>
              <w:right w:val="nil"/>
            </w:tcBorders>
            <w:shd w:val="clear" w:color="auto" w:fill="auto"/>
            <w:vAlign w:val="center"/>
          </w:tcPr>
          <w:p w14:paraId="28431EB7" w14:textId="18E75CF3" w:rsidR="003233F5" w:rsidRPr="008D21F0" w:rsidRDefault="007B5325" w:rsidP="00670EF5">
            <w:pPr>
              <w:spacing w:after="120"/>
              <w:jc w:val="right"/>
              <w:rPr>
                <w:rFonts w:ascii="Calibri" w:hAnsi="Calibri" w:cs="Calibri"/>
                <w:b/>
                <w:bCs/>
                <w:color w:val="000000"/>
                <w:sz w:val="16"/>
                <w:szCs w:val="16"/>
              </w:rPr>
            </w:pPr>
            <w:r>
              <w:rPr>
                <w:rFonts w:ascii="Calibri" w:hAnsi="Calibri" w:cs="Calibri"/>
                <w:b/>
                <w:bCs/>
                <w:color w:val="000000"/>
                <w:sz w:val="16"/>
                <w:szCs w:val="16"/>
              </w:rPr>
              <w:t>126.654</w:t>
            </w:r>
          </w:p>
        </w:tc>
        <w:tc>
          <w:tcPr>
            <w:tcW w:w="870" w:type="pct"/>
            <w:tcBorders>
              <w:top w:val="single" w:sz="8" w:space="0" w:color="auto"/>
              <w:left w:val="nil"/>
              <w:bottom w:val="single" w:sz="8" w:space="0" w:color="auto"/>
              <w:right w:val="nil"/>
            </w:tcBorders>
            <w:vAlign w:val="center"/>
          </w:tcPr>
          <w:p w14:paraId="31FE09C7" w14:textId="0ED8379D" w:rsidR="003233F5" w:rsidRPr="008D21F0" w:rsidRDefault="003233F5" w:rsidP="00670EF5">
            <w:pPr>
              <w:spacing w:after="120"/>
              <w:jc w:val="right"/>
              <w:rPr>
                <w:rFonts w:ascii="Calibri" w:hAnsi="Calibri" w:cs="Calibri"/>
                <w:b/>
                <w:bCs/>
                <w:color w:val="000000"/>
                <w:sz w:val="16"/>
                <w:szCs w:val="16"/>
              </w:rPr>
            </w:pPr>
            <w:r w:rsidRPr="008D21F0">
              <w:rPr>
                <w:rFonts w:ascii="Calibri" w:hAnsi="Calibri" w:cs="Calibri"/>
                <w:b/>
                <w:bCs/>
                <w:color w:val="000000"/>
                <w:sz w:val="16"/>
                <w:szCs w:val="16"/>
              </w:rPr>
              <w:t>121.593</w:t>
            </w:r>
          </w:p>
        </w:tc>
      </w:tr>
    </w:tbl>
    <w:p w14:paraId="54AB6C61" w14:textId="1708B244" w:rsidR="00783590" w:rsidRPr="008D21F0" w:rsidRDefault="00D22F5E" w:rsidP="000B3A75">
      <w:pPr>
        <w:pStyle w:val="Ttulo4"/>
        <w:tabs>
          <w:tab w:val="left" w:pos="0"/>
        </w:tabs>
        <w:spacing w:before="120" w:after="120" w:line="240" w:lineRule="auto"/>
        <w:rPr>
          <w:rFonts w:ascii="Calibri" w:hAnsi="Calibri" w:cs="Calibri"/>
          <w:bCs w:val="0"/>
          <w:sz w:val="22"/>
          <w:szCs w:val="22"/>
        </w:rPr>
      </w:pPr>
      <w:r w:rsidRPr="008D21F0">
        <w:rPr>
          <w:rFonts w:ascii="Calibri" w:hAnsi="Calibri" w:cs="Calibri"/>
          <w:bCs w:val="0"/>
          <w:sz w:val="22"/>
          <w:szCs w:val="22"/>
        </w:rPr>
        <w:t>NOTA 1</w:t>
      </w:r>
      <w:r w:rsidR="001A1B68" w:rsidRPr="008D21F0">
        <w:rPr>
          <w:rFonts w:ascii="Calibri" w:hAnsi="Calibri" w:cs="Calibri"/>
          <w:bCs w:val="0"/>
          <w:sz w:val="22"/>
          <w:szCs w:val="22"/>
        </w:rPr>
        <w:t>3</w:t>
      </w:r>
      <w:r w:rsidRPr="008D21F0">
        <w:rPr>
          <w:rFonts w:ascii="Calibri" w:hAnsi="Calibri" w:cs="Calibri"/>
          <w:bCs w:val="0"/>
          <w:sz w:val="22"/>
          <w:szCs w:val="22"/>
        </w:rPr>
        <w:t xml:space="preserve"> </w:t>
      </w:r>
      <w:r w:rsidR="00740478" w:rsidRPr="008D21F0">
        <w:rPr>
          <w:rFonts w:ascii="Calibri" w:hAnsi="Calibri" w:cs="Calibri"/>
          <w:bCs w:val="0"/>
          <w:sz w:val="22"/>
          <w:szCs w:val="22"/>
        </w:rPr>
        <w:t xml:space="preserve">– </w:t>
      </w:r>
      <w:r w:rsidR="00AB1E5E" w:rsidRPr="008D21F0">
        <w:rPr>
          <w:rFonts w:ascii="Calibri" w:hAnsi="Calibri" w:cs="Calibri"/>
          <w:bCs w:val="0"/>
          <w:sz w:val="22"/>
          <w:szCs w:val="22"/>
        </w:rPr>
        <w:t>RECEITA A DIFERIR</w:t>
      </w:r>
    </w:p>
    <w:p w14:paraId="18122557" w14:textId="6A77E413" w:rsidR="00E75123" w:rsidRPr="008D21F0" w:rsidRDefault="00E75123" w:rsidP="00937ED9">
      <w:pPr>
        <w:pStyle w:val="PargrafodaLista"/>
        <w:numPr>
          <w:ilvl w:val="0"/>
          <w:numId w:val="39"/>
        </w:numPr>
        <w:spacing w:after="120"/>
        <w:ind w:left="284" w:right="57" w:hanging="284"/>
        <w:jc w:val="both"/>
        <w:rPr>
          <w:rFonts w:ascii="Calibri" w:hAnsi="Calibri" w:cs="Calibri"/>
          <w:b/>
          <w:bCs/>
          <w:sz w:val="22"/>
          <w:szCs w:val="22"/>
        </w:rPr>
      </w:pPr>
      <w:r w:rsidRPr="008D21F0">
        <w:rPr>
          <w:rFonts w:ascii="Calibri" w:hAnsi="Calibri" w:cs="Calibri"/>
          <w:b/>
          <w:bCs/>
          <w:sz w:val="22"/>
          <w:szCs w:val="22"/>
        </w:rPr>
        <w:t>Receita a Diferir – Pátios e Terminais</w:t>
      </w:r>
    </w:p>
    <w:p w14:paraId="4F699BEE" w14:textId="0193A449" w:rsidR="00526F70" w:rsidRPr="008D21F0" w:rsidRDefault="00783590" w:rsidP="00937ED9">
      <w:pPr>
        <w:spacing w:after="120"/>
        <w:ind w:right="57"/>
        <w:jc w:val="both"/>
        <w:rPr>
          <w:rFonts w:ascii="Calibri" w:hAnsi="Calibri" w:cs="Calibri"/>
          <w:sz w:val="22"/>
          <w:szCs w:val="22"/>
        </w:rPr>
      </w:pPr>
      <w:r w:rsidRPr="008D21F0">
        <w:rPr>
          <w:rFonts w:ascii="Calibri" w:hAnsi="Calibri" w:cs="Calibri"/>
          <w:sz w:val="22"/>
          <w:szCs w:val="22"/>
        </w:rPr>
        <w:t xml:space="preserve">A conta </w:t>
      </w:r>
      <w:r w:rsidR="00AB1E5E" w:rsidRPr="008D21F0">
        <w:rPr>
          <w:rFonts w:ascii="Calibri" w:hAnsi="Calibri" w:cs="Calibri"/>
          <w:sz w:val="22"/>
          <w:szCs w:val="22"/>
        </w:rPr>
        <w:t>Receita a Diferir – Pátios e Terminais</w:t>
      </w:r>
      <w:r w:rsidRPr="008D21F0">
        <w:rPr>
          <w:rFonts w:ascii="Calibri" w:hAnsi="Calibri" w:cs="Calibri"/>
          <w:sz w:val="22"/>
          <w:szCs w:val="22"/>
        </w:rPr>
        <w:t xml:space="preserve"> expressa os valores </w:t>
      </w:r>
      <w:r w:rsidR="00AB1E5E" w:rsidRPr="008D21F0">
        <w:rPr>
          <w:rFonts w:ascii="Calibri" w:hAnsi="Calibri" w:cs="Calibri"/>
          <w:sz w:val="22"/>
          <w:szCs w:val="22"/>
        </w:rPr>
        <w:t>contratados</w:t>
      </w:r>
      <w:r w:rsidRPr="008D21F0">
        <w:rPr>
          <w:rFonts w:ascii="Calibri" w:hAnsi="Calibri" w:cs="Calibri"/>
          <w:sz w:val="22"/>
          <w:szCs w:val="22"/>
        </w:rPr>
        <w:t xml:space="preserve">, conforme contratos de Permissão </w:t>
      </w:r>
      <w:r w:rsidR="006E3EE4" w:rsidRPr="008D21F0">
        <w:rPr>
          <w:rFonts w:ascii="Calibri" w:hAnsi="Calibri" w:cs="Calibri"/>
          <w:sz w:val="22"/>
          <w:szCs w:val="22"/>
        </w:rPr>
        <w:t>para</w:t>
      </w:r>
      <w:r w:rsidRPr="008D21F0">
        <w:rPr>
          <w:rFonts w:ascii="Calibri" w:hAnsi="Calibri" w:cs="Calibri"/>
          <w:sz w:val="22"/>
          <w:szCs w:val="22"/>
        </w:rPr>
        <w:t xml:space="preserve"> Uso dos Pátios </w:t>
      </w:r>
      <w:r w:rsidR="00AB1E5E" w:rsidRPr="008D21F0">
        <w:rPr>
          <w:rFonts w:ascii="Calibri" w:hAnsi="Calibri" w:cs="Calibri"/>
          <w:sz w:val="22"/>
          <w:szCs w:val="22"/>
        </w:rPr>
        <w:t xml:space="preserve">e Terminais </w:t>
      </w:r>
      <w:r w:rsidRPr="008D21F0">
        <w:rPr>
          <w:rFonts w:ascii="Calibri" w:hAnsi="Calibri" w:cs="Calibri"/>
          <w:sz w:val="22"/>
          <w:szCs w:val="22"/>
        </w:rPr>
        <w:t xml:space="preserve">da VALEC. Como são de longo prazo (15 anos), em atendimento ao regime de competência, os </w:t>
      </w:r>
      <w:r w:rsidR="00AB1E5E" w:rsidRPr="008D21F0">
        <w:rPr>
          <w:rFonts w:ascii="Calibri" w:hAnsi="Calibri" w:cs="Calibri"/>
          <w:sz w:val="22"/>
          <w:szCs w:val="22"/>
        </w:rPr>
        <w:t>contratos</w:t>
      </w:r>
      <w:r w:rsidRPr="008D21F0">
        <w:rPr>
          <w:rFonts w:ascii="Calibri" w:hAnsi="Calibri" w:cs="Calibri"/>
          <w:sz w:val="22"/>
          <w:szCs w:val="22"/>
        </w:rPr>
        <w:t xml:space="preserve"> são </w:t>
      </w:r>
      <w:r w:rsidR="00AB1E5E" w:rsidRPr="008D21F0">
        <w:rPr>
          <w:rFonts w:ascii="Calibri" w:hAnsi="Calibri" w:cs="Calibri"/>
          <w:sz w:val="22"/>
          <w:szCs w:val="22"/>
        </w:rPr>
        <w:t>reconhecidos</w:t>
      </w:r>
      <w:r w:rsidRPr="008D21F0">
        <w:rPr>
          <w:rFonts w:ascii="Calibri" w:hAnsi="Calibri" w:cs="Calibri"/>
          <w:sz w:val="22"/>
          <w:szCs w:val="22"/>
        </w:rPr>
        <w:t xml:space="preserve"> como </w:t>
      </w:r>
      <w:r w:rsidR="00AB1E5E" w:rsidRPr="008D21F0">
        <w:rPr>
          <w:rFonts w:ascii="Calibri" w:hAnsi="Calibri" w:cs="Calibri"/>
          <w:sz w:val="22"/>
          <w:szCs w:val="22"/>
        </w:rPr>
        <w:t>Receita a Diferir,</w:t>
      </w:r>
      <w:r w:rsidRPr="008D21F0">
        <w:rPr>
          <w:rFonts w:ascii="Calibri" w:hAnsi="Calibri" w:cs="Calibri"/>
          <w:sz w:val="22"/>
          <w:szCs w:val="22"/>
        </w:rPr>
        <w:t xml:space="preserve"> no passivo</w:t>
      </w:r>
      <w:r w:rsidR="00AB1E5E" w:rsidRPr="008D21F0">
        <w:rPr>
          <w:rFonts w:ascii="Calibri" w:hAnsi="Calibri" w:cs="Calibri"/>
          <w:sz w:val="22"/>
          <w:szCs w:val="22"/>
        </w:rPr>
        <w:t>,</w:t>
      </w:r>
      <w:r w:rsidRPr="008D21F0">
        <w:rPr>
          <w:rFonts w:ascii="Calibri" w:hAnsi="Calibri" w:cs="Calibri"/>
          <w:sz w:val="22"/>
          <w:szCs w:val="22"/>
        </w:rPr>
        <w:t xml:space="preserve"> para </w:t>
      </w:r>
      <w:r w:rsidR="00AB1E5E" w:rsidRPr="008D21F0">
        <w:rPr>
          <w:rFonts w:ascii="Calibri" w:hAnsi="Calibri" w:cs="Calibri"/>
          <w:sz w:val="22"/>
          <w:szCs w:val="22"/>
        </w:rPr>
        <w:t>diferimento</w:t>
      </w:r>
      <w:r w:rsidRPr="008D21F0">
        <w:rPr>
          <w:rFonts w:ascii="Calibri" w:hAnsi="Calibri" w:cs="Calibri"/>
          <w:sz w:val="22"/>
          <w:szCs w:val="22"/>
        </w:rPr>
        <w:t xml:space="preserve"> mensal no resultado (receita operacional) conforme o prazo contratual. </w:t>
      </w:r>
    </w:p>
    <w:p w14:paraId="71EA49C2" w14:textId="4AE6DF08" w:rsidR="00D24F65" w:rsidRDefault="00D24F65" w:rsidP="00937ED9">
      <w:pPr>
        <w:spacing w:after="120"/>
        <w:ind w:right="57"/>
        <w:jc w:val="both"/>
        <w:rPr>
          <w:rFonts w:ascii="Calibri" w:hAnsi="Calibri" w:cs="Calibri"/>
          <w:sz w:val="22"/>
          <w:szCs w:val="22"/>
        </w:rPr>
      </w:pPr>
      <w:r>
        <w:rPr>
          <w:rFonts w:ascii="Calibri" w:hAnsi="Calibri" w:cs="Calibri"/>
          <w:sz w:val="22"/>
          <w:szCs w:val="22"/>
        </w:rPr>
        <w:t>Até o 2</w:t>
      </w:r>
      <w:r w:rsidR="008C43E7">
        <w:rPr>
          <w:rFonts w:ascii="Calibri" w:hAnsi="Calibri" w:cs="Calibri"/>
          <w:sz w:val="22"/>
          <w:szCs w:val="22"/>
        </w:rPr>
        <w:t>º trimestre de 2022</w:t>
      </w:r>
      <w:r w:rsidR="003364DA" w:rsidRPr="008D21F0">
        <w:rPr>
          <w:rFonts w:ascii="Calibri" w:hAnsi="Calibri" w:cs="Calibri"/>
          <w:sz w:val="22"/>
          <w:szCs w:val="22"/>
        </w:rPr>
        <w:t xml:space="preserve">, </w:t>
      </w:r>
      <w:r w:rsidR="00136016" w:rsidRPr="008D21F0">
        <w:rPr>
          <w:rFonts w:ascii="Calibri" w:hAnsi="Calibri" w:cs="Calibri"/>
          <w:sz w:val="22"/>
          <w:szCs w:val="22"/>
        </w:rPr>
        <w:t xml:space="preserve">as contas </w:t>
      </w:r>
      <w:r w:rsidR="00783590" w:rsidRPr="008D21F0">
        <w:rPr>
          <w:rFonts w:ascii="Calibri" w:hAnsi="Calibri" w:cs="Calibri"/>
          <w:sz w:val="22"/>
          <w:szCs w:val="22"/>
        </w:rPr>
        <w:t xml:space="preserve">de </w:t>
      </w:r>
      <w:r w:rsidR="00AB1E5E" w:rsidRPr="008D21F0">
        <w:rPr>
          <w:rFonts w:ascii="Calibri" w:hAnsi="Calibri" w:cs="Calibri"/>
          <w:sz w:val="22"/>
          <w:szCs w:val="22"/>
        </w:rPr>
        <w:t xml:space="preserve">Receita a Diferir – Pátios e Terminais, </w:t>
      </w:r>
      <w:r w:rsidR="00783590" w:rsidRPr="008D21F0">
        <w:rPr>
          <w:rFonts w:ascii="Calibri" w:hAnsi="Calibri" w:cs="Calibri"/>
          <w:sz w:val="22"/>
          <w:szCs w:val="22"/>
        </w:rPr>
        <w:t>de cu</w:t>
      </w:r>
      <w:r w:rsidR="00136016" w:rsidRPr="008D21F0">
        <w:rPr>
          <w:rFonts w:ascii="Calibri" w:hAnsi="Calibri" w:cs="Calibri"/>
          <w:sz w:val="22"/>
          <w:szCs w:val="22"/>
        </w:rPr>
        <w:t>rto e longo prazo</w:t>
      </w:r>
      <w:r w:rsidR="00AB1E5E" w:rsidRPr="008D21F0">
        <w:rPr>
          <w:rFonts w:ascii="Calibri" w:hAnsi="Calibri" w:cs="Calibri"/>
          <w:sz w:val="22"/>
          <w:szCs w:val="22"/>
        </w:rPr>
        <w:t>,</w:t>
      </w:r>
      <w:r w:rsidR="00136016" w:rsidRPr="008D21F0">
        <w:rPr>
          <w:rFonts w:ascii="Calibri" w:hAnsi="Calibri" w:cs="Calibri"/>
          <w:sz w:val="22"/>
          <w:szCs w:val="22"/>
        </w:rPr>
        <w:t xml:space="preserve"> apresentaram o</w:t>
      </w:r>
      <w:r w:rsidR="004706C7" w:rsidRPr="008D21F0">
        <w:rPr>
          <w:rFonts w:ascii="Calibri" w:hAnsi="Calibri" w:cs="Calibri"/>
          <w:sz w:val="22"/>
          <w:szCs w:val="22"/>
        </w:rPr>
        <w:t>s</w:t>
      </w:r>
      <w:r w:rsidR="00783590" w:rsidRPr="008D21F0">
        <w:rPr>
          <w:rFonts w:ascii="Calibri" w:hAnsi="Calibri" w:cs="Calibri"/>
          <w:sz w:val="22"/>
          <w:szCs w:val="22"/>
        </w:rPr>
        <w:t xml:space="preserve"> seguinte</w:t>
      </w:r>
      <w:r w:rsidR="004706C7" w:rsidRPr="008D21F0">
        <w:rPr>
          <w:rFonts w:ascii="Calibri" w:hAnsi="Calibri" w:cs="Calibri"/>
          <w:sz w:val="22"/>
          <w:szCs w:val="22"/>
        </w:rPr>
        <w:t>s</w:t>
      </w:r>
      <w:r w:rsidR="00783590" w:rsidRPr="008D21F0">
        <w:rPr>
          <w:rFonts w:ascii="Calibri" w:hAnsi="Calibri" w:cs="Calibri"/>
          <w:sz w:val="22"/>
          <w:szCs w:val="22"/>
        </w:rPr>
        <w:t xml:space="preserve"> </w:t>
      </w:r>
      <w:r w:rsidR="00AB1E5E" w:rsidRPr="008D21F0">
        <w:rPr>
          <w:rFonts w:ascii="Calibri" w:hAnsi="Calibri" w:cs="Calibri"/>
          <w:sz w:val="22"/>
          <w:szCs w:val="22"/>
        </w:rPr>
        <w:t>movimentos:</w:t>
      </w:r>
    </w:p>
    <w:tbl>
      <w:tblPr>
        <w:tblW w:w="5000" w:type="pct"/>
        <w:tblCellMar>
          <w:left w:w="70" w:type="dxa"/>
          <w:right w:w="70" w:type="dxa"/>
        </w:tblCellMar>
        <w:tblLook w:val="04A0" w:firstRow="1" w:lastRow="0" w:firstColumn="1" w:lastColumn="0" w:noHBand="0" w:noVBand="1"/>
      </w:tblPr>
      <w:tblGrid>
        <w:gridCol w:w="5801"/>
        <w:gridCol w:w="2326"/>
        <w:gridCol w:w="1170"/>
        <w:gridCol w:w="1170"/>
      </w:tblGrid>
      <w:tr w:rsidR="00925A0D" w:rsidRPr="008D21F0" w14:paraId="7ABD9A4D" w14:textId="77777777" w:rsidTr="004866D6">
        <w:trPr>
          <w:trHeight w:hRule="exact" w:val="315"/>
        </w:trPr>
        <w:tc>
          <w:tcPr>
            <w:tcW w:w="3882" w:type="pct"/>
            <w:gridSpan w:val="2"/>
            <w:tcBorders>
              <w:top w:val="single" w:sz="8" w:space="0" w:color="auto"/>
              <w:left w:val="nil"/>
              <w:bottom w:val="single" w:sz="8" w:space="0" w:color="auto"/>
              <w:right w:val="nil"/>
            </w:tcBorders>
            <w:shd w:val="clear" w:color="auto" w:fill="auto"/>
            <w:noWrap/>
            <w:vAlign w:val="center"/>
            <w:hideMark/>
          </w:tcPr>
          <w:p w14:paraId="4421DF89" w14:textId="77777777" w:rsidR="00925A0D" w:rsidRPr="008D21F0" w:rsidRDefault="00925A0D">
            <w:pPr>
              <w:rPr>
                <w:rFonts w:ascii="Calibri" w:hAnsi="Calibri" w:cs="Calibri"/>
                <w:b/>
                <w:bCs/>
                <w:color w:val="000000"/>
                <w:sz w:val="16"/>
                <w:szCs w:val="16"/>
              </w:rPr>
            </w:pPr>
            <w:r w:rsidRPr="008D21F0">
              <w:rPr>
                <w:rFonts w:ascii="Calibri" w:hAnsi="Calibri" w:cs="Calibri"/>
                <w:b/>
                <w:bCs/>
                <w:color w:val="000000"/>
                <w:sz w:val="16"/>
                <w:szCs w:val="16"/>
              </w:rPr>
              <w:t xml:space="preserve">RECEITA A DIFERIR – PÁTIOS E TERMINAIS </w:t>
            </w:r>
          </w:p>
        </w:tc>
        <w:tc>
          <w:tcPr>
            <w:tcW w:w="559" w:type="pct"/>
            <w:tcBorders>
              <w:top w:val="single" w:sz="8" w:space="0" w:color="auto"/>
              <w:left w:val="nil"/>
              <w:bottom w:val="single" w:sz="8" w:space="0" w:color="auto"/>
              <w:right w:val="nil"/>
            </w:tcBorders>
            <w:shd w:val="clear" w:color="auto" w:fill="auto"/>
            <w:noWrap/>
            <w:vAlign w:val="center"/>
            <w:hideMark/>
          </w:tcPr>
          <w:p w14:paraId="628958FE" w14:textId="58D6A309" w:rsidR="00925A0D" w:rsidRPr="008D21F0" w:rsidRDefault="00925A0D">
            <w:pPr>
              <w:jc w:val="right"/>
              <w:rPr>
                <w:rFonts w:ascii="Calibri" w:hAnsi="Calibri" w:cs="Calibri"/>
                <w:b/>
                <w:bCs/>
                <w:color w:val="000000"/>
                <w:sz w:val="16"/>
                <w:szCs w:val="16"/>
              </w:rPr>
            </w:pPr>
            <w:r w:rsidRPr="008D21F0">
              <w:rPr>
                <w:rFonts w:ascii="Calibri" w:hAnsi="Calibri" w:cs="Calibri"/>
                <w:b/>
                <w:bCs/>
                <w:color w:val="000000"/>
                <w:sz w:val="16"/>
                <w:szCs w:val="16"/>
              </w:rPr>
              <w:t>3</w:t>
            </w:r>
            <w:r w:rsidR="00D24F65">
              <w:rPr>
                <w:rFonts w:ascii="Calibri" w:hAnsi="Calibri" w:cs="Calibri"/>
                <w:b/>
                <w:bCs/>
                <w:color w:val="000000"/>
                <w:sz w:val="16"/>
                <w:szCs w:val="16"/>
              </w:rPr>
              <w:t>0</w:t>
            </w:r>
            <w:r w:rsidRPr="008D21F0">
              <w:rPr>
                <w:rFonts w:ascii="Calibri" w:hAnsi="Calibri" w:cs="Calibri"/>
                <w:b/>
                <w:bCs/>
                <w:color w:val="000000"/>
                <w:sz w:val="16"/>
                <w:szCs w:val="16"/>
              </w:rPr>
              <w:t>/</w:t>
            </w:r>
            <w:r w:rsidR="004866D6">
              <w:rPr>
                <w:rFonts w:ascii="Calibri" w:hAnsi="Calibri" w:cs="Calibri"/>
                <w:b/>
                <w:bCs/>
                <w:color w:val="000000"/>
                <w:sz w:val="16"/>
                <w:szCs w:val="16"/>
              </w:rPr>
              <w:t>0</w:t>
            </w:r>
            <w:r w:rsidR="00D24F65">
              <w:rPr>
                <w:rFonts w:ascii="Calibri" w:hAnsi="Calibri" w:cs="Calibri"/>
                <w:b/>
                <w:bCs/>
                <w:color w:val="000000"/>
                <w:sz w:val="16"/>
                <w:szCs w:val="16"/>
              </w:rPr>
              <w:t>6</w:t>
            </w:r>
            <w:r w:rsidRPr="008D21F0">
              <w:rPr>
                <w:rFonts w:ascii="Calibri" w:hAnsi="Calibri" w:cs="Calibri"/>
                <w:b/>
                <w:bCs/>
                <w:color w:val="000000"/>
                <w:sz w:val="16"/>
                <w:szCs w:val="16"/>
              </w:rPr>
              <w:t>/202</w:t>
            </w:r>
            <w:r w:rsidR="004866D6">
              <w:rPr>
                <w:rFonts w:ascii="Calibri" w:hAnsi="Calibri" w:cs="Calibri"/>
                <w:b/>
                <w:bCs/>
                <w:color w:val="000000"/>
                <w:sz w:val="16"/>
                <w:szCs w:val="16"/>
              </w:rPr>
              <w:t>2</w:t>
            </w:r>
          </w:p>
        </w:tc>
        <w:tc>
          <w:tcPr>
            <w:tcW w:w="559" w:type="pct"/>
            <w:tcBorders>
              <w:top w:val="single" w:sz="8" w:space="0" w:color="auto"/>
              <w:left w:val="nil"/>
              <w:bottom w:val="single" w:sz="8" w:space="0" w:color="auto"/>
              <w:right w:val="nil"/>
            </w:tcBorders>
            <w:shd w:val="clear" w:color="auto" w:fill="auto"/>
            <w:vAlign w:val="center"/>
            <w:hideMark/>
          </w:tcPr>
          <w:p w14:paraId="4A27FA64" w14:textId="318DE7F6" w:rsidR="00925A0D" w:rsidRPr="008D21F0" w:rsidRDefault="00925A0D">
            <w:pPr>
              <w:jc w:val="right"/>
              <w:rPr>
                <w:rFonts w:ascii="Calibri" w:hAnsi="Calibri" w:cs="Calibri"/>
                <w:b/>
                <w:bCs/>
                <w:color w:val="000000"/>
                <w:sz w:val="16"/>
                <w:szCs w:val="16"/>
              </w:rPr>
            </w:pPr>
            <w:r w:rsidRPr="008D21F0">
              <w:rPr>
                <w:rFonts w:ascii="Calibri" w:hAnsi="Calibri" w:cs="Calibri"/>
                <w:b/>
                <w:bCs/>
                <w:color w:val="000000"/>
                <w:sz w:val="16"/>
                <w:szCs w:val="16"/>
              </w:rPr>
              <w:t>31/12/202</w:t>
            </w:r>
            <w:r w:rsidR="004866D6">
              <w:rPr>
                <w:rFonts w:ascii="Calibri" w:hAnsi="Calibri" w:cs="Calibri"/>
                <w:b/>
                <w:bCs/>
                <w:color w:val="000000"/>
                <w:sz w:val="16"/>
                <w:szCs w:val="16"/>
              </w:rPr>
              <w:t>1</w:t>
            </w:r>
          </w:p>
        </w:tc>
      </w:tr>
      <w:tr w:rsidR="00925A0D" w:rsidRPr="008D21F0" w14:paraId="30102F53" w14:textId="77777777" w:rsidTr="004866D6">
        <w:trPr>
          <w:trHeight w:hRule="exact" w:val="300"/>
        </w:trPr>
        <w:tc>
          <w:tcPr>
            <w:tcW w:w="2771" w:type="pct"/>
            <w:tcBorders>
              <w:top w:val="nil"/>
              <w:left w:val="nil"/>
              <w:bottom w:val="nil"/>
              <w:right w:val="nil"/>
            </w:tcBorders>
            <w:shd w:val="clear" w:color="auto" w:fill="auto"/>
            <w:noWrap/>
            <w:vAlign w:val="center"/>
            <w:hideMark/>
          </w:tcPr>
          <w:p w14:paraId="56D58338" w14:textId="77777777" w:rsidR="00925A0D" w:rsidRPr="008D21F0" w:rsidRDefault="00925A0D">
            <w:pPr>
              <w:rPr>
                <w:rFonts w:ascii="Calibri" w:hAnsi="Calibri" w:cs="Calibri"/>
                <w:color w:val="000000"/>
                <w:sz w:val="16"/>
                <w:szCs w:val="16"/>
              </w:rPr>
            </w:pPr>
            <w:r w:rsidRPr="008D21F0">
              <w:rPr>
                <w:rFonts w:ascii="Calibri" w:hAnsi="Calibri" w:cs="Calibri"/>
                <w:color w:val="000000"/>
                <w:sz w:val="16"/>
                <w:szCs w:val="16"/>
              </w:rPr>
              <w:t xml:space="preserve">Saldo anterior </w:t>
            </w:r>
          </w:p>
        </w:tc>
        <w:tc>
          <w:tcPr>
            <w:tcW w:w="1111" w:type="pct"/>
            <w:tcBorders>
              <w:top w:val="nil"/>
              <w:left w:val="nil"/>
              <w:bottom w:val="nil"/>
              <w:right w:val="nil"/>
            </w:tcBorders>
            <w:shd w:val="clear" w:color="auto" w:fill="auto"/>
            <w:noWrap/>
            <w:vAlign w:val="center"/>
            <w:hideMark/>
          </w:tcPr>
          <w:p w14:paraId="5817CFF0" w14:textId="77777777" w:rsidR="00925A0D" w:rsidRPr="008D21F0" w:rsidRDefault="00925A0D">
            <w:pPr>
              <w:rPr>
                <w:rFonts w:ascii="Calibri" w:hAnsi="Calibri" w:cs="Calibri"/>
                <w:color w:val="000000"/>
                <w:sz w:val="16"/>
                <w:szCs w:val="16"/>
              </w:rPr>
            </w:pPr>
          </w:p>
        </w:tc>
        <w:tc>
          <w:tcPr>
            <w:tcW w:w="559" w:type="pct"/>
            <w:tcBorders>
              <w:top w:val="nil"/>
              <w:left w:val="nil"/>
              <w:bottom w:val="nil"/>
              <w:right w:val="nil"/>
            </w:tcBorders>
            <w:shd w:val="clear" w:color="auto" w:fill="auto"/>
            <w:noWrap/>
            <w:vAlign w:val="center"/>
            <w:hideMark/>
          </w:tcPr>
          <w:p w14:paraId="249106CD" w14:textId="6117FE84" w:rsidR="00925A0D" w:rsidRPr="008D21F0" w:rsidRDefault="004866D6">
            <w:pPr>
              <w:jc w:val="right"/>
              <w:rPr>
                <w:rFonts w:ascii="Calibri" w:hAnsi="Calibri" w:cs="Calibri"/>
                <w:color w:val="000000"/>
                <w:sz w:val="16"/>
                <w:szCs w:val="16"/>
              </w:rPr>
            </w:pPr>
            <w:r w:rsidRPr="008D21F0">
              <w:rPr>
                <w:rFonts w:ascii="Calibri" w:hAnsi="Calibri" w:cs="Calibri"/>
                <w:b/>
                <w:bCs/>
                <w:color w:val="000000"/>
                <w:sz w:val="16"/>
                <w:szCs w:val="16"/>
              </w:rPr>
              <w:t>36.363.102</w:t>
            </w:r>
          </w:p>
        </w:tc>
        <w:tc>
          <w:tcPr>
            <w:tcW w:w="559" w:type="pct"/>
            <w:tcBorders>
              <w:top w:val="nil"/>
              <w:left w:val="nil"/>
              <w:bottom w:val="nil"/>
              <w:right w:val="nil"/>
            </w:tcBorders>
            <w:shd w:val="clear" w:color="auto" w:fill="auto"/>
            <w:vAlign w:val="center"/>
            <w:hideMark/>
          </w:tcPr>
          <w:p w14:paraId="6ABEAD6D" w14:textId="3D30E4DE" w:rsidR="00925A0D" w:rsidRPr="008D21F0" w:rsidRDefault="004866D6">
            <w:pPr>
              <w:jc w:val="right"/>
              <w:rPr>
                <w:rFonts w:ascii="Calibri" w:hAnsi="Calibri" w:cs="Calibri"/>
                <w:color w:val="000000"/>
                <w:sz w:val="16"/>
                <w:szCs w:val="16"/>
              </w:rPr>
            </w:pPr>
            <w:r w:rsidRPr="008D21F0">
              <w:rPr>
                <w:rFonts w:ascii="Calibri" w:hAnsi="Calibri" w:cs="Calibri"/>
                <w:color w:val="000000"/>
                <w:sz w:val="16"/>
                <w:szCs w:val="16"/>
              </w:rPr>
              <w:t>25.642.834</w:t>
            </w:r>
          </w:p>
        </w:tc>
      </w:tr>
      <w:tr w:rsidR="004866D6" w:rsidRPr="008D21F0" w14:paraId="15DA8902" w14:textId="77777777" w:rsidTr="004866D6">
        <w:trPr>
          <w:trHeight w:hRule="exact" w:val="300"/>
        </w:trPr>
        <w:tc>
          <w:tcPr>
            <w:tcW w:w="2771" w:type="pct"/>
            <w:tcBorders>
              <w:top w:val="nil"/>
              <w:left w:val="nil"/>
              <w:bottom w:val="nil"/>
              <w:right w:val="nil"/>
            </w:tcBorders>
            <w:shd w:val="clear" w:color="auto" w:fill="auto"/>
            <w:noWrap/>
            <w:vAlign w:val="center"/>
            <w:hideMark/>
          </w:tcPr>
          <w:p w14:paraId="77F45F3C" w14:textId="77777777" w:rsidR="004866D6" w:rsidRPr="008D21F0" w:rsidRDefault="004866D6" w:rsidP="004866D6">
            <w:pPr>
              <w:rPr>
                <w:rFonts w:ascii="Calibri" w:hAnsi="Calibri" w:cs="Calibri"/>
                <w:color w:val="000000"/>
                <w:sz w:val="16"/>
                <w:szCs w:val="16"/>
              </w:rPr>
            </w:pPr>
            <w:r w:rsidRPr="008D21F0">
              <w:rPr>
                <w:rFonts w:ascii="Calibri" w:hAnsi="Calibri" w:cs="Calibri"/>
                <w:color w:val="000000"/>
                <w:sz w:val="16"/>
                <w:szCs w:val="16"/>
              </w:rPr>
              <w:t>Novas permissões</w:t>
            </w:r>
          </w:p>
        </w:tc>
        <w:tc>
          <w:tcPr>
            <w:tcW w:w="1111" w:type="pct"/>
            <w:tcBorders>
              <w:top w:val="nil"/>
              <w:left w:val="nil"/>
              <w:bottom w:val="nil"/>
              <w:right w:val="nil"/>
            </w:tcBorders>
            <w:shd w:val="clear" w:color="auto" w:fill="auto"/>
            <w:noWrap/>
            <w:vAlign w:val="center"/>
            <w:hideMark/>
          </w:tcPr>
          <w:p w14:paraId="74F68A10" w14:textId="77777777" w:rsidR="004866D6" w:rsidRPr="008D21F0" w:rsidRDefault="004866D6" w:rsidP="004866D6">
            <w:pPr>
              <w:rPr>
                <w:rFonts w:ascii="Calibri" w:hAnsi="Calibri" w:cs="Calibri"/>
                <w:color w:val="000000"/>
                <w:sz w:val="16"/>
                <w:szCs w:val="16"/>
              </w:rPr>
            </w:pPr>
          </w:p>
        </w:tc>
        <w:tc>
          <w:tcPr>
            <w:tcW w:w="559" w:type="pct"/>
            <w:tcBorders>
              <w:top w:val="nil"/>
              <w:left w:val="nil"/>
              <w:bottom w:val="nil"/>
              <w:right w:val="nil"/>
            </w:tcBorders>
            <w:shd w:val="clear" w:color="auto" w:fill="auto"/>
            <w:noWrap/>
            <w:vAlign w:val="center"/>
            <w:hideMark/>
          </w:tcPr>
          <w:p w14:paraId="311B7F06" w14:textId="431D6CD2" w:rsidR="004866D6" w:rsidRPr="008D21F0" w:rsidRDefault="00FA66E4" w:rsidP="004866D6">
            <w:pPr>
              <w:jc w:val="right"/>
              <w:rPr>
                <w:rFonts w:ascii="Calibri" w:hAnsi="Calibri" w:cs="Calibri"/>
                <w:color w:val="000000"/>
                <w:sz w:val="16"/>
                <w:szCs w:val="16"/>
              </w:rPr>
            </w:pPr>
            <w:r>
              <w:rPr>
                <w:rFonts w:ascii="Calibri" w:hAnsi="Calibri" w:cs="Calibri"/>
                <w:color w:val="000000"/>
                <w:sz w:val="16"/>
                <w:szCs w:val="16"/>
              </w:rPr>
              <w:t>8.948.550</w:t>
            </w:r>
          </w:p>
        </w:tc>
        <w:tc>
          <w:tcPr>
            <w:tcW w:w="559" w:type="pct"/>
            <w:tcBorders>
              <w:top w:val="nil"/>
              <w:left w:val="nil"/>
              <w:bottom w:val="nil"/>
              <w:right w:val="nil"/>
            </w:tcBorders>
            <w:shd w:val="clear" w:color="auto" w:fill="auto"/>
            <w:vAlign w:val="center"/>
            <w:hideMark/>
          </w:tcPr>
          <w:p w14:paraId="06E4E2B9" w14:textId="47AB20A5" w:rsidR="004866D6" w:rsidRPr="008D21F0" w:rsidRDefault="004866D6" w:rsidP="004866D6">
            <w:pPr>
              <w:jc w:val="right"/>
              <w:rPr>
                <w:rFonts w:ascii="Calibri" w:hAnsi="Calibri" w:cs="Calibri"/>
                <w:color w:val="000000"/>
                <w:sz w:val="16"/>
                <w:szCs w:val="16"/>
              </w:rPr>
            </w:pPr>
            <w:r w:rsidRPr="008D21F0">
              <w:rPr>
                <w:rFonts w:ascii="Calibri" w:hAnsi="Calibri" w:cs="Calibri"/>
                <w:color w:val="000000"/>
                <w:sz w:val="16"/>
                <w:szCs w:val="16"/>
              </w:rPr>
              <w:t>13.410.002</w:t>
            </w:r>
          </w:p>
        </w:tc>
      </w:tr>
      <w:tr w:rsidR="004866D6" w:rsidRPr="008D21F0" w14:paraId="51E7431E" w14:textId="77777777" w:rsidTr="004866D6">
        <w:trPr>
          <w:trHeight w:hRule="exact" w:val="300"/>
        </w:trPr>
        <w:tc>
          <w:tcPr>
            <w:tcW w:w="2771" w:type="pct"/>
            <w:tcBorders>
              <w:top w:val="nil"/>
              <w:left w:val="nil"/>
              <w:bottom w:val="nil"/>
              <w:right w:val="nil"/>
            </w:tcBorders>
            <w:shd w:val="clear" w:color="auto" w:fill="auto"/>
            <w:noWrap/>
            <w:vAlign w:val="center"/>
            <w:hideMark/>
          </w:tcPr>
          <w:p w14:paraId="7BC6D53C" w14:textId="77777777" w:rsidR="004866D6" w:rsidRPr="008D21F0" w:rsidRDefault="004866D6" w:rsidP="004866D6">
            <w:pPr>
              <w:rPr>
                <w:rFonts w:ascii="Calibri" w:hAnsi="Calibri" w:cs="Calibri"/>
                <w:color w:val="000000"/>
                <w:sz w:val="16"/>
                <w:szCs w:val="16"/>
              </w:rPr>
            </w:pPr>
            <w:r w:rsidRPr="008D21F0">
              <w:rPr>
                <w:rFonts w:ascii="Calibri" w:hAnsi="Calibri" w:cs="Calibri"/>
                <w:color w:val="000000"/>
                <w:sz w:val="16"/>
                <w:szCs w:val="16"/>
              </w:rPr>
              <w:t>Reconhecimento da receita</w:t>
            </w:r>
          </w:p>
        </w:tc>
        <w:tc>
          <w:tcPr>
            <w:tcW w:w="1111" w:type="pct"/>
            <w:tcBorders>
              <w:top w:val="nil"/>
              <w:left w:val="nil"/>
              <w:bottom w:val="nil"/>
              <w:right w:val="nil"/>
            </w:tcBorders>
            <w:shd w:val="clear" w:color="auto" w:fill="auto"/>
            <w:noWrap/>
            <w:vAlign w:val="center"/>
            <w:hideMark/>
          </w:tcPr>
          <w:p w14:paraId="15EF51E4" w14:textId="77777777" w:rsidR="004866D6" w:rsidRPr="008D21F0" w:rsidRDefault="004866D6" w:rsidP="004866D6">
            <w:pPr>
              <w:rPr>
                <w:rFonts w:ascii="Calibri" w:hAnsi="Calibri" w:cs="Calibri"/>
                <w:color w:val="000000"/>
                <w:sz w:val="16"/>
                <w:szCs w:val="16"/>
              </w:rPr>
            </w:pPr>
          </w:p>
        </w:tc>
        <w:tc>
          <w:tcPr>
            <w:tcW w:w="559" w:type="pct"/>
            <w:tcBorders>
              <w:top w:val="nil"/>
              <w:left w:val="nil"/>
              <w:bottom w:val="nil"/>
              <w:right w:val="nil"/>
            </w:tcBorders>
            <w:shd w:val="clear" w:color="auto" w:fill="auto"/>
            <w:noWrap/>
            <w:vAlign w:val="center"/>
            <w:hideMark/>
          </w:tcPr>
          <w:p w14:paraId="19254B4E" w14:textId="3F282A74" w:rsidR="004866D6" w:rsidRPr="008D21F0" w:rsidRDefault="004866D6" w:rsidP="004866D6">
            <w:pPr>
              <w:jc w:val="right"/>
              <w:rPr>
                <w:rFonts w:ascii="Calibri" w:hAnsi="Calibri" w:cs="Calibri"/>
                <w:color w:val="000000"/>
                <w:sz w:val="16"/>
                <w:szCs w:val="16"/>
              </w:rPr>
            </w:pPr>
            <w:r>
              <w:rPr>
                <w:rFonts w:ascii="Calibri" w:hAnsi="Calibri" w:cs="Calibri"/>
                <w:color w:val="000000"/>
                <w:sz w:val="16"/>
                <w:szCs w:val="16"/>
              </w:rPr>
              <w:t>(</w:t>
            </w:r>
            <w:r w:rsidR="0021659D">
              <w:rPr>
                <w:rFonts w:ascii="Calibri" w:hAnsi="Calibri" w:cs="Calibri"/>
                <w:color w:val="000000"/>
                <w:sz w:val="16"/>
                <w:szCs w:val="16"/>
              </w:rPr>
              <w:t>1.766.899</w:t>
            </w:r>
            <w:r>
              <w:rPr>
                <w:rFonts w:ascii="Calibri" w:hAnsi="Calibri" w:cs="Calibri"/>
                <w:color w:val="000000"/>
                <w:sz w:val="16"/>
                <w:szCs w:val="16"/>
              </w:rPr>
              <w:t>)</w:t>
            </w:r>
          </w:p>
        </w:tc>
        <w:tc>
          <w:tcPr>
            <w:tcW w:w="559" w:type="pct"/>
            <w:tcBorders>
              <w:top w:val="nil"/>
              <w:left w:val="nil"/>
              <w:bottom w:val="nil"/>
              <w:right w:val="nil"/>
            </w:tcBorders>
            <w:shd w:val="clear" w:color="auto" w:fill="auto"/>
            <w:vAlign w:val="center"/>
            <w:hideMark/>
          </w:tcPr>
          <w:p w14:paraId="46C6C102" w14:textId="065C9D37" w:rsidR="004866D6" w:rsidRPr="008D21F0" w:rsidRDefault="004866D6" w:rsidP="004866D6">
            <w:pPr>
              <w:jc w:val="right"/>
              <w:rPr>
                <w:rFonts w:ascii="Calibri" w:hAnsi="Calibri" w:cs="Calibri"/>
                <w:color w:val="000000"/>
                <w:sz w:val="16"/>
                <w:szCs w:val="16"/>
              </w:rPr>
            </w:pPr>
            <w:r>
              <w:rPr>
                <w:rFonts w:ascii="Calibri" w:hAnsi="Calibri" w:cs="Calibri"/>
                <w:color w:val="000000"/>
                <w:sz w:val="16"/>
                <w:szCs w:val="16"/>
              </w:rPr>
              <w:t>(</w:t>
            </w:r>
            <w:r w:rsidRPr="008D21F0">
              <w:rPr>
                <w:rFonts w:ascii="Calibri" w:hAnsi="Calibri" w:cs="Calibri"/>
                <w:color w:val="000000"/>
                <w:sz w:val="16"/>
                <w:szCs w:val="16"/>
              </w:rPr>
              <w:t>2.689.734</w:t>
            </w:r>
            <w:r>
              <w:rPr>
                <w:rFonts w:ascii="Calibri" w:hAnsi="Calibri" w:cs="Calibri"/>
                <w:color w:val="000000"/>
                <w:sz w:val="16"/>
                <w:szCs w:val="16"/>
              </w:rPr>
              <w:t>)</w:t>
            </w:r>
          </w:p>
        </w:tc>
      </w:tr>
      <w:tr w:rsidR="004866D6" w:rsidRPr="008D21F0" w14:paraId="113C6CCF" w14:textId="77777777" w:rsidTr="004866D6">
        <w:trPr>
          <w:trHeight w:hRule="exact" w:val="315"/>
        </w:trPr>
        <w:tc>
          <w:tcPr>
            <w:tcW w:w="2771" w:type="pct"/>
            <w:tcBorders>
              <w:top w:val="nil"/>
              <w:left w:val="nil"/>
              <w:bottom w:val="single" w:sz="8" w:space="0" w:color="auto"/>
              <w:right w:val="nil"/>
            </w:tcBorders>
            <w:shd w:val="clear" w:color="auto" w:fill="auto"/>
            <w:noWrap/>
            <w:vAlign w:val="center"/>
            <w:hideMark/>
          </w:tcPr>
          <w:p w14:paraId="3006A420" w14:textId="77777777" w:rsidR="004866D6" w:rsidRPr="008D21F0" w:rsidRDefault="004866D6" w:rsidP="004866D6">
            <w:pPr>
              <w:rPr>
                <w:rFonts w:ascii="Calibri" w:hAnsi="Calibri" w:cs="Calibri"/>
                <w:b/>
                <w:bCs/>
                <w:color w:val="000000"/>
                <w:sz w:val="16"/>
                <w:szCs w:val="16"/>
              </w:rPr>
            </w:pPr>
            <w:r w:rsidRPr="008D21F0">
              <w:rPr>
                <w:rFonts w:ascii="Calibri" w:hAnsi="Calibri" w:cs="Calibri"/>
                <w:b/>
                <w:bCs/>
                <w:color w:val="000000"/>
                <w:sz w:val="16"/>
                <w:szCs w:val="16"/>
              </w:rPr>
              <w:t xml:space="preserve"> TOTAL </w:t>
            </w:r>
          </w:p>
        </w:tc>
        <w:tc>
          <w:tcPr>
            <w:tcW w:w="1111" w:type="pct"/>
            <w:tcBorders>
              <w:top w:val="nil"/>
              <w:left w:val="nil"/>
              <w:bottom w:val="single" w:sz="8" w:space="0" w:color="auto"/>
              <w:right w:val="nil"/>
            </w:tcBorders>
            <w:shd w:val="clear" w:color="auto" w:fill="auto"/>
            <w:noWrap/>
            <w:vAlign w:val="center"/>
            <w:hideMark/>
          </w:tcPr>
          <w:p w14:paraId="09D32B62" w14:textId="77777777" w:rsidR="004866D6" w:rsidRPr="008D21F0" w:rsidRDefault="004866D6" w:rsidP="004866D6">
            <w:pPr>
              <w:jc w:val="right"/>
              <w:rPr>
                <w:rFonts w:ascii="Calibri" w:hAnsi="Calibri" w:cs="Calibri"/>
                <w:b/>
                <w:bCs/>
                <w:color w:val="000000"/>
                <w:sz w:val="16"/>
                <w:szCs w:val="16"/>
              </w:rPr>
            </w:pPr>
            <w:r w:rsidRPr="008D21F0">
              <w:rPr>
                <w:rFonts w:ascii="Calibri" w:hAnsi="Calibri" w:cs="Calibri"/>
                <w:b/>
                <w:bCs/>
                <w:color w:val="000000"/>
                <w:sz w:val="16"/>
                <w:szCs w:val="16"/>
              </w:rPr>
              <w:t> </w:t>
            </w:r>
          </w:p>
        </w:tc>
        <w:tc>
          <w:tcPr>
            <w:tcW w:w="559" w:type="pct"/>
            <w:tcBorders>
              <w:top w:val="nil"/>
              <w:left w:val="nil"/>
              <w:bottom w:val="single" w:sz="8" w:space="0" w:color="auto"/>
              <w:right w:val="nil"/>
            </w:tcBorders>
            <w:shd w:val="clear" w:color="auto" w:fill="auto"/>
            <w:noWrap/>
            <w:vAlign w:val="center"/>
            <w:hideMark/>
          </w:tcPr>
          <w:p w14:paraId="0533F438" w14:textId="791793E1" w:rsidR="004866D6" w:rsidRPr="008D21F0" w:rsidRDefault="00FA66E4" w:rsidP="004866D6">
            <w:pPr>
              <w:jc w:val="right"/>
              <w:rPr>
                <w:rFonts w:ascii="Calibri" w:hAnsi="Calibri" w:cs="Calibri"/>
                <w:b/>
                <w:bCs/>
                <w:color w:val="000000"/>
                <w:sz w:val="16"/>
                <w:szCs w:val="16"/>
              </w:rPr>
            </w:pPr>
            <w:r>
              <w:rPr>
                <w:rFonts w:ascii="Calibri" w:hAnsi="Calibri" w:cs="Calibri"/>
                <w:b/>
                <w:bCs/>
                <w:color w:val="000000"/>
                <w:sz w:val="16"/>
                <w:szCs w:val="16"/>
              </w:rPr>
              <w:t>4</w:t>
            </w:r>
            <w:r w:rsidR="0021659D">
              <w:rPr>
                <w:rFonts w:ascii="Calibri" w:hAnsi="Calibri" w:cs="Calibri"/>
                <w:b/>
                <w:bCs/>
                <w:color w:val="000000"/>
                <w:sz w:val="16"/>
                <w:szCs w:val="16"/>
              </w:rPr>
              <w:t>3</w:t>
            </w:r>
            <w:r>
              <w:rPr>
                <w:rFonts w:ascii="Calibri" w:hAnsi="Calibri" w:cs="Calibri"/>
                <w:b/>
                <w:bCs/>
                <w:color w:val="000000"/>
                <w:sz w:val="16"/>
                <w:szCs w:val="16"/>
              </w:rPr>
              <w:t>.</w:t>
            </w:r>
            <w:r w:rsidR="0021659D">
              <w:rPr>
                <w:rFonts w:ascii="Calibri" w:hAnsi="Calibri" w:cs="Calibri"/>
                <w:b/>
                <w:bCs/>
                <w:color w:val="000000"/>
                <w:sz w:val="16"/>
                <w:szCs w:val="16"/>
              </w:rPr>
              <w:t>544</w:t>
            </w:r>
            <w:r>
              <w:rPr>
                <w:rFonts w:ascii="Calibri" w:hAnsi="Calibri" w:cs="Calibri"/>
                <w:b/>
                <w:bCs/>
                <w:color w:val="000000"/>
                <w:sz w:val="16"/>
                <w:szCs w:val="16"/>
              </w:rPr>
              <w:t>.</w:t>
            </w:r>
            <w:r w:rsidR="0021659D">
              <w:rPr>
                <w:rFonts w:ascii="Calibri" w:hAnsi="Calibri" w:cs="Calibri"/>
                <w:b/>
                <w:bCs/>
                <w:color w:val="000000"/>
                <w:sz w:val="16"/>
                <w:szCs w:val="16"/>
              </w:rPr>
              <w:t>753</w:t>
            </w:r>
          </w:p>
        </w:tc>
        <w:tc>
          <w:tcPr>
            <w:tcW w:w="559" w:type="pct"/>
            <w:tcBorders>
              <w:top w:val="nil"/>
              <w:left w:val="nil"/>
              <w:bottom w:val="single" w:sz="8" w:space="0" w:color="auto"/>
              <w:right w:val="nil"/>
            </w:tcBorders>
            <w:shd w:val="clear" w:color="auto" w:fill="auto"/>
            <w:vAlign w:val="center"/>
            <w:hideMark/>
          </w:tcPr>
          <w:p w14:paraId="352CC2DD" w14:textId="08981386" w:rsidR="004866D6" w:rsidRPr="008D21F0" w:rsidRDefault="004866D6" w:rsidP="004866D6">
            <w:pPr>
              <w:jc w:val="right"/>
              <w:rPr>
                <w:rFonts w:ascii="Calibri" w:hAnsi="Calibri" w:cs="Calibri"/>
                <w:b/>
                <w:bCs/>
                <w:color w:val="000000"/>
                <w:sz w:val="16"/>
                <w:szCs w:val="16"/>
              </w:rPr>
            </w:pPr>
            <w:r w:rsidRPr="008D21F0">
              <w:rPr>
                <w:rFonts w:ascii="Calibri" w:hAnsi="Calibri" w:cs="Calibri"/>
                <w:b/>
                <w:bCs/>
                <w:color w:val="000000"/>
                <w:sz w:val="16"/>
                <w:szCs w:val="16"/>
              </w:rPr>
              <w:t>36.363.102</w:t>
            </w:r>
          </w:p>
        </w:tc>
      </w:tr>
      <w:tr w:rsidR="00925A0D" w:rsidRPr="008D21F0" w14:paraId="01FC9FA1" w14:textId="77777777" w:rsidTr="004866D6">
        <w:trPr>
          <w:trHeight w:hRule="exact" w:val="315"/>
        </w:trPr>
        <w:tc>
          <w:tcPr>
            <w:tcW w:w="3882" w:type="pct"/>
            <w:gridSpan w:val="2"/>
            <w:tcBorders>
              <w:top w:val="single" w:sz="8" w:space="0" w:color="auto"/>
              <w:left w:val="nil"/>
              <w:bottom w:val="single" w:sz="8" w:space="0" w:color="auto"/>
              <w:right w:val="nil"/>
            </w:tcBorders>
            <w:shd w:val="clear" w:color="auto" w:fill="auto"/>
            <w:noWrap/>
            <w:vAlign w:val="center"/>
            <w:hideMark/>
          </w:tcPr>
          <w:p w14:paraId="5626F07A" w14:textId="77777777" w:rsidR="00925A0D" w:rsidRPr="008D21F0" w:rsidRDefault="00925A0D">
            <w:pPr>
              <w:rPr>
                <w:rFonts w:ascii="Calibri" w:hAnsi="Calibri" w:cs="Calibri"/>
                <w:b/>
                <w:bCs/>
                <w:color w:val="000000"/>
                <w:sz w:val="16"/>
                <w:szCs w:val="16"/>
              </w:rPr>
            </w:pPr>
            <w:r w:rsidRPr="008D21F0">
              <w:rPr>
                <w:rFonts w:ascii="Calibri" w:hAnsi="Calibri" w:cs="Calibri"/>
                <w:b/>
                <w:bCs/>
                <w:color w:val="000000"/>
                <w:sz w:val="16"/>
                <w:szCs w:val="16"/>
              </w:rPr>
              <w:t>Receita a Diferir Pátios e Terminais – Circulante</w:t>
            </w:r>
          </w:p>
        </w:tc>
        <w:tc>
          <w:tcPr>
            <w:tcW w:w="559" w:type="pct"/>
            <w:tcBorders>
              <w:top w:val="nil"/>
              <w:left w:val="nil"/>
              <w:bottom w:val="single" w:sz="8" w:space="0" w:color="auto"/>
              <w:right w:val="nil"/>
            </w:tcBorders>
            <w:shd w:val="clear" w:color="auto" w:fill="auto"/>
            <w:noWrap/>
            <w:vAlign w:val="center"/>
            <w:hideMark/>
          </w:tcPr>
          <w:p w14:paraId="2EE469C3" w14:textId="32BA0C1D" w:rsidR="00925A0D" w:rsidRPr="008D21F0" w:rsidRDefault="0021659D">
            <w:pPr>
              <w:jc w:val="right"/>
              <w:rPr>
                <w:rFonts w:ascii="Calibri" w:hAnsi="Calibri" w:cs="Calibri"/>
                <w:b/>
                <w:bCs/>
                <w:color w:val="000000"/>
                <w:sz w:val="16"/>
                <w:szCs w:val="16"/>
              </w:rPr>
            </w:pPr>
            <w:r>
              <w:rPr>
                <w:rFonts w:ascii="Calibri" w:hAnsi="Calibri" w:cs="Calibri"/>
                <w:b/>
                <w:bCs/>
                <w:color w:val="000000"/>
                <w:sz w:val="16"/>
                <w:szCs w:val="16"/>
              </w:rPr>
              <w:t>3.395.129</w:t>
            </w:r>
          </w:p>
        </w:tc>
        <w:tc>
          <w:tcPr>
            <w:tcW w:w="559" w:type="pct"/>
            <w:tcBorders>
              <w:top w:val="nil"/>
              <w:left w:val="nil"/>
              <w:bottom w:val="single" w:sz="8" w:space="0" w:color="auto"/>
              <w:right w:val="nil"/>
            </w:tcBorders>
            <w:shd w:val="clear" w:color="auto" w:fill="auto"/>
            <w:vAlign w:val="center"/>
            <w:hideMark/>
          </w:tcPr>
          <w:p w14:paraId="0BBA37D5" w14:textId="44337608" w:rsidR="00925A0D" w:rsidRPr="008D21F0" w:rsidRDefault="004866D6">
            <w:pPr>
              <w:jc w:val="right"/>
              <w:rPr>
                <w:rFonts w:ascii="Calibri" w:hAnsi="Calibri" w:cs="Calibri"/>
                <w:b/>
                <w:bCs/>
                <w:color w:val="000000"/>
                <w:sz w:val="16"/>
                <w:szCs w:val="16"/>
              </w:rPr>
            </w:pPr>
            <w:r w:rsidRPr="008D21F0">
              <w:rPr>
                <w:rFonts w:ascii="Calibri" w:hAnsi="Calibri" w:cs="Calibri"/>
                <w:b/>
                <w:bCs/>
                <w:color w:val="000000"/>
                <w:sz w:val="16"/>
                <w:szCs w:val="16"/>
              </w:rPr>
              <w:t>3.031.892</w:t>
            </w:r>
          </w:p>
        </w:tc>
      </w:tr>
      <w:tr w:rsidR="00925A0D" w:rsidRPr="008D21F0" w14:paraId="14284734" w14:textId="77777777" w:rsidTr="004866D6">
        <w:trPr>
          <w:trHeight w:hRule="exact" w:val="315"/>
        </w:trPr>
        <w:tc>
          <w:tcPr>
            <w:tcW w:w="3882" w:type="pct"/>
            <w:gridSpan w:val="2"/>
            <w:tcBorders>
              <w:top w:val="single" w:sz="8" w:space="0" w:color="auto"/>
              <w:left w:val="nil"/>
              <w:bottom w:val="single" w:sz="8" w:space="0" w:color="auto"/>
              <w:right w:val="nil"/>
            </w:tcBorders>
            <w:shd w:val="clear" w:color="auto" w:fill="auto"/>
            <w:noWrap/>
            <w:vAlign w:val="center"/>
            <w:hideMark/>
          </w:tcPr>
          <w:p w14:paraId="53848E45" w14:textId="77777777" w:rsidR="00925A0D" w:rsidRPr="008D21F0" w:rsidRDefault="00925A0D">
            <w:pPr>
              <w:rPr>
                <w:rFonts w:ascii="Calibri" w:hAnsi="Calibri" w:cs="Calibri"/>
                <w:b/>
                <w:bCs/>
                <w:color w:val="000000"/>
                <w:sz w:val="16"/>
                <w:szCs w:val="16"/>
              </w:rPr>
            </w:pPr>
            <w:r w:rsidRPr="008D21F0">
              <w:rPr>
                <w:rFonts w:ascii="Calibri" w:hAnsi="Calibri" w:cs="Calibri"/>
                <w:b/>
                <w:bCs/>
                <w:color w:val="000000"/>
                <w:sz w:val="16"/>
                <w:szCs w:val="16"/>
              </w:rPr>
              <w:t>Receita a Diferir Pátios e Terminais – Não Circulante</w:t>
            </w:r>
          </w:p>
        </w:tc>
        <w:tc>
          <w:tcPr>
            <w:tcW w:w="559" w:type="pct"/>
            <w:tcBorders>
              <w:top w:val="nil"/>
              <w:left w:val="nil"/>
              <w:bottom w:val="single" w:sz="8" w:space="0" w:color="auto"/>
              <w:right w:val="nil"/>
            </w:tcBorders>
            <w:shd w:val="clear" w:color="auto" w:fill="auto"/>
            <w:noWrap/>
            <w:vAlign w:val="center"/>
            <w:hideMark/>
          </w:tcPr>
          <w:p w14:paraId="1F52E269" w14:textId="638D3538" w:rsidR="00925A0D" w:rsidRPr="008D21F0" w:rsidRDefault="0021659D">
            <w:pPr>
              <w:jc w:val="right"/>
              <w:rPr>
                <w:rFonts w:ascii="Calibri" w:hAnsi="Calibri" w:cs="Calibri"/>
                <w:b/>
                <w:bCs/>
                <w:color w:val="000000"/>
                <w:sz w:val="16"/>
                <w:szCs w:val="16"/>
              </w:rPr>
            </w:pPr>
            <w:r>
              <w:rPr>
                <w:rFonts w:ascii="Calibri" w:hAnsi="Calibri" w:cs="Calibri"/>
                <w:b/>
                <w:bCs/>
                <w:color w:val="000000"/>
                <w:sz w:val="16"/>
                <w:szCs w:val="16"/>
              </w:rPr>
              <w:t>40.149.624</w:t>
            </w:r>
          </w:p>
        </w:tc>
        <w:tc>
          <w:tcPr>
            <w:tcW w:w="559" w:type="pct"/>
            <w:tcBorders>
              <w:top w:val="nil"/>
              <w:left w:val="nil"/>
              <w:bottom w:val="single" w:sz="8" w:space="0" w:color="auto"/>
              <w:right w:val="nil"/>
            </w:tcBorders>
            <w:shd w:val="clear" w:color="auto" w:fill="auto"/>
            <w:vAlign w:val="center"/>
            <w:hideMark/>
          </w:tcPr>
          <w:p w14:paraId="49C48B7E" w14:textId="07A9AA92" w:rsidR="00925A0D" w:rsidRPr="008D21F0" w:rsidRDefault="004866D6">
            <w:pPr>
              <w:jc w:val="right"/>
              <w:rPr>
                <w:rFonts w:ascii="Calibri" w:hAnsi="Calibri" w:cs="Calibri"/>
                <w:b/>
                <w:bCs/>
                <w:color w:val="000000"/>
                <w:sz w:val="16"/>
                <w:szCs w:val="16"/>
              </w:rPr>
            </w:pPr>
            <w:r w:rsidRPr="008D21F0">
              <w:rPr>
                <w:rFonts w:ascii="Calibri" w:hAnsi="Calibri" w:cs="Calibri"/>
                <w:b/>
                <w:bCs/>
                <w:color w:val="000000"/>
                <w:sz w:val="16"/>
                <w:szCs w:val="16"/>
              </w:rPr>
              <w:t>33.331.210</w:t>
            </w:r>
          </w:p>
        </w:tc>
      </w:tr>
      <w:tr w:rsidR="00925A0D" w:rsidRPr="008D21F0" w14:paraId="48776CB6" w14:textId="77777777" w:rsidTr="004866D6">
        <w:trPr>
          <w:trHeight w:hRule="exact" w:val="315"/>
        </w:trPr>
        <w:tc>
          <w:tcPr>
            <w:tcW w:w="2771" w:type="pct"/>
            <w:tcBorders>
              <w:top w:val="nil"/>
              <w:left w:val="nil"/>
              <w:bottom w:val="single" w:sz="8" w:space="0" w:color="auto"/>
              <w:right w:val="nil"/>
            </w:tcBorders>
            <w:shd w:val="clear" w:color="auto" w:fill="auto"/>
            <w:noWrap/>
            <w:vAlign w:val="center"/>
            <w:hideMark/>
          </w:tcPr>
          <w:p w14:paraId="684054FA" w14:textId="77777777" w:rsidR="00925A0D" w:rsidRPr="008D21F0" w:rsidRDefault="00925A0D">
            <w:pPr>
              <w:rPr>
                <w:rFonts w:ascii="Calibri" w:hAnsi="Calibri" w:cs="Calibri"/>
                <w:b/>
                <w:bCs/>
                <w:color w:val="000000"/>
                <w:sz w:val="16"/>
                <w:szCs w:val="16"/>
              </w:rPr>
            </w:pPr>
            <w:r w:rsidRPr="008D21F0">
              <w:rPr>
                <w:rFonts w:ascii="Calibri" w:hAnsi="Calibri" w:cs="Calibri"/>
                <w:b/>
                <w:bCs/>
                <w:color w:val="000000"/>
                <w:sz w:val="16"/>
                <w:szCs w:val="16"/>
              </w:rPr>
              <w:t>SALDO DE RECEITA A DIFERIR POR CONTRATOS</w:t>
            </w:r>
          </w:p>
        </w:tc>
        <w:tc>
          <w:tcPr>
            <w:tcW w:w="1111" w:type="pct"/>
            <w:tcBorders>
              <w:top w:val="nil"/>
              <w:left w:val="nil"/>
              <w:bottom w:val="single" w:sz="8" w:space="0" w:color="auto"/>
              <w:right w:val="nil"/>
            </w:tcBorders>
            <w:shd w:val="clear" w:color="auto" w:fill="auto"/>
            <w:noWrap/>
            <w:vAlign w:val="center"/>
            <w:hideMark/>
          </w:tcPr>
          <w:p w14:paraId="0708F8C7" w14:textId="77777777" w:rsidR="00925A0D" w:rsidRPr="008D21F0" w:rsidRDefault="00925A0D">
            <w:pPr>
              <w:rPr>
                <w:rFonts w:ascii="Calibri" w:hAnsi="Calibri" w:cs="Calibri"/>
                <w:b/>
                <w:bCs/>
                <w:color w:val="000000"/>
                <w:sz w:val="16"/>
                <w:szCs w:val="16"/>
              </w:rPr>
            </w:pPr>
            <w:r w:rsidRPr="008D21F0">
              <w:rPr>
                <w:rFonts w:ascii="Calibri" w:hAnsi="Calibri" w:cs="Calibri"/>
                <w:b/>
                <w:bCs/>
                <w:color w:val="000000"/>
                <w:sz w:val="16"/>
                <w:szCs w:val="16"/>
              </w:rPr>
              <w:t>PRAZO A DIFERIR (MESES)</w:t>
            </w:r>
          </w:p>
        </w:tc>
        <w:tc>
          <w:tcPr>
            <w:tcW w:w="559" w:type="pct"/>
            <w:tcBorders>
              <w:top w:val="nil"/>
              <w:left w:val="nil"/>
              <w:bottom w:val="single" w:sz="8" w:space="0" w:color="auto"/>
              <w:right w:val="nil"/>
            </w:tcBorders>
            <w:shd w:val="clear" w:color="auto" w:fill="auto"/>
            <w:noWrap/>
            <w:vAlign w:val="center"/>
            <w:hideMark/>
          </w:tcPr>
          <w:p w14:paraId="7E3CAABA" w14:textId="4435009B" w:rsidR="00925A0D" w:rsidRPr="008D21F0" w:rsidRDefault="00925A0D">
            <w:pPr>
              <w:jc w:val="right"/>
              <w:rPr>
                <w:rFonts w:ascii="Calibri" w:hAnsi="Calibri" w:cs="Calibri"/>
                <w:b/>
                <w:bCs/>
                <w:color w:val="000000"/>
                <w:sz w:val="16"/>
                <w:szCs w:val="16"/>
              </w:rPr>
            </w:pPr>
            <w:r w:rsidRPr="008D21F0">
              <w:rPr>
                <w:rFonts w:ascii="Calibri" w:hAnsi="Calibri" w:cs="Calibri"/>
                <w:b/>
                <w:bCs/>
                <w:color w:val="000000"/>
                <w:sz w:val="16"/>
                <w:szCs w:val="16"/>
              </w:rPr>
              <w:t>3</w:t>
            </w:r>
            <w:r w:rsidR="0021659D">
              <w:rPr>
                <w:rFonts w:ascii="Calibri" w:hAnsi="Calibri" w:cs="Calibri"/>
                <w:b/>
                <w:bCs/>
                <w:color w:val="000000"/>
                <w:sz w:val="16"/>
                <w:szCs w:val="16"/>
              </w:rPr>
              <w:t>0</w:t>
            </w:r>
            <w:r w:rsidRPr="008D21F0">
              <w:rPr>
                <w:rFonts w:ascii="Calibri" w:hAnsi="Calibri" w:cs="Calibri"/>
                <w:b/>
                <w:bCs/>
                <w:color w:val="000000"/>
                <w:sz w:val="16"/>
                <w:szCs w:val="16"/>
              </w:rPr>
              <w:t>/</w:t>
            </w:r>
            <w:r w:rsidR="004866D6">
              <w:rPr>
                <w:rFonts w:ascii="Calibri" w:hAnsi="Calibri" w:cs="Calibri"/>
                <w:b/>
                <w:bCs/>
                <w:color w:val="000000"/>
                <w:sz w:val="16"/>
                <w:szCs w:val="16"/>
              </w:rPr>
              <w:t>0</w:t>
            </w:r>
            <w:r w:rsidR="0021659D">
              <w:rPr>
                <w:rFonts w:ascii="Calibri" w:hAnsi="Calibri" w:cs="Calibri"/>
                <w:b/>
                <w:bCs/>
                <w:color w:val="000000"/>
                <w:sz w:val="16"/>
                <w:szCs w:val="16"/>
              </w:rPr>
              <w:t>6</w:t>
            </w:r>
            <w:r w:rsidRPr="008D21F0">
              <w:rPr>
                <w:rFonts w:ascii="Calibri" w:hAnsi="Calibri" w:cs="Calibri"/>
                <w:b/>
                <w:bCs/>
                <w:color w:val="000000"/>
                <w:sz w:val="16"/>
                <w:szCs w:val="16"/>
              </w:rPr>
              <w:t>/202</w:t>
            </w:r>
            <w:r w:rsidR="004866D6">
              <w:rPr>
                <w:rFonts w:ascii="Calibri" w:hAnsi="Calibri" w:cs="Calibri"/>
                <w:b/>
                <w:bCs/>
                <w:color w:val="000000"/>
                <w:sz w:val="16"/>
                <w:szCs w:val="16"/>
              </w:rPr>
              <w:t>2</w:t>
            </w:r>
          </w:p>
        </w:tc>
        <w:tc>
          <w:tcPr>
            <w:tcW w:w="559" w:type="pct"/>
            <w:tcBorders>
              <w:top w:val="nil"/>
              <w:left w:val="nil"/>
              <w:bottom w:val="single" w:sz="8" w:space="0" w:color="auto"/>
              <w:right w:val="nil"/>
            </w:tcBorders>
            <w:shd w:val="clear" w:color="auto" w:fill="auto"/>
            <w:vAlign w:val="center"/>
            <w:hideMark/>
          </w:tcPr>
          <w:p w14:paraId="786EA9DD" w14:textId="6BC66DB2" w:rsidR="00925A0D" w:rsidRPr="008D21F0" w:rsidRDefault="00925A0D">
            <w:pPr>
              <w:jc w:val="right"/>
              <w:rPr>
                <w:rFonts w:ascii="Calibri" w:hAnsi="Calibri" w:cs="Calibri"/>
                <w:b/>
                <w:bCs/>
                <w:color w:val="000000"/>
                <w:sz w:val="16"/>
                <w:szCs w:val="16"/>
              </w:rPr>
            </w:pPr>
            <w:r w:rsidRPr="008D21F0">
              <w:rPr>
                <w:rFonts w:ascii="Calibri" w:hAnsi="Calibri" w:cs="Calibri"/>
                <w:b/>
                <w:bCs/>
                <w:color w:val="000000"/>
                <w:sz w:val="16"/>
                <w:szCs w:val="16"/>
              </w:rPr>
              <w:t>31/12/202</w:t>
            </w:r>
            <w:r w:rsidR="004866D6">
              <w:rPr>
                <w:rFonts w:ascii="Calibri" w:hAnsi="Calibri" w:cs="Calibri"/>
                <w:b/>
                <w:bCs/>
                <w:color w:val="000000"/>
                <w:sz w:val="16"/>
                <w:szCs w:val="16"/>
              </w:rPr>
              <w:t>1</w:t>
            </w:r>
          </w:p>
        </w:tc>
      </w:tr>
      <w:tr w:rsidR="004866D6" w:rsidRPr="008D21F0" w14:paraId="61B7DF89" w14:textId="77777777" w:rsidTr="004866D6">
        <w:trPr>
          <w:trHeight w:hRule="exact" w:val="300"/>
        </w:trPr>
        <w:tc>
          <w:tcPr>
            <w:tcW w:w="2771" w:type="pct"/>
            <w:tcBorders>
              <w:top w:val="nil"/>
              <w:left w:val="nil"/>
              <w:bottom w:val="nil"/>
              <w:right w:val="nil"/>
            </w:tcBorders>
            <w:shd w:val="clear" w:color="auto" w:fill="auto"/>
            <w:noWrap/>
            <w:vAlign w:val="center"/>
            <w:hideMark/>
          </w:tcPr>
          <w:p w14:paraId="28924B79" w14:textId="77777777" w:rsidR="004866D6" w:rsidRPr="008D21F0" w:rsidRDefault="004866D6" w:rsidP="004866D6">
            <w:pPr>
              <w:rPr>
                <w:rFonts w:ascii="Calibri" w:hAnsi="Calibri" w:cs="Calibri"/>
                <w:color w:val="000000"/>
                <w:sz w:val="16"/>
                <w:szCs w:val="16"/>
              </w:rPr>
            </w:pPr>
            <w:r w:rsidRPr="008D21F0">
              <w:rPr>
                <w:rFonts w:ascii="Calibri" w:hAnsi="Calibri" w:cs="Calibri"/>
                <w:color w:val="000000"/>
                <w:sz w:val="16"/>
                <w:szCs w:val="16"/>
              </w:rPr>
              <w:t>Agrex do Brasil S.A. 26/2012</w:t>
            </w:r>
          </w:p>
        </w:tc>
        <w:tc>
          <w:tcPr>
            <w:tcW w:w="1111" w:type="pct"/>
            <w:tcBorders>
              <w:top w:val="nil"/>
              <w:left w:val="nil"/>
              <w:bottom w:val="nil"/>
              <w:right w:val="nil"/>
            </w:tcBorders>
            <w:shd w:val="clear" w:color="auto" w:fill="auto"/>
            <w:noWrap/>
            <w:vAlign w:val="center"/>
            <w:hideMark/>
          </w:tcPr>
          <w:p w14:paraId="0F663421" w14:textId="01B71C7D" w:rsidR="004866D6" w:rsidRPr="008D21F0" w:rsidRDefault="004866D6" w:rsidP="004866D6">
            <w:pPr>
              <w:jc w:val="center"/>
              <w:rPr>
                <w:rFonts w:ascii="Calibri" w:hAnsi="Calibri" w:cs="Calibri"/>
                <w:color w:val="000000"/>
                <w:sz w:val="16"/>
                <w:szCs w:val="16"/>
              </w:rPr>
            </w:pPr>
            <w:r w:rsidRPr="008D21F0">
              <w:rPr>
                <w:rFonts w:ascii="Calibri" w:hAnsi="Calibri" w:cs="Calibri"/>
                <w:color w:val="000000"/>
                <w:sz w:val="16"/>
                <w:szCs w:val="16"/>
              </w:rPr>
              <w:t>6</w:t>
            </w:r>
            <w:r w:rsidR="0021659D">
              <w:rPr>
                <w:rFonts w:ascii="Calibri" w:hAnsi="Calibri" w:cs="Calibri"/>
                <w:color w:val="000000"/>
                <w:sz w:val="16"/>
                <w:szCs w:val="16"/>
              </w:rPr>
              <w:t>3</w:t>
            </w:r>
          </w:p>
        </w:tc>
        <w:tc>
          <w:tcPr>
            <w:tcW w:w="559" w:type="pct"/>
            <w:tcBorders>
              <w:top w:val="nil"/>
              <w:left w:val="nil"/>
              <w:bottom w:val="nil"/>
              <w:right w:val="nil"/>
            </w:tcBorders>
            <w:shd w:val="clear" w:color="auto" w:fill="auto"/>
            <w:noWrap/>
            <w:vAlign w:val="center"/>
            <w:hideMark/>
          </w:tcPr>
          <w:p w14:paraId="5EEAA14A" w14:textId="2F70189F" w:rsidR="004866D6" w:rsidRPr="008D21F0" w:rsidRDefault="0021659D" w:rsidP="004866D6">
            <w:pPr>
              <w:jc w:val="right"/>
              <w:rPr>
                <w:rFonts w:ascii="Calibri" w:hAnsi="Calibri" w:cs="Calibri"/>
                <w:color w:val="000000"/>
                <w:sz w:val="16"/>
                <w:szCs w:val="16"/>
              </w:rPr>
            </w:pPr>
            <w:r>
              <w:rPr>
                <w:rFonts w:ascii="Calibri" w:hAnsi="Calibri" w:cs="Calibri"/>
                <w:color w:val="000000"/>
                <w:sz w:val="16"/>
                <w:szCs w:val="16"/>
              </w:rPr>
              <w:t>1.348.978</w:t>
            </w:r>
          </w:p>
        </w:tc>
        <w:tc>
          <w:tcPr>
            <w:tcW w:w="559" w:type="pct"/>
            <w:tcBorders>
              <w:top w:val="nil"/>
              <w:left w:val="nil"/>
              <w:bottom w:val="nil"/>
              <w:right w:val="nil"/>
            </w:tcBorders>
            <w:shd w:val="clear" w:color="auto" w:fill="auto"/>
            <w:vAlign w:val="center"/>
            <w:hideMark/>
          </w:tcPr>
          <w:p w14:paraId="6A3A82C6" w14:textId="7801F756" w:rsidR="004866D6" w:rsidRPr="008D21F0" w:rsidRDefault="004866D6" w:rsidP="004866D6">
            <w:pPr>
              <w:jc w:val="right"/>
              <w:rPr>
                <w:rFonts w:ascii="Calibri" w:hAnsi="Calibri" w:cs="Calibri"/>
                <w:color w:val="000000"/>
                <w:sz w:val="16"/>
                <w:szCs w:val="16"/>
              </w:rPr>
            </w:pPr>
            <w:r w:rsidRPr="008D21F0">
              <w:rPr>
                <w:rFonts w:ascii="Calibri" w:hAnsi="Calibri" w:cs="Calibri"/>
                <w:color w:val="000000"/>
                <w:sz w:val="16"/>
                <w:szCs w:val="16"/>
              </w:rPr>
              <w:t>1.475.444</w:t>
            </w:r>
          </w:p>
        </w:tc>
      </w:tr>
      <w:tr w:rsidR="004866D6" w:rsidRPr="008D21F0" w14:paraId="0B91FAB8" w14:textId="77777777" w:rsidTr="004866D6">
        <w:trPr>
          <w:trHeight w:val="300"/>
        </w:trPr>
        <w:tc>
          <w:tcPr>
            <w:tcW w:w="2771" w:type="pct"/>
            <w:tcBorders>
              <w:top w:val="nil"/>
              <w:left w:val="nil"/>
              <w:bottom w:val="nil"/>
              <w:right w:val="nil"/>
            </w:tcBorders>
            <w:shd w:val="clear" w:color="auto" w:fill="auto"/>
            <w:noWrap/>
            <w:vAlign w:val="center"/>
            <w:hideMark/>
          </w:tcPr>
          <w:p w14:paraId="66078367" w14:textId="77777777" w:rsidR="004866D6" w:rsidRPr="008D21F0" w:rsidRDefault="004866D6" w:rsidP="004866D6">
            <w:pPr>
              <w:rPr>
                <w:rFonts w:ascii="Calibri" w:hAnsi="Calibri" w:cs="Calibri"/>
                <w:color w:val="000000"/>
                <w:sz w:val="16"/>
                <w:szCs w:val="16"/>
              </w:rPr>
            </w:pPr>
            <w:r w:rsidRPr="008D21F0">
              <w:rPr>
                <w:rFonts w:ascii="Calibri" w:hAnsi="Calibri" w:cs="Calibri"/>
                <w:color w:val="000000"/>
                <w:sz w:val="16"/>
                <w:szCs w:val="16"/>
              </w:rPr>
              <w:t>Agrex do Brasil S.A. 16/2005</w:t>
            </w:r>
          </w:p>
        </w:tc>
        <w:tc>
          <w:tcPr>
            <w:tcW w:w="1111" w:type="pct"/>
            <w:tcBorders>
              <w:top w:val="nil"/>
              <w:left w:val="nil"/>
              <w:bottom w:val="nil"/>
              <w:right w:val="nil"/>
            </w:tcBorders>
            <w:shd w:val="clear" w:color="auto" w:fill="auto"/>
            <w:noWrap/>
            <w:vAlign w:val="center"/>
            <w:hideMark/>
          </w:tcPr>
          <w:p w14:paraId="4948F131" w14:textId="0B8CF195" w:rsidR="004866D6" w:rsidRPr="008D21F0" w:rsidRDefault="0021659D" w:rsidP="004866D6">
            <w:pPr>
              <w:jc w:val="center"/>
              <w:rPr>
                <w:rFonts w:ascii="Calibri" w:hAnsi="Calibri" w:cs="Calibri"/>
                <w:color w:val="000000"/>
                <w:sz w:val="16"/>
                <w:szCs w:val="16"/>
              </w:rPr>
            </w:pPr>
            <w:r>
              <w:rPr>
                <w:rFonts w:ascii="Calibri" w:hAnsi="Calibri" w:cs="Calibri"/>
                <w:color w:val="000000"/>
                <w:sz w:val="16"/>
                <w:szCs w:val="16"/>
              </w:rPr>
              <w:t>4</w:t>
            </w:r>
          </w:p>
        </w:tc>
        <w:tc>
          <w:tcPr>
            <w:tcW w:w="559" w:type="pct"/>
            <w:tcBorders>
              <w:top w:val="nil"/>
              <w:left w:val="nil"/>
              <w:bottom w:val="nil"/>
              <w:right w:val="nil"/>
            </w:tcBorders>
            <w:shd w:val="clear" w:color="auto" w:fill="auto"/>
            <w:noWrap/>
            <w:vAlign w:val="center"/>
            <w:hideMark/>
          </w:tcPr>
          <w:p w14:paraId="0E59B86D" w14:textId="3E04BE07" w:rsidR="00A77647" w:rsidRPr="008D21F0" w:rsidRDefault="0021659D" w:rsidP="00A77647">
            <w:pPr>
              <w:jc w:val="right"/>
              <w:rPr>
                <w:rFonts w:ascii="Calibri" w:hAnsi="Calibri" w:cs="Calibri"/>
                <w:color w:val="000000"/>
                <w:sz w:val="16"/>
                <w:szCs w:val="16"/>
              </w:rPr>
            </w:pPr>
            <w:r>
              <w:rPr>
                <w:rFonts w:ascii="Calibri" w:hAnsi="Calibri" w:cs="Calibri"/>
                <w:color w:val="000000"/>
                <w:sz w:val="16"/>
                <w:szCs w:val="16"/>
              </w:rPr>
              <w:t>194.444</w:t>
            </w:r>
          </w:p>
        </w:tc>
        <w:tc>
          <w:tcPr>
            <w:tcW w:w="559" w:type="pct"/>
            <w:tcBorders>
              <w:top w:val="nil"/>
              <w:left w:val="nil"/>
              <w:bottom w:val="nil"/>
              <w:right w:val="nil"/>
            </w:tcBorders>
            <w:shd w:val="clear" w:color="auto" w:fill="auto"/>
            <w:vAlign w:val="center"/>
            <w:hideMark/>
          </w:tcPr>
          <w:p w14:paraId="2304D5FC" w14:textId="3E3A8E79" w:rsidR="004866D6" w:rsidRPr="008D21F0" w:rsidRDefault="004866D6" w:rsidP="004866D6">
            <w:pPr>
              <w:jc w:val="right"/>
              <w:rPr>
                <w:rFonts w:ascii="Calibri" w:hAnsi="Calibri" w:cs="Calibri"/>
                <w:color w:val="000000"/>
                <w:sz w:val="16"/>
                <w:szCs w:val="16"/>
              </w:rPr>
            </w:pPr>
            <w:r w:rsidRPr="008D21F0">
              <w:rPr>
                <w:rFonts w:ascii="Calibri" w:hAnsi="Calibri" w:cs="Calibri"/>
                <w:color w:val="000000"/>
                <w:sz w:val="16"/>
                <w:szCs w:val="16"/>
              </w:rPr>
              <w:t>427.778</w:t>
            </w:r>
          </w:p>
        </w:tc>
      </w:tr>
      <w:tr w:rsidR="004866D6" w:rsidRPr="008D21F0" w14:paraId="790C5C3D" w14:textId="77777777" w:rsidTr="004866D6">
        <w:trPr>
          <w:trHeight w:val="300"/>
        </w:trPr>
        <w:tc>
          <w:tcPr>
            <w:tcW w:w="2771" w:type="pct"/>
            <w:tcBorders>
              <w:top w:val="nil"/>
              <w:left w:val="nil"/>
              <w:bottom w:val="nil"/>
              <w:right w:val="nil"/>
            </w:tcBorders>
            <w:shd w:val="clear" w:color="auto" w:fill="auto"/>
            <w:noWrap/>
            <w:vAlign w:val="center"/>
            <w:hideMark/>
          </w:tcPr>
          <w:p w14:paraId="7A4C13F8" w14:textId="77777777" w:rsidR="004866D6" w:rsidRPr="008D21F0" w:rsidRDefault="004866D6" w:rsidP="004866D6">
            <w:pPr>
              <w:rPr>
                <w:rFonts w:ascii="Calibri" w:hAnsi="Calibri" w:cs="Calibri"/>
                <w:color w:val="000000"/>
                <w:sz w:val="16"/>
                <w:szCs w:val="16"/>
              </w:rPr>
            </w:pPr>
            <w:r w:rsidRPr="008D21F0">
              <w:rPr>
                <w:rFonts w:ascii="Calibri" w:hAnsi="Calibri" w:cs="Calibri"/>
                <w:color w:val="000000"/>
                <w:sz w:val="16"/>
                <w:szCs w:val="16"/>
              </w:rPr>
              <w:t>Bunge Alimentos S.A. 12/1999</w:t>
            </w:r>
          </w:p>
        </w:tc>
        <w:tc>
          <w:tcPr>
            <w:tcW w:w="1111" w:type="pct"/>
            <w:tcBorders>
              <w:top w:val="nil"/>
              <w:left w:val="nil"/>
              <w:bottom w:val="nil"/>
              <w:right w:val="nil"/>
            </w:tcBorders>
            <w:shd w:val="clear" w:color="auto" w:fill="auto"/>
            <w:noWrap/>
            <w:vAlign w:val="center"/>
            <w:hideMark/>
          </w:tcPr>
          <w:p w14:paraId="53A71AF6" w14:textId="1AF63388" w:rsidR="004866D6" w:rsidRPr="008D21F0" w:rsidRDefault="004866D6" w:rsidP="004866D6">
            <w:pPr>
              <w:jc w:val="center"/>
              <w:rPr>
                <w:rFonts w:ascii="Calibri" w:hAnsi="Calibri" w:cs="Calibri"/>
                <w:color w:val="000000"/>
                <w:sz w:val="16"/>
                <w:szCs w:val="16"/>
              </w:rPr>
            </w:pPr>
            <w:r w:rsidRPr="008D21F0">
              <w:rPr>
                <w:rFonts w:ascii="Calibri" w:hAnsi="Calibri" w:cs="Calibri"/>
                <w:color w:val="000000"/>
                <w:sz w:val="16"/>
                <w:szCs w:val="16"/>
              </w:rPr>
              <w:t>9</w:t>
            </w:r>
            <w:r w:rsidR="0021659D">
              <w:rPr>
                <w:rFonts w:ascii="Calibri" w:hAnsi="Calibri" w:cs="Calibri"/>
                <w:color w:val="000000"/>
                <w:sz w:val="16"/>
                <w:szCs w:val="16"/>
              </w:rPr>
              <w:t>0</w:t>
            </w:r>
          </w:p>
        </w:tc>
        <w:tc>
          <w:tcPr>
            <w:tcW w:w="559" w:type="pct"/>
            <w:tcBorders>
              <w:top w:val="nil"/>
              <w:left w:val="nil"/>
              <w:bottom w:val="nil"/>
              <w:right w:val="nil"/>
            </w:tcBorders>
            <w:shd w:val="clear" w:color="auto" w:fill="auto"/>
            <w:noWrap/>
            <w:vAlign w:val="center"/>
            <w:hideMark/>
          </w:tcPr>
          <w:p w14:paraId="4CC23199" w14:textId="18424D6F" w:rsidR="004866D6" w:rsidRPr="008D21F0" w:rsidRDefault="0021659D" w:rsidP="004866D6">
            <w:pPr>
              <w:jc w:val="right"/>
              <w:rPr>
                <w:rFonts w:ascii="Calibri" w:hAnsi="Calibri" w:cs="Calibri"/>
                <w:color w:val="000000"/>
                <w:sz w:val="16"/>
                <w:szCs w:val="16"/>
              </w:rPr>
            </w:pPr>
            <w:r>
              <w:rPr>
                <w:rFonts w:ascii="Calibri" w:hAnsi="Calibri" w:cs="Calibri"/>
                <w:color w:val="000000"/>
                <w:sz w:val="16"/>
                <w:szCs w:val="16"/>
              </w:rPr>
              <w:t>1.646.027</w:t>
            </w:r>
          </w:p>
        </w:tc>
        <w:tc>
          <w:tcPr>
            <w:tcW w:w="559" w:type="pct"/>
            <w:tcBorders>
              <w:top w:val="nil"/>
              <w:left w:val="nil"/>
              <w:bottom w:val="nil"/>
              <w:right w:val="nil"/>
            </w:tcBorders>
            <w:shd w:val="clear" w:color="auto" w:fill="auto"/>
            <w:vAlign w:val="center"/>
            <w:hideMark/>
          </w:tcPr>
          <w:p w14:paraId="50F59971" w14:textId="1744935F" w:rsidR="004866D6" w:rsidRPr="008D21F0" w:rsidRDefault="004866D6" w:rsidP="004866D6">
            <w:pPr>
              <w:jc w:val="right"/>
              <w:rPr>
                <w:rFonts w:ascii="Calibri" w:hAnsi="Calibri" w:cs="Calibri"/>
                <w:color w:val="000000"/>
                <w:sz w:val="16"/>
                <w:szCs w:val="16"/>
              </w:rPr>
            </w:pPr>
            <w:r w:rsidRPr="008D21F0">
              <w:rPr>
                <w:rFonts w:ascii="Calibri" w:hAnsi="Calibri" w:cs="Calibri"/>
                <w:color w:val="000000"/>
                <w:sz w:val="16"/>
                <w:szCs w:val="16"/>
              </w:rPr>
              <w:t>1.755.762</w:t>
            </w:r>
          </w:p>
        </w:tc>
      </w:tr>
      <w:tr w:rsidR="004866D6" w:rsidRPr="008D21F0" w14:paraId="7EF09123" w14:textId="77777777" w:rsidTr="004866D6">
        <w:trPr>
          <w:trHeight w:val="300"/>
        </w:trPr>
        <w:tc>
          <w:tcPr>
            <w:tcW w:w="2771" w:type="pct"/>
            <w:tcBorders>
              <w:top w:val="nil"/>
              <w:left w:val="nil"/>
              <w:bottom w:val="nil"/>
              <w:right w:val="nil"/>
            </w:tcBorders>
            <w:shd w:val="clear" w:color="auto" w:fill="auto"/>
            <w:noWrap/>
            <w:vAlign w:val="center"/>
            <w:hideMark/>
          </w:tcPr>
          <w:p w14:paraId="6A3B8858" w14:textId="77777777" w:rsidR="004866D6" w:rsidRPr="008D21F0" w:rsidRDefault="004866D6" w:rsidP="004866D6">
            <w:pPr>
              <w:rPr>
                <w:rFonts w:ascii="Calibri" w:hAnsi="Calibri" w:cs="Calibri"/>
                <w:color w:val="000000"/>
                <w:sz w:val="16"/>
                <w:szCs w:val="16"/>
              </w:rPr>
            </w:pPr>
            <w:r w:rsidRPr="008D21F0">
              <w:rPr>
                <w:rFonts w:ascii="Calibri" w:hAnsi="Calibri" w:cs="Calibri"/>
                <w:color w:val="000000"/>
                <w:sz w:val="16"/>
                <w:szCs w:val="16"/>
              </w:rPr>
              <w:t>Cargill Agrícola S.A. 01/2000</w:t>
            </w:r>
          </w:p>
        </w:tc>
        <w:tc>
          <w:tcPr>
            <w:tcW w:w="1111" w:type="pct"/>
            <w:tcBorders>
              <w:top w:val="nil"/>
              <w:left w:val="nil"/>
              <w:bottom w:val="nil"/>
              <w:right w:val="nil"/>
            </w:tcBorders>
            <w:shd w:val="clear" w:color="auto" w:fill="auto"/>
            <w:noWrap/>
            <w:vAlign w:val="center"/>
            <w:hideMark/>
          </w:tcPr>
          <w:p w14:paraId="08EA7F4C" w14:textId="5D2B273C" w:rsidR="004866D6" w:rsidRPr="008D21F0" w:rsidRDefault="004866D6" w:rsidP="004866D6">
            <w:pPr>
              <w:jc w:val="center"/>
              <w:rPr>
                <w:rFonts w:ascii="Calibri" w:hAnsi="Calibri" w:cs="Calibri"/>
                <w:color w:val="000000"/>
                <w:sz w:val="16"/>
                <w:szCs w:val="16"/>
              </w:rPr>
            </w:pPr>
            <w:r w:rsidRPr="008D21F0">
              <w:rPr>
                <w:rFonts w:ascii="Calibri" w:hAnsi="Calibri" w:cs="Calibri"/>
                <w:color w:val="000000"/>
                <w:sz w:val="16"/>
                <w:szCs w:val="16"/>
              </w:rPr>
              <w:t>9</w:t>
            </w:r>
            <w:r w:rsidR="0021659D">
              <w:rPr>
                <w:rFonts w:ascii="Calibri" w:hAnsi="Calibri" w:cs="Calibri"/>
                <w:color w:val="000000"/>
                <w:sz w:val="16"/>
                <w:szCs w:val="16"/>
              </w:rPr>
              <w:t>2</w:t>
            </w:r>
          </w:p>
        </w:tc>
        <w:tc>
          <w:tcPr>
            <w:tcW w:w="559" w:type="pct"/>
            <w:tcBorders>
              <w:top w:val="nil"/>
              <w:left w:val="nil"/>
              <w:bottom w:val="nil"/>
              <w:right w:val="nil"/>
            </w:tcBorders>
            <w:shd w:val="clear" w:color="auto" w:fill="auto"/>
            <w:noWrap/>
            <w:vAlign w:val="center"/>
            <w:hideMark/>
          </w:tcPr>
          <w:p w14:paraId="27224C98" w14:textId="0033C10B" w:rsidR="004866D6" w:rsidRPr="008D21F0" w:rsidRDefault="0021659D" w:rsidP="004866D6">
            <w:pPr>
              <w:jc w:val="right"/>
              <w:rPr>
                <w:rFonts w:ascii="Calibri" w:hAnsi="Calibri" w:cs="Calibri"/>
                <w:color w:val="000000"/>
                <w:sz w:val="16"/>
                <w:szCs w:val="16"/>
              </w:rPr>
            </w:pPr>
            <w:r>
              <w:rPr>
                <w:rFonts w:ascii="Calibri" w:hAnsi="Calibri" w:cs="Calibri"/>
                <w:color w:val="000000"/>
                <w:sz w:val="16"/>
                <w:szCs w:val="16"/>
              </w:rPr>
              <w:t>1</w:t>
            </w:r>
            <w:r w:rsidR="004A642E">
              <w:rPr>
                <w:rFonts w:ascii="Calibri" w:hAnsi="Calibri" w:cs="Calibri"/>
                <w:color w:val="000000"/>
                <w:sz w:val="16"/>
                <w:szCs w:val="16"/>
              </w:rPr>
              <w:t>.</w:t>
            </w:r>
            <w:r>
              <w:rPr>
                <w:rFonts w:ascii="Calibri" w:hAnsi="Calibri" w:cs="Calibri"/>
                <w:color w:val="000000"/>
                <w:sz w:val="16"/>
                <w:szCs w:val="16"/>
              </w:rPr>
              <w:t>608.285</w:t>
            </w:r>
          </w:p>
        </w:tc>
        <w:tc>
          <w:tcPr>
            <w:tcW w:w="559" w:type="pct"/>
            <w:tcBorders>
              <w:top w:val="nil"/>
              <w:left w:val="nil"/>
              <w:bottom w:val="nil"/>
              <w:right w:val="nil"/>
            </w:tcBorders>
            <w:shd w:val="clear" w:color="auto" w:fill="auto"/>
            <w:vAlign w:val="center"/>
            <w:hideMark/>
          </w:tcPr>
          <w:p w14:paraId="69E12FB8" w14:textId="069D3088" w:rsidR="004866D6" w:rsidRPr="008D21F0" w:rsidRDefault="004866D6" w:rsidP="004866D6">
            <w:pPr>
              <w:jc w:val="right"/>
              <w:rPr>
                <w:rFonts w:ascii="Calibri" w:hAnsi="Calibri" w:cs="Calibri"/>
                <w:color w:val="000000"/>
                <w:sz w:val="16"/>
                <w:szCs w:val="16"/>
              </w:rPr>
            </w:pPr>
            <w:r w:rsidRPr="008D21F0">
              <w:rPr>
                <w:rFonts w:ascii="Calibri" w:hAnsi="Calibri" w:cs="Calibri"/>
                <w:color w:val="000000"/>
                <w:sz w:val="16"/>
                <w:szCs w:val="16"/>
              </w:rPr>
              <w:t>1.713.173</w:t>
            </w:r>
          </w:p>
        </w:tc>
      </w:tr>
      <w:tr w:rsidR="004866D6" w:rsidRPr="008D21F0" w14:paraId="0E5E4D50" w14:textId="77777777" w:rsidTr="004866D6">
        <w:trPr>
          <w:trHeight w:val="300"/>
        </w:trPr>
        <w:tc>
          <w:tcPr>
            <w:tcW w:w="2771" w:type="pct"/>
            <w:tcBorders>
              <w:top w:val="nil"/>
              <w:left w:val="nil"/>
              <w:bottom w:val="nil"/>
              <w:right w:val="nil"/>
            </w:tcBorders>
            <w:shd w:val="clear" w:color="auto" w:fill="auto"/>
            <w:noWrap/>
            <w:vAlign w:val="center"/>
            <w:hideMark/>
          </w:tcPr>
          <w:p w14:paraId="6DFCF01C" w14:textId="77777777" w:rsidR="004866D6" w:rsidRPr="008D21F0" w:rsidRDefault="004866D6" w:rsidP="004866D6">
            <w:pPr>
              <w:rPr>
                <w:rFonts w:ascii="Calibri" w:hAnsi="Calibri" w:cs="Calibri"/>
                <w:color w:val="000000"/>
                <w:sz w:val="16"/>
                <w:szCs w:val="16"/>
              </w:rPr>
            </w:pPr>
            <w:r w:rsidRPr="008D21F0">
              <w:rPr>
                <w:rFonts w:ascii="Calibri" w:hAnsi="Calibri" w:cs="Calibri"/>
                <w:color w:val="000000"/>
                <w:sz w:val="16"/>
                <w:szCs w:val="16"/>
              </w:rPr>
              <w:lastRenderedPageBreak/>
              <w:t>Norship Participações e Representações Comerciais LTDA 11/2011</w:t>
            </w:r>
          </w:p>
        </w:tc>
        <w:tc>
          <w:tcPr>
            <w:tcW w:w="1111" w:type="pct"/>
            <w:tcBorders>
              <w:top w:val="nil"/>
              <w:left w:val="nil"/>
              <w:bottom w:val="nil"/>
              <w:right w:val="nil"/>
            </w:tcBorders>
            <w:shd w:val="clear" w:color="auto" w:fill="auto"/>
            <w:noWrap/>
            <w:vAlign w:val="center"/>
            <w:hideMark/>
          </w:tcPr>
          <w:p w14:paraId="1B9460E1" w14:textId="4E2EDBEB" w:rsidR="004866D6" w:rsidRPr="008D21F0" w:rsidRDefault="004866D6" w:rsidP="004866D6">
            <w:pPr>
              <w:jc w:val="center"/>
              <w:rPr>
                <w:rFonts w:ascii="Calibri" w:hAnsi="Calibri" w:cs="Calibri"/>
                <w:color w:val="000000"/>
                <w:sz w:val="16"/>
                <w:szCs w:val="16"/>
              </w:rPr>
            </w:pPr>
            <w:r>
              <w:rPr>
                <w:rFonts w:ascii="Calibri" w:hAnsi="Calibri" w:cs="Calibri"/>
                <w:color w:val="000000"/>
                <w:sz w:val="16"/>
                <w:szCs w:val="16"/>
              </w:rPr>
              <w:t>4</w:t>
            </w:r>
            <w:r w:rsidR="0021659D">
              <w:rPr>
                <w:rFonts w:ascii="Calibri" w:hAnsi="Calibri" w:cs="Calibri"/>
                <w:color w:val="000000"/>
                <w:sz w:val="16"/>
                <w:szCs w:val="16"/>
              </w:rPr>
              <w:t>5</w:t>
            </w:r>
          </w:p>
        </w:tc>
        <w:tc>
          <w:tcPr>
            <w:tcW w:w="559" w:type="pct"/>
            <w:tcBorders>
              <w:top w:val="nil"/>
              <w:left w:val="nil"/>
              <w:bottom w:val="nil"/>
              <w:right w:val="nil"/>
            </w:tcBorders>
            <w:shd w:val="clear" w:color="auto" w:fill="auto"/>
            <w:noWrap/>
            <w:vAlign w:val="center"/>
            <w:hideMark/>
          </w:tcPr>
          <w:p w14:paraId="26555136" w14:textId="34DF1DF7" w:rsidR="004866D6" w:rsidRPr="008D21F0" w:rsidRDefault="004866D6" w:rsidP="004866D6">
            <w:pPr>
              <w:jc w:val="right"/>
              <w:rPr>
                <w:rFonts w:ascii="Calibri" w:hAnsi="Calibri" w:cs="Calibri"/>
                <w:color w:val="000000"/>
                <w:sz w:val="16"/>
                <w:szCs w:val="16"/>
              </w:rPr>
            </w:pPr>
            <w:r w:rsidRPr="008D21F0">
              <w:rPr>
                <w:rFonts w:ascii="Calibri" w:hAnsi="Calibri" w:cs="Calibri"/>
                <w:color w:val="000000"/>
                <w:sz w:val="16"/>
                <w:szCs w:val="16"/>
              </w:rPr>
              <w:t>1</w:t>
            </w:r>
            <w:r w:rsidR="004A642E">
              <w:rPr>
                <w:rFonts w:ascii="Calibri" w:hAnsi="Calibri" w:cs="Calibri"/>
                <w:color w:val="000000"/>
                <w:sz w:val="16"/>
                <w:szCs w:val="16"/>
              </w:rPr>
              <w:t>16</w:t>
            </w:r>
            <w:r w:rsidRPr="008D21F0">
              <w:rPr>
                <w:rFonts w:ascii="Calibri" w:hAnsi="Calibri" w:cs="Calibri"/>
                <w:color w:val="000000"/>
                <w:sz w:val="16"/>
                <w:szCs w:val="16"/>
              </w:rPr>
              <w:t>.</w:t>
            </w:r>
            <w:r w:rsidR="004A642E">
              <w:rPr>
                <w:rFonts w:ascii="Calibri" w:hAnsi="Calibri" w:cs="Calibri"/>
                <w:color w:val="000000"/>
                <w:sz w:val="16"/>
                <w:szCs w:val="16"/>
              </w:rPr>
              <w:t>359</w:t>
            </w:r>
          </w:p>
        </w:tc>
        <w:tc>
          <w:tcPr>
            <w:tcW w:w="559" w:type="pct"/>
            <w:tcBorders>
              <w:top w:val="nil"/>
              <w:left w:val="nil"/>
              <w:bottom w:val="nil"/>
              <w:right w:val="nil"/>
            </w:tcBorders>
            <w:shd w:val="clear" w:color="auto" w:fill="auto"/>
            <w:vAlign w:val="center"/>
            <w:hideMark/>
          </w:tcPr>
          <w:p w14:paraId="3219444F" w14:textId="6FB784BC" w:rsidR="004866D6" w:rsidRPr="008D21F0" w:rsidRDefault="004866D6" w:rsidP="004866D6">
            <w:pPr>
              <w:jc w:val="right"/>
              <w:rPr>
                <w:rFonts w:ascii="Calibri" w:hAnsi="Calibri" w:cs="Calibri"/>
                <w:color w:val="000000"/>
                <w:sz w:val="16"/>
                <w:szCs w:val="16"/>
              </w:rPr>
            </w:pPr>
            <w:r w:rsidRPr="008D21F0">
              <w:rPr>
                <w:rFonts w:ascii="Calibri" w:hAnsi="Calibri" w:cs="Calibri"/>
                <w:color w:val="000000"/>
                <w:sz w:val="16"/>
                <w:szCs w:val="16"/>
              </w:rPr>
              <w:t>131.873</w:t>
            </w:r>
          </w:p>
        </w:tc>
      </w:tr>
      <w:tr w:rsidR="004866D6" w:rsidRPr="008D21F0" w14:paraId="30911B82" w14:textId="77777777" w:rsidTr="004866D6">
        <w:trPr>
          <w:trHeight w:val="300"/>
        </w:trPr>
        <w:tc>
          <w:tcPr>
            <w:tcW w:w="2771" w:type="pct"/>
            <w:tcBorders>
              <w:top w:val="nil"/>
              <w:left w:val="nil"/>
              <w:bottom w:val="nil"/>
              <w:right w:val="nil"/>
            </w:tcBorders>
            <w:shd w:val="clear" w:color="auto" w:fill="auto"/>
            <w:noWrap/>
            <w:vAlign w:val="center"/>
            <w:hideMark/>
          </w:tcPr>
          <w:p w14:paraId="52C8BBE5" w14:textId="77777777" w:rsidR="004866D6" w:rsidRPr="008D21F0" w:rsidRDefault="004866D6" w:rsidP="004866D6">
            <w:pPr>
              <w:rPr>
                <w:rFonts w:ascii="Calibri" w:hAnsi="Calibri" w:cs="Calibri"/>
                <w:color w:val="000000"/>
                <w:sz w:val="16"/>
                <w:szCs w:val="16"/>
              </w:rPr>
            </w:pPr>
            <w:r w:rsidRPr="008D21F0">
              <w:rPr>
                <w:rFonts w:ascii="Calibri" w:hAnsi="Calibri" w:cs="Calibri"/>
                <w:color w:val="000000"/>
                <w:sz w:val="16"/>
                <w:szCs w:val="16"/>
              </w:rPr>
              <w:t xml:space="preserve">Nova </w:t>
            </w:r>
            <w:proofErr w:type="spellStart"/>
            <w:r w:rsidRPr="008D21F0">
              <w:rPr>
                <w:rFonts w:ascii="Calibri" w:hAnsi="Calibri" w:cs="Calibri"/>
                <w:color w:val="000000"/>
                <w:sz w:val="16"/>
                <w:szCs w:val="16"/>
              </w:rPr>
              <w:t>Agri</w:t>
            </w:r>
            <w:proofErr w:type="spellEnd"/>
            <w:r w:rsidRPr="008D21F0">
              <w:rPr>
                <w:rFonts w:ascii="Calibri" w:hAnsi="Calibri" w:cs="Calibri"/>
                <w:color w:val="000000"/>
                <w:sz w:val="16"/>
                <w:szCs w:val="16"/>
              </w:rPr>
              <w:t xml:space="preserve"> - Estrutura de Armazenagem e Escoamento S.A. 40/2008</w:t>
            </w:r>
          </w:p>
        </w:tc>
        <w:tc>
          <w:tcPr>
            <w:tcW w:w="1111" w:type="pct"/>
            <w:tcBorders>
              <w:top w:val="nil"/>
              <w:left w:val="nil"/>
              <w:bottom w:val="nil"/>
              <w:right w:val="nil"/>
            </w:tcBorders>
            <w:shd w:val="clear" w:color="auto" w:fill="auto"/>
            <w:noWrap/>
            <w:vAlign w:val="center"/>
            <w:hideMark/>
          </w:tcPr>
          <w:p w14:paraId="79DD251E" w14:textId="7D1CCE33" w:rsidR="004866D6" w:rsidRPr="008D21F0" w:rsidRDefault="004866D6" w:rsidP="004866D6">
            <w:pPr>
              <w:jc w:val="center"/>
              <w:rPr>
                <w:rFonts w:ascii="Calibri" w:hAnsi="Calibri" w:cs="Calibri"/>
                <w:color w:val="000000"/>
                <w:sz w:val="16"/>
                <w:szCs w:val="16"/>
              </w:rPr>
            </w:pPr>
            <w:r>
              <w:rPr>
                <w:rFonts w:ascii="Calibri" w:hAnsi="Calibri" w:cs="Calibri"/>
                <w:color w:val="000000"/>
                <w:sz w:val="16"/>
                <w:szCs w:val="16"/>
              </w:rPr>
              <w:t>2</w:t>
            </w:r>
            <w:r w:rsidR="0021659D">
              <w:rPr>
                <w:rFonts w:ascii="Calibri" w:hAnsi="Calibri" w:cs="Calibri"/>
                <w:color w:val="000000"/>
                <w:sz w:val="16"/>
                <w:szCs w:val="16"/>
              </w:rPr>
              <w:t>4</w:t>
            </w:r>
          </w:p>
        </w:tc>
        <w:tc>
          <w:tcPr>
            <w:tcW w:w="559" w:type="pct"/>
            <w:tcBorders>
              <w:top w:val="nil"/>
              <w:left w:val="nil"/>
              <w:bottom w:val="nil"/>
              <w:right w:val="nil"/>
            </w:tcBorders>
            <w:shd w:val="clear" w:color="auto" w:fill="auto"/>
            <w:noWrap/>
            <w:vAlign w:val="center"/>
            <w:hideMark/>
          </w:tcPr>
          <w:p w14:paraId="33E5E370" w14:textId="003E3D4F" w:rsidR="004866D6" w:rsidRPr="008D21F0" w:rsidRDefault="004A642E" w:rsidP="004866D6">
            <w:pPr>
              <w:jc w:val="right"/>
              <w:rPr>
                <w:rFonts w:ascii="Calibri" w:hAnsi="Calibri" w:cs="Calibri"/>
                <w:color w:val="000000"/>
                <w:sz w:val="16"/>
                <w:szCs w:val="16"/>
              </w:rPr>
            </w:pPr>
            <w:r>
              <w:rPr>
                <w:rFonts w:ascii="Calibri" w:hAnsi="Calibri" w:cs="Calibri"/>
                <w:color w:val="000000"/>
                <w:sz w:val="16"/>
                <w:szCs w:val="16"/>
              </w:rPr>
              <w:t>44</w:t>
            </w:r>
            <w:r w:rsidR="004866D6" w:rsidRPr="008D21F0">
              <w:rPr>
                <w:rFonts w:ascii="Calibri" w:hAnsi="Calibri" w:cs="Calibri"/>
                <w:color w:val="000000"/>
                <w:sz w:val="16"/>
                <w:szCs w:val="16"/>
              </w:rPr>
              <w:t>.</w:t>
            </w:r>
            <w:r>
              <w:rPr>
                <w:rFonts w:ascii="Calibri" w:hAnsi="Calibri" w:cs="Calibri"/>
                <w:color w:val="000000"/>
                <w:sz w:val="16"/>
                <w:szCs w:val="16"/>
              </w:rPr>
              <w:t>751</w:t>
            </w:r>
          </w:p>
        </w:tc>
        <w:tc>
          <w:tcPr>
            <w:tcW w:w="559" w:type="pct"/>
            <w:tcBorders>
              <w:top w:val="nil"/>
              <w:left w:val="nil"/>
              <w:bottom w:val="nil"/>
              <w:right w:val="nil"/>
            </w:tcBorders>
            <w:shd w:val="clear" w:color="auto" w:fill="auto"/>
            <w:vAlign w:val="center"/>
            <w:hideMark/>
          </w:tcPr>
          <w:p w14:paraId="15531D20" w14:textId="409894C1" w:rsidR="004866D6" w:rsidRPr="008D21F0" w:rsidRDefault="004866D6" w:rsidP="004866D6">
            <w:pPr>
              <w:jc w:val="right"/>
              <w:rPr>
                <w:rFonts w:ascii="Calibri" w:hAnsi="Calibri" w:cs="Calibri"/>
                <w:color w:val="000000"/>
                <w:sz w:val="16"/>
                <w:szCs w:val="16"/>
              </w:rPr>
            </w:pPr>
            <w:r w:rsidRPr="008D21F0">
              <w:rPr>
                <w:rFonts w:ascii="Calibri" w:hAnsi="Calibri" w:cs="Calibri"/>
                <w:color w:val="000000"/>
                <w:sz w:val="16"/>
                <w:szCs w:val="16"/>
              </w:rPr>
              <w:t>55.938</w:t>
            </w:r>
          </w:p>
        </w:tc>
      </w:tr>
      <w:tr w:rsidR="004866D6" w:rsidRPr="008D21F0" w14:paraId="30B53DD8" w14:textId="77777777" w:rsidTr="004866D6">
        <w:trPr>
          <w:trHeight w:val="300"/>
        </w:trPr>
        <w:tc>
          <w:tcPr>
            <w:tcW w:w="2771" w:type="pct"/>
            <w:tcBorders>
              <w:top w:val="nil"/>
              <w:left w:val="nil"/>
              <w:bottom w:val="nil"/>
              <w:right w:val="nil"/>
            </w:tcBorders>
            <w:shd w:val="clear" w:color="auto" w:fill="auto"/>
            <w:noWrap/>
            <w:vAlign w:val="center"/>
            <w:hideMark/>
          </w:tcPr>
          <w:p w14:paraId="49D91D9F" w14:textId="77777777" w:rsidR="004866D6" w:rsidRPr="008D21F0" w:rsidRDefault="004866D6" w:rsidP="004866D6">
            <w:pPr>
              <w:rPr>
                <w:rFonts w:ascii="Calibri" w:hAnsi="Calibri" w:cs="Calibri"/>
                <w:color w:val="000000"/>
                <w:sz w:val="16"/>
                <w:szCs w:val="16"/>
              </w:rPr>
            </w:pPr>
            <w:r w:rsidRPr="008D21F0">
              <w:rPr>
                <w:rFonts w:ascii="Calibri" w:hAnsi="Calibri" w:cs="Calibri"/>
                <w:color w:val="000000"/>
                <w:sz w:val="16"/>
                <w:szCs w:val="16"/>
              </w:rPr>
              <w:t xml:space="preserve">Nova </w:t>
            </w:r>
            <w:proofErr w:type="spellStart"/>
            <w:r w:rsidRPr="008D21F0">
              <w:rPr>
                <w:rFonts w:ascii="Calibri" w:hAnsi="Calibri" w:cs="Calibri"/>
                <w:color w:val="000000"/>
                <w:sz w:val="16"/>
                <w:szCs w:val="16"/>
              </w:rPr>
              <w:t>Agri</w:t>
            </w:r>
            <w:proofErr w:type="spellEnd"/>
            <w:r w:rsidRPr="008D21F0">
              <w:rPr>
                <w:rFonts w:ascii="Calibri" w:hAnsi="Calibri" w:cs="Calibri"/>
                <w:color w:val="000000"/>
                <w:sz w:val="16"/>
                <w:szCs w:val="16"/>
              </w:rPr>
              <w:t xml:space="preserve"> - Estrutura de Armazenagem e Escoamento S.A. 07/2011</w:t>
            </w:r>
          </w:p>
        </w:tc>
        <w:tc>
          <w:tcPr>
            <w:tcW w:w="1111" w:type="pct"/>
            <w:tcBorders>
              <w:top w:val="nil"/>
              <w:left w:val="nil"/>
              <w:bottom w:val="nil"/>
              <w:right w:val="nil"/>
            </w:tcBorders>
            <w:shd w:val="clear" w:color="auto" w:fill="auto"/>
            <w:noWrap/>
            <w:vAlign w:val="center"/>
            <w:hideMark/>
          </w:tcPr>
          <w:p w14:paraId="29523CF9" w14:textId="64BE2820" w:rsidR="004866D6" w:rsidRPr="008D21F0" w:rsidRDefault="004866D6" w:rsidP="004866D6">
            <w:pPr>
              <w:jc w:val="center"/>
              <w:rPr>
                <w:rFonts w:ascii="Calibri" w:hAnsi="Calibri" w:cs="Calibri"/>
                <w:color w:val="000000"/>
                <w:sz w:val="16"/>
                <w:szCs w:val="16"/>
              </w:rPr>
            </w:pPr>
            <w:r>
              <w:rPr>
                <w:rFonts w:ascii="Calibri" w:hAnsi="Calibri" w:cs="Calibri"/>
                <w:color w:val="000000"/>
                <w:sz w:val="16"/>
                <w:szCs w:val="16"/>
              </w:rPr>
              <w:t>4</w:t>
            </w:r>
            <w:r w:rsidR="0021659D">
              <w:rPr>
                <w:rFonts w:ascii="Calibri" w:hAnsi="Calibri" w:cs="Calibri"/>
                <w:color w:val="000000"/>
                <w:sz w:val="16"/>
                <w:szCs w:val="16"/>
              </w:rPr>
              <w:t>6</w:t>
            </w:r>
          </w:p>
        </w:tc>
        <w:tc>
          <w:tcPr>
            <w:tcW w:w="559" w:type="pct"/>
            <w:tcBorders>
              <w:top w:val="nil"/>
              <w:left w:val="nil"/>
              <w:bottom w:val="nil"/>
              <w:right w:val="nil"/>
            </w:tcBorders>
            <w:shd w:val="clear" w:color="auto" w:fill="auto"/>
            <w:noWrap/>
            <w:vAlign w:val="center"/>
            <w:hideMark/>
          </w:tcPr>
          <w:p w14:paraId="52F9D8A0" w14:textId="3F155E33" w:rsidR="004866D6" w:rsidRPr="008D21F0" w:rsidRDefault="004866D6" w:rsidP="004866D6">
            <w:pPr>
              <w:jc w:val="right"/>
              <w:rPr>
                <w:rFonts w:ascii="Calibri" w:hAnsi="Calibri" w:cs="Calibri"/>
                <w:color w:val="000000"/>
                <w:sz w:val="16"/>
                <w:szCs w:val="16"/>
              </w:rPr>
            </w:pPr>
            <w:r w:rsidRPr="008D21F0">
              <w:rPr>
                <w:rFonts w:ascii="Calibri" w:hAnsi="Calibri" w:cs="Calibri"/>
                <w:color w:val="000000"/>
                <w:sz w:val="16"/>
                <w:szCs w:val="16"/>
              </w:rPr>
              <w:t>1</w:t>
            </w:r>
            <w:r w:rsidR="004A642E">
              <w:rPr>
                <w:rFonts w:ascii="Calibri" w:hAnsi="Calibri" w:cs="Calibri"/>
                <w:color w:val="000000"/>
                <w:sz w:val="16"/>
                <w:szCs w:val="16"/>
              </w:rPr>
              <w:t>33</w:t>
            </w:r>
            <w:r w:rsidRPr="008D21F0">
              <w:rPr>
                <w:rFonts w:ascii="Calibri" w:hAnsi="Calibri" w:cs="Calibri"/>
                <w:color w:val="000000"/>
                <w:sz w:val="16"/>
                <w:szCs w:val="16"/>
              </w:rPr>
              <w:t>.</w:t>
            </w:r>
            <w:r w:rsidR="004A642E">
              <w:rPr>
                <w:rFonts w:ascii="Calibri" w:hAnsi="Calibri" w:cs="Calibri"/>
                <w:color w:val="000000"/>
                <w:sz w:val="16"/>
                <w:szCs w:val="16"/>
              </w:rPr>
              <w:t>0</w:t>
            </w:r>
            <w:r w:rsidR="00A77647">
              <w:rPr>
                <w:rFonts w:ascii="Calibri" w:hAnsi="Calibri" w:cs="Calibri"/>
                <w:color w:val="000000"/>
                <w:sz w:val="16"/>
                <w:szCs w:val="16"/>
              </w:rPr>
              <w:t>7</w:t>
            </w:r>
            <w:r w:rsidR="004A642E">
              <w:rPr>
                <w:rFonts w:ascii="Calibri" w:hAnsi="Calibri" w:cs="Calibri"/>
                <w:color w:val="000000"/>
                <w:sz w:val="16"/>
                <w:szCs w:val="16"/>
              </w:rPr>
              <w:t>1</w:t>
            </w:r>
          </w:p>
        </w:tc>
        <w:tc>
          <w:tcPr>
            <w:tcW w:w="559" w:type="pct"/>
            <w:tcBorders>
              <w:top w:val="nil"/>
              <w:left w:val="nil"/>
              <w:bottom w:val="nil"/>
              <w:right w:val="nil"/>
            </w:tcBorders>
            <w:shd w:val="clear" w:color="auto" w:fill="auto"/>
            <w:vAlign w:val="center"/>
            <w:hideMark/>
          </w:tcPr>
          <w:p w14:paraId="55F8467E" w14:textId="746FF589" w:rsidR="004866D6" w:rsidRPr="008D21F0" w:rsidRDefault="004866D6" w:rsidP="004866D6">
            <w:pPr>
              <w:jc w:val="right"/>
              <w:rPr>
                <w:rFonts w:ascii="Calibri" w:hAnsi="Calibri" w:cs="Calibri"/>
                <w:color w:val="000000"/>
                <w:sz w:val="16"/>
                <w:szCs w:val="16"/>
              </w:rPr>
            </w:pPr>
            <w:r w:rsidRPr="008D21F0">
              <w:rPr>
                <w:rFonts w:ascii="Calibri" w:hAnsi="Calibri" w:cs="Calibri"/>
                <w:color w:val="000000"/>
                <w:sz w:val="16"/>
                <w:szCs w:val="16"/>
              </w:rPr>
              <w:t>150.427</w:t>
            </w:r>
          </w:p>
        </w:tc>
      </w:tr>
      <w:tr w:rsidR="004866D6" w:rsidRPr="008D21F0" w14:paraId="0133582C" w14:textId="77777777" w:rsidTr="004866D6">
        <w:trPr>
          <w:trHeight w:val="300"/>
        </w:trPr>
        <w:tc>
          <w:tcPr>
            <w:tcW w:w="2771" w:type="pct"/>
            <w:tcBorders>
              <w:top w:val="nil"/>
              <w:left w:val="nil"/>
              <w:bottom w:val="nil"/>
              <w:right w:val="nil"/>
            </w:tcBorders>
            <w:shd w:val="clear" w:color="auto" w:fill="auto"/>
            <w:noWrap/>
            <w:vAlign w:val="center"/>
            <w:hideMark/>
          </w:tcPr>
          <w:p w14:paraId="34125ACA" w14:textId="77777777" w:rsidR="004866D6" w:rsidRPr="008D21F0" w:rsidRDefault="004866D6" w:rsidP="004866D6">
            <w:pPr>
              <w:rPr>
                <w:rFonts w:ascii="Calibri" w:hAnsi="Calibri" w:cs="Calibri"/>
                <w:color w:val="000000"/>
                <w:sz w:val="16"/>
                <w:szCs w:val="16"/>
              </w:rPr>
            </w:pPr>
            <w:r w:rsidRPr="008D21F0">
              <w:rPr>
                <w:rFonts w:ascii="Calibri" w:hAnsi="Calibri" w:cs="Calibri"/>
                <w:color w:val="000000"/>
                <w:sz w:val="16"/>
                <w:szCs w:val="16"/>
              </w:rPr>
              <w:t xml:space="preserve">Nova </w:t>
            </w:r>
            <w:proofErr w:type="spellStart"/>
            <w:r w:rsidRPr="008D21F0">
              <w:rPr>
                <w:rFonts w:ascii="Calibri" w:hAnsi="Calibri" w:cs="Calibri"/>
                <w:color w:val="000000"/>
                <w:sz w:val="16"/>
                <w:szCs w:val="16"/>
              </w:rPr>
              <w:t>Agri</w:t>
            </w:r>
            <w:proofErr w:type="spellEnd"/>
            <w:r w:rsidRPr="008D21F0">
              <w:rPr>
                <w:rFonts w:ascii="Calibri" w:hAnsi="Calibri" w:cs="Calibri"/>
                <w:color w:val="000000"/>
                <w:sz w:val="16"/>
                <w:szCs w:val="16"/>
              </w:rPr>
              <w:t xml:space="preserve"> - Estrutura de Armazenagem e Escoamento S.A. 25/2012</w:t>
            </w:r>
          </w:p>
        </w:tc>
        <w:tc>
          <w:tcPr>
            <w:tcW w:w="1111" w:type="pct"/>
            <w:tcBorders>
              <w:top w:val="nil"/>
              <w:left w:val="nil"/>
              <w:bottom w:val="nil"/>
              <w:right w:val="nil"/>
            </w:tcBorders>
            <w:shd w:val="clear" w:color="auto" w:fill="auto"/>
            <w:noWrap/>
            <w:vAlign w:val="center"/>
            <w:hideMark/>
          </w:tcPr>
          <w:p w14:paraId="3F31D09F" w14:textId="6630E500" w:rsidR="004866D6" w:rsidRPr="008D21F0" w:rsidRDefault="004866D6" w:rsidP="004866D6">
            <w:pPr>
              <w:jc w:val="center"/>
              <w:rPr>
                <w:rFonts w:ascii="Calibri" w:hAnsi="Calibri" w:cs="Calibri"/>
                <w:color w:val="000000"/>
                <w:sz w:val="16"/>
                <w:szCs w:val="16"/>
              </w:rPr>
            </w:pPr>
            <w:r w:rsidRPr="008D21F0">
              <w:rPr>
                <w:rFonts w:ascii="Calibri" w:hAnsi="Calibri" w:cs="Calibri"/>
                <w:color w:val="000000"/>
                <w:sz w:val="16"/>
                <w:szCs w:val="16"/>
              </w:rPr>
              <w:t>6</w:t>
            </w:r>
            <w:r w:rsidR="0021659D">
              <w:rPr>
                <w:rFonts w:ascii="Calibri" w:hAnsi="Calibri" w:cs="Calibri"/>
                <w:color w:val="000000"/>
                <w:sz w:val="16"/>
                <w:szCs w:val="16"/>
              </w:rPr>
              <w:t>3</w:t>
            </w:r>
          </w:p>
        </w:tc>
        <w:tc>
          <w:tcPr>
            <w:tcW w:w="559" w:type="pct"/>
            <w:tcBorders>
              <w:top w:val="nil"/>
              <w:left w:val="nil"/>
              <w:bottom w:val="nil"/>
              <w:right w:val="nil"/>
            </w:tcBorders>
            <w:shd w:val="clear" w:color="auto" w:fill="auto"/>
            <w:noWrap/>
            <w:vAlign w:val="center"/>
            <w:hideMark/>
          </w:tcPr>
          <w:p w14:paraId="751D4A69" w14:textId="2B0FF6A6" w:rsidR="004866D6" w:rsidRPr="008D21F0" w:rsidRDefault="004866D6" w:rsidP="004866D6">
            <w:pPr>
              <w:jc w:val="right"/>
              <w:rPr>
                <w:rFonts w:ascii="Calibri" w:hAnsi="Calibri" w:cs="Calibri"/>
                <w:color w:val="000000"/>
                <w:sz w:val="16"/>
                <w:szCs w:val="16"/>
              </w:rPr>
            </w:pPr>
            <w:r w:rsidRPr="008D21F0">
              <w:rPr>
                <w:rFonts w:ascii="Calibri" w:hAnsi="Calibri" w:cs="Calibri"/>
                <w:color w:val="000000"/>
                <w:sz w:val="16"/>
                <w:szCs w:val="16"/>
              </w:rPr>
              <w:t>7</w:t>
            </w:r>
            <w:r w:rsidR="004A642E">
              <w:rPr>
                <w:rFonts w:ascii="Calibri" w:hAnsi="Calibri" w:cs="Calibri"/>
                <w:color w:val="000000"/>
                <w:sz w:val="16"/>
                <w:szCs w:val="16"/>
              </w:rPr>
              <w:t>00</w:t>
            </w:r>
            <w:r w:rsidRPr="008D21F0">
              <w:rPr>
                <w:rFonts w:ascii="Calibri" w:hAnsi="Calibri" w:cs="Calibri"/>
                <w:color w:val="000000"/>
                <w:sz w:val="16"/>
                <w:szCs w:val="16"/>
              </w:rPr>
              <w:t>.</w:t>
            </w:r>
            <w:r w:rsidR="004A642E">
              <w:rPr>
                <w:rFonts w:ascii="Calibri" w:hAnsi="Calibri" w:cs="Calibri"/>
                <w:color w:val="000000"/>
                <w:sz w:val="16"/>
                <w:szCs w:val="16"/>
              </w:rPr>
              <w:t>002</w:t>
            </w:r>
          </w:p>
        </w:tc>
        <w:tc>
          <w:tcPr>
            <w:tcW w:w="559" w:type="pct"/>
            <w:tcBorders>
              <w:top w:val="nil"/>
              <w:left w:val="nil"/>
              <w:bottom w:val="nil"/>
              <w:right w:val="nil"/>
            </w:tcBorders>
            <w:shd w:val="clear" w:color="auto" w:fill="auto"/>
            <w:vAlign w:val="center"/>
            <w:hideMark/>
          </w:tcPr>
          <w:p w14:paraId="7FBC9880" w14:textId="4E131723" w:rsidR="004866D6" w:rsidRPr="008D21F0" w:rsidRDefault="004866D6" w:rsidP="004866D6">
            <w:pPr>
              <w:jc w:val="right"/>
              <w:rPr>
                <w:rFonts w:ascii="Calibri" w:hAnsi="Calibri" w:cs="Calibri"/>
                <w:color w:val="000000"/>
                <w:sz w:val="16"/>
                <w:szCs w:val="16"/>
              </w:rPr>
            </w:pPr>
            <w:r w:rsidRPr="008D21F0">
              <w:rPr>
                <w:rFonts w:ascii="Calibri" w:hAnsi="Calibri" w:cs="Calibri"/>
                <w:color w:val="000000"/>
                <w:sz w:val="16"/>
                <w:szCs w:val="16"/>
              </w:rPr>
              <w:t>766.669</w:t>
            </w:r>
          </w:p>
        </w:tc>
      </w:tr>
      <w:tr w:rsidR="004866D6" w:rsidRPr="008D21F0" w14:paraId="04124B52" w14:textId="77777777" w:rsidTr="004866D6">
        <w:trPr>
          <w:trHeight w:val="300"/>
        </w:trPr>
        <w:tc>
          <w:tcPr>
            <w:tcW w:w="2771" w:type="pct"/>
            <w:tcBorders>
              <w:top w:val="nil"/>
              <w:left w:val="nil"/>
              <w:bottom w:val="nil"/>
              <w:right w:val="nil"/>
            </w:tcBorders>
            <w:shd w:val="clear" w:color="auto" w:fill="auto"/>
            <w:noWrap/>
            <w:vAlign w:val="center"/>
            <w:hideMark/>
          </w:tcPr>
          <w:p w14:paraId="29CA323A" w14:textId="77777777" w:rsidR="004866D6" w:rsidRPr="008D21F0" w:rsidRDefault="004866D6" w:rsidP="004866D6">
            <w:pPr>
              <w:rPr>
                <w:rFonts w:ascii="Calibri" w:hAnsi="Calibri" w:cs="Calibri"/>
                <w:color w:val="000000"/>
                <w:sz w:val="16"/>
                <w:szCs w:val="16"/>
              </w:rPr>
            </w:pPr>
            <w:r w:rsidRPr="008D21F0">
              <w:rPr>
                <w:rFonts w:ascii="Calibri" w:hAnsi="Calibri" w:cs="Calibri"/>
                <w:color w:val="000000"/>
                <w:sz w:val="16"/>
                <w:szCs w:val="16"/>
              </w:rPr>
              <w:t>Consórcio Pedro Afonso – Bunge S.A. 38/2010</w:t>
            </w:r>
          </w:p>
        </w:tc>
        <w:tc>
          <w:tcPr>
            <w:tcW w:w="1111" w:type="pct"/>
            <w:tcBorders>
              <w:top w:val="nil"/>
              <w:left w:val="nil"/>
              <w:bottom w:val="nil"/>
              <w:right w:val="nil"/>
            </w:tcBorders>
            <w:shd w:val="clear" w:color="auto" w:fill="auto"/>
            <w:noWrap/>
            <w:vAlign w:val="center"/>
            <w:hideMark/>
          </w:tcPr>
          <w:p w14:paraId="4CF5B549" w14:textId="0B3D00D8" w:rsidR="004866D6" w:rsidRPr="008D21F0" w:rsidRDefault="004866D6" w:rsidP="004866D6">
            <w:pPr>
              <w:jc w:val="center"/>
              <w:rPr>
                <w:rFonts w:ascii="Calibri" w:hAnsi="Calibri" w:cs="Calibri"/>
                <w:color w:val="000000"/>
                <w:sz w:val="16"/>
                <w:szCs w:val="16"/>
              </w:rPr>
            </w:pPr>
            <w:r>
              <w:rPr>
                <w:rFonts w:ascii="Calibri" w:hAnsi="Calibri" w:cs="Calibri"/>
                <w:color w:val="000000"/>
                <w:sz w:val="16"/>
                <w:szCs w:val="16"/>
              </w:rPr>
              <w:t>3</w:t>
            </w:r>
            <w:r w:rsidR="0021659D">
              <w:rPr>
                <w:rFonts w:ascii="Calibri" w:hAnsi="Calibri" w:cs="Calibri"/>
                <w:color w:val="000000"/>
                <w:sz w:val="16"/>
                <w:szCs w:val="16"/>
              </w:rPr>
              <w:t>5</w:t>
            </w:r>
          </w:p>
        </w:tc>
        <w:tc>
          <w:tcPr>
            <w:tcW w:w="559" w:type="pct"/>
            <w:tcBorders>
              <w:top w:val="nil"/>
              <w:left w:val="nil"/>
              <w:bottom w:val="nil"/>
              <w:right w:val="nil"/>
            </w:tcBorders>
            <w:shd w:val="clear" w:color="auto" w:fill="auto"/>
            <w:noWrap/>
            <w:vAlign w:val="center"/>
            <w:hideMark/>
          </w:tcPr>
          <w:p w14:paraId="09388B2D" w14:textId="6297BA49" w:rsidR="004866D6" w:rsidRPr="008D21F0" w:rsidRDefault="004A642E" w:rsidP="004866D6">
            <w:pPr>
              <w:jc w:val="right"/>
              <w:rPr>
                <w:rFonts w:ascii="Calibri" w:hAnsi="Calibri" w:cs="Calibri"/>
                <w:color w:val="000000"/>
                <w:sz w:val="16"/>
                <w:szCs w:val="16"/>
              </w:rPr>
            </w:pPr>
            <w:r>
              <w:rPr>
                <w:rFonts w:ascii="Calibri" w:hAnsi="Calibri" w:cs="Calibri"/>
                <w:color w:val="000000"/>
                <w:sz w:val="16"/>
                <w:szCs w:val="16"/>
              </w:rPr>
              <w:t>59</w:t>
            </w:r>
            <w:r w:rsidR="004866D6" w:rsidRPr="008D21F0">
              <w:rPr>
                <w:rFonts w:ascii="Calibri" w:hAnsi="Calibri" w:cs="Calibri"/>
                <w:color w:val="000000"/>
                <w:sz w:val="16"/>
                <w:szCs w:val="16"/>
              </w:rPr>
              <w:t>.</w:t>
            </w:r>
            <w:r w:rsidR="00A77647">
              <w:rPr>
                <w:rFonts w:ascii="Calibri" w:hAnsi="Calibri" w:cs="Calibri"/>
                <w:color w:val="000000"/>
                <w:sz w:val="16"/>
                <w:szCs w:val="16"/>
              </w:rPr>
              <w:t>5</w:t>
            </w:r>
            <w:r>
              <w:rPr>
                <w:rFonts w:ascii="Calibri" w:hAnsi="Calibri" w:cs="Calibri"/>
                <w:color w:val="000000"/>
                <w:sz w:val="16"/>
                <w:szCs w:val="16"/>
              </w:rPr>
              <w:t>81</w:t>
            </w:r>
          </w:p>
        </w:tc>
        <w:tc>
          <w:tcPr>
            <w:tcW w:w="559" w:type="pct"/>
            <w:tcBorders>
              <w:top w:val="nil"/>
              <w:left w:val="nil"/>
              <w:bottom w:val="nil"/>
              <w:right w:val="nil"/>
            </w:tcBorders>
            <w:shd w:val="clear" w:color="auto" w:fill="auto"/>
            <w:vAlign w:val="center"/>
            <w:hideMark/>
          </w:tcPr>
          <w:p w14:paraId="593FEA74" w14:textId="2DBB8614" w:rsidR="004866D6" w:rsidRPr="008D21F0" w:rsidRDefault="004866D6" w:rsidP="004866D6">
            <w:pPr>
              <w:jc w:val="right"/>
              <w:rPr>
                <w:rFonts w:ascii="Calibri" w:hAnsi="Calibri" w:cs="Calibri"/>
                <w:color w:val="000000"/>
                <w:sz w:val="16"/>
                <w:szCs w:val="16"/>
              </w:rPr>
            </w:pPr>
            <w:r w:rsidRPr="008D21F0">
              <w:rPr>
                <w:rFonts w:ascii="Calibri" w:hAnsi="Calibri" w:cs="Calibri"/>
                <w:color w:val="000000"/>
                <w:sz w:val="16"/>
                <w:szCs w:val="16"/>
              </w:rPr>
              <w:t>69.512</w:t>
            </w:r>
          </w:p>
        </w:tc>
      </w:tr>
      <w:tr w:rsidR="004866D6" w:rsidRPr="008D21F0" w14:paraId="3A782FB9" w14:textId="77777777" w:rsidTr="004866D6">
        <w:trPr>
          <w:trHeight w:val="300"/>
        </w:trPr>
        <w:tc>
          <w:tcPr>
            <w:tcW w:w="2771" w:type="pct"/>
            <w:tcBorders>
              <w:top w:val="nil"/>
              <w:left w:val="nil"/>
              <w:bottom w:val="nil"/>
              <w:right w:val="nil"/>
            </w:tcBorders>
            <w:shd w:val="clear" w:color="auto" w:fill="auto"/>
            <w:noWrap/>
            <w:vAlign w:val="center"/>
            <w:hideMark/>
          </w:tcPr>
          <w:p w14:paraId="4CE040D6" w14:textId="77777777" w:rsidR="004866D6" w:rsidRPr="008D21F0" w:rsidRDefault="004866D6" w:rsidP="004866D6">
            <w:pPr>
              <w:rPr>
                <w:rFonts w:ascii="Calibri" w:hAnsi="Calibri" w:cs="Calibri"/>
                <w:color w:val="000000"/>
                <w:sz w:val="16"/>
                <w:szCs w:val="16"/>
              </w:rPr>
            </w:pPr>
            <w:r w:rsidRPr="008D21F0">
              <w:rPr>
                <w:rFonts w:ascii="Calibri" w:hAnsi="Calibri" w:cs="Calibri"/>
                <w:color w:val="000000"/>
                <w:sz w:val="16"/>
                <w:szCs w:val="16"/>
              </w:rPr>
              <w:t>Consórcio Pedro Afonso – Bunge S.A. 39/2010</w:t>
            </w:r>
          </w:p>
        </w:tc>
        <w:tc>
          <w:tcPr>
            <w:tcW w:w="1111" w:type="pct"/>
            <w:tcBorders>
              <w:top w:val="nil"/>
              <w:left w:val="nil"/>
              <w:bottom w:val="nil"/>
              <w:right w:val="nil"/>
            </w:tcBorders>
            <w:shd w:val="clear" w:color="auto" w:fill="auto"/>
            <w:noWrap/>
            <w:vAlign w:val="center"/>
            <w:hideMark/>
          </w:tcPr>
          <w:p w14:paraId="5224267C" w14:textId="08DE2CDD" w:rsidR="004866D6" w:rsidRPr="008D21F0" w:rsidRDefault="004866D6" w:rsidP="004866D6">
            <w:pPr>
              <w:jc w:val="center"/>
              <w:rPr>
                <w:rFonts w:ascii="Calibri" w:hAnsi="Calibri" w:cs="Calibri"/>
                <w:color w:val="000000"/>
                <w:sz w:val="16"/>
                <w:szCs w:val="16"/>
              </w:rPr>
            </w:pPr>
            <w:r>
              <w:rPr>
                <w:rFonts w:ascii="Calibri" w:hAnsi="Calibri" w:cs="Calibri"/>
                <w:color w:val="000000"/>
                <w:sz w:val="16"/>
                <w:szCs w:val="16"/>
              </w:rPr>
              <w:t>3</w:t>
            </w:r>
            <w:r w:rsidR="0021659D">
              <w:rPr>
                <w:rFonts w:ascii="Calibri" w:hAnsi="Calibri" w:cs="Calibri"/>
                <w:color w:val="000000"/>
                <w:sz w:val="16"/>
                <w:szCs w:val="16"/>
              </w:rPr>
              <w:t>5</w:t>
            </w:r>
          </w:p>
        </w:tc>
        <w:tc>
          <w:tcPr>
            <w:tcW w:w="559" w:type="pct"/>
            <w:tcBorders>
              <w:top w:val="nil"/>
              <w:left w:val="nil"/>
              <w:bottom w:val="nil"/>
              <w:right w:val="nil"/>
            </w:tcBorders>
            <w:shd w:val="clear" w:color="auto" w:fill="auto"/>
            <w:noWrap/>
            <w:vAlign w:val="center"/>
            <w:hideMark/>
          </w:tcPr>
          <w:p w14:paraId="4FE54D98" w14:textId="5D4BB939" w:rsidR="004866D6" w:rsidRPr="008D21F0" w:rsidRDefault="004A642E" w:rsidP="004866D6">
            <w:pPr>
              <w:jc w:val="right"/>
              <w:rPr>
                <w:rFonts w:ascii="Calibri" w:hAnsi="Calibri" w:cs="Calibri"/>
                <w:color w:val="000000"/>
                <w:sz w:val="16"/>
                <w:szCs w:val="16"/>
              </w:rPr>
            </w:pPr>
            <w:r>
              <w:rPr>
                <w:rFonts w:ascii="Calibri" w:hAnsi="Calibri" w:cs="Calibri"/>
                <w:color w:val="000000"/>
                <w:sz w:val="16"/>
                <w:szCs w:val="16"/>
              </w:rPr>
              <w:t>59</w:t>
            </w:r>
            <w:r w:rsidR="004866D6" w:rsidRPr="008D21F0">
              <w:rPr>
                <w:rFonts w:ascii="Calibri" w:hAnsi="Calibri" w:cs="Calibri"/>
                <w:color w:val="000000"/>
                <w:sz w:val="16"/>
                <w:szCs w:val="16"/>
              </w:rPr>
              <w:t>.</w:t>
            </w:r>
            <w:r>
              <w:rPr>
                <w:rFonts w:ascii="Calibri" w:hAnsi="Calibri" w:cs="Calibri"/>
                <w:color w:val="000000"/>
                <w:sz w:val="16"/>
                <w:szCs w:val="16"/>
              </w:rPr>
              <w:t>581</w:t>
            </w:r>
          </w:p>
        </w:tc>
        <w:tc>
          <w:tcPr>
            <w:tcW w:w="559" w:type="pct"/>
            <w:tcBorders>
              <w:top w:val="nil"/>
              <w:left w:val="nil"/>
              <w:bottom w:val="nil"/>
              <w:right w:val="nil"/>
            </w:tcBorders>
            <w:shd w:val="clear" w:color="auto" w:fill="auto"/>
            <w:vAlign w:val="center"/>
            <w:hideMark/>
          </w:tcPr>
          <w:p w14:paraId="2ADEA54C" w14:textId="1D2D5440" w:rsidR="004866D6" w:rsidRPr="008D21F0" w:rsidRDefault="004866D6" w:rsidP="004866D6">
            <w:pPr>
              <w:jc w:val="right"/>
              <w:rPr>
                <w:rFonts w:ascii="Calibri" w:hAnsi="Calibri" w:cs="Calibri"/>
                <w:color w:val="000000"/>
                <w:sz w:val="16"/>
                <w:szCs w:val="16"/>
              </w:rPr>
            </w:pPr>
            <w:r w:rsidRPr="008D21F0">
              <w:rPr>
                <w:rFonts w:ascii="Calibri" w:hAnsi="Calibri" w:cs="Calibri"/>
                <w:color w:val="000000"/>
                <w:sz w:val="16"/>
                <w:szCs w:val="16"/>
              </w:rPr>
              <w:t>69.512</w:t>
            </w:r>
          </w:p>
        </w:tc>
      </w:tr>
      <w:tr w:rsidR="004866D6" w:rsidRPr="008D21F0" w14:paraId="54AFDAE1" w14:textId="77777777" w:rsidTr="004866D6">
        <w:trPr>
          <w:trHeight w:val="300"/>
        </w:trPr>
        <w:tc>
          <w:tcPr>
            <w:tcW w:w="2771" w:type="pct"/>
            <w:tcBorders>
              <w:top w:val="nil"/>
              <w:left w:val="nil"/>
              <w:bottom w:val="nil"/>
              <w:right w:val="nil"/>
            </w:tcBorders>
            <w:shd w:val="clear" w:color="auto" w:fill="auto"/>
            <w:noWrap/>
            <w:vAlign w:val="center"/>
            <w:hideMark/>
          </w:tcPr>
          <w:p w14:paraId="2FCBA141" w14:textId="77777777" w:rsidR="004866D6" w:rsidRPr="008D21F0" w:rsidRDefault="004866D6" w:rsidP="004866D6">
            <w:pPr>
              <w:rPr>
                <w:rFonts w:ascii="Calibri" w:hAnsi="Calibri" w:cs="Calibri"/>
                <w:color w:val="000000"/>
                <w:sz w:val="16"/>
                <w:szCs w:val="16"/>
              </w:rPr>
            </w:pPr>
            <w:r w:rsidRPr="008D21F0">
              <w:rPr>
                <w:rFonts w:ascii="Calibri" w:hAnsi="Calibri" w:cs="Calibri"/>
                <w:color w:val="000000"/>
                <w:sz w:val="16"/>
                <w:szCs w:val="16"/>
              </w:rPr>
              <w:t>Petrobras Distribuidora S.A. 08/2011</w:t>
            </w:r>
          </w:p>
        </w:tc>
        <w:tc>
          <w:tcPr>
            <w:tcW w:w="1111" w:type="pct"/>
            <w:tcBorders>
              <w:top w:val="nil"/>
              <w:left w:val="nil"/>
              <w:bottom w:val="nil"/>
              <w:right w:val="nil"/>
            </w:tcBorders>
            <w:shd w:val="clear" w:color="auto" w:fill="auto"/>
            <w:noWrap/>
            <w:vAlign w:val="center"/>
            <w:hideMark/>
          </w:tcPr>
          <w:p w14:paraId="31F5F44F" w14:textId="186B4765" w:rsidR="004866D6" w:rsidRPr="008D21F0" w:rsidRDefault="004866D6" w:rsidP="004866D6">
            <w:pPr>
              <w:jc w:val="center"/>
              <w:rPr>
                <w:rFonts w:ascii="Calibri" w:hAnsi="Calibri" w:cs="Calibri"/>
                <w:color w:val="000000"/>
                <w:sz w:val="16"/>
                <w:szCs w:val="16"/>
              </w:rPr>
            </w:pPr>
            <w:r>
              <w:rPr>
                <w:rFonts w:ascii="Calibri" w:hAnsi="Calibri" w:cs="Calibri"/>
                <w:color w:val="000000"/>
                <w:sz w:val="16"/>
                <w:szCs w:val="16"/>
              </w:rPr>
              <w:t>4</w:t>
            </w:r>
            <w:r w:rsidR="0021659D">
              <w:rPr>
                <w:rFonts w:ascii="Calibri" w:hAnsi="Calibri" w:cs="Calibri"/>
                <w:color w:val="000000"/>
                <w:sz w:val="16"/>
                <w:szCs w:val="16"/>
              </w:rPr>
              <w:t>6</w:t>
            </w:r>
          </w:p>
        </w:tc>
        <w:tc>
          <w:tcPr>
            <w:tcW w:w="559" w:type="pct"/>
            <w:tcBorders>
              <w:top w:val="nil"/>
              <w:left w:val="nil"/>
              <w:bottom w:val="nil"/>
              <w:right w:val="nil"/>
            </w:tcBorders>
            <w:shd w:val="clear" w:color="auto" w:fill="auto"/>
            <w:noWrap/>
            <w:vAlign w:val="center"/>
            <w:hideMark/>
          </w:tcPr>
          <w:p w14:paraId="43AA4F4B" w14:textId="5A84D80B" w:rsidR="004866D6" w:rsidRPr="008D21F0" w:rsidRDefault="004866D6" w:rsidP="004866D6">
            <w:pPr>
              <w:jc w:val="right"/>
              <w:rPr>
                <w:rFonts w:ascii="Calibri" w:hAnsi="Calibri" w:cs="Calibri"/>
                <w:color w:val="000000"/>
                <w:sz w:val="16"/>
                <w:szCs w:val="16"/>
              </w:rPr>
            </w:pPr>
            <w:r w:rsidRPr="008D21F0">
              <w:rPr>
                <w:rFonts w:ascii="Calibri" w:hAnsi="Calibri" w:cs="Calibri"/>
                <w:color w:val="000000"/>
                <w:sz w:val="16"/>
                <w:szCs w:val="16"/>
              </w:rPr>
              <w:t>4</w:t>
            </w:r>
            <w:r w:rsidR="004A642E">
              <w:rPr>
                <w:rFonts w:ascii="Calibri" w:hAnsi="Calibri" w:cs="Calibri"/>
                <w:color w:val="000000"/>
                <w:sz w:val="16"/>
                <w:szCs w:val="16"/>
              </w:rPr>
              <w:t>1</w:t>
            </w:r>
            <w:r w:rsidR="00A77647">
              <w:rPr>
                <w:rFonts w:ascii="Calibri" w:hAnsi="Calibri" w:cs="Calibri"/>
                <w:color w:val="000000"/>
                <w:sz w:val="16"/>
                <w:szCs w:val="16"/>
              </w:rPr>
              <w:t>4</w:t>
            </w:r>
            <w:r w:rsidRPr="008D21F0">
              <w:rPr>
                <w:rFonts w:ascii="Calibri" w:hAnsi="Calibri" w:cs="Calibri"/>
                <w:color w:val="000000"/>
                <w:sz w:val="16"/>
                <w:szCs w:val="16"/>
              </w:rPr>
              <w:t>.</w:t>
            </w:r>
            <w:r w:rsidR="004A642E">
              <w:rPr>
                <w:rFonts w:ascii="Calibri" w:hAnsi="Calibri" w:cs="Calibri"/>
                <w:color w:val="000000"/>
                <w:sz w:val="16"/>
                <w:szCs w:val="16"/>
              </w:rPr>
              <w:t>256</w:t>
            </w:r>
          </w:p>
        </w:tc>
        <w:tc>
          <w:tcPr>
            <w:tcW w:w="559" w:type="pct"/>
            <w:tcBorders>
              <w:top w:val="nil"/>
              <w:left w:val="nil"/>
              <w:bottom w:val="nil"/>
              <w:right w:val="nil"/>
            </w:tcBorders>
            <w:shd w:val="clear" w:color="auto" w:fill="auto"/>
            <w:vAlign w:val="center"/>
            <w:hideMark/>
          </w:tcPr>
          <w:p w14:paraId="77B0CCDB" w14:textId="513C74AD" w:rsidR="004866D6" w:rsidRPr="008D21F0" w:rsidRDefault="004866D6" w:rsidP="004866D6">
            <w:pPr>
              <w:jc w:val="right"/>
              <w:rPr>
                <w:rFonts w:ascii="Calibri" w:hAnsi="Calibri" w:cs="Calibri"/>
                <w:color w:val="000000"/>
                <w:sz w:val="16"/>
                <w:szCs w:val="16"/>
              </w:rPr>
            </w:pPr>
            <w:r w:rsidRPr="008D21F0">
              <w:rPr>
                <w:rFonts w:ascii="Calibri" w:hAnsi="Calibri" w:cs="Calibri"/>
                <w:color w:val="000000"/>
                <w:sz w:val="16"/>
                <w:szCs w:val="16"/>
              </w:rPr>
              <w:t>468.289</w:t>
            </w:r>
          </w:p>
        </w:tc>
      </w:tr>
      <w:tr w:rsidR="004866D6" w14:paraId="32E41543" w14:textId="77777777" w:rsidTr="004866D6">
        <w:trPr>
          <w:trHeight w:val="300"/>
        </w:trPr>
        <w:tc>
          <w:tcPr>
            <w:tcW w:w="2771" w:type="pct"/>
            <w:tcBorders>
              <w:top w:val="nil"/>
              <w:left w:val="nil"/>
              <w:bottom w:val="nil"/>
              <w:right w:val="nil"/>
            </w:tcBorders>
            <w:shd w:val="clear" w:color="auto" w:fill="auto"/>
            <w:noWrap/>
            <w:vAlign w:val="center"/>
            <w:hideMark/>
          </w:tcPr>
          <w:p w14:paraId="796CC42C" w14:textId="77777777" w:rsidR="004866D6" w:rsidRPr="008D21F0" w:rsidRDefault="004866D6" w:rsidP="004866D6">
            <w:pPr>
              <w:rPr>
                <w:rFonts w:ascii="Calibri" w:hAnsi="Calibri" w:cs="Calibri"/>
                <w:color w:val="000000"/>
                <w:sz w:val="16"/>
                <w:szCs w:val="16"/>
              </w:rPr>
            </w:pPr>
            <w:r w:rsidRPr="008D21F0">
              <w:rPr>
                <w:rFonts w:ascii="Calibri" w:hAnsi="Calibri" w:cs="Calibri"/>
                <w:color w:val="000000"/>
                <w:sz w:val="16"/>
                <w:szCs w:val="16"/>
              </w:rPr>
              <w:t>Porto Seco Centro Oeste S.A. 13/2016</w:t>
            </w:r>
          </w:p>
        </w:tc>
        <w:tc>
          <w:tcPr>
            <w:tcW w:w="1111" w:type="pct"/>
            <w:tcBorders>
              <w:top w:val="nil"/>
              <w:left w:val="nil"/>
              <w:bottom w:val="nil"/>
              <w:right w:val="nil"/>
            </w:tcBorders>
            <w:shd w:val="clear" w:color="auto" w:fill="auto"/>
            <w:noWrap/>
            <w:vAlign w:val="center"/>
            <w:hideMark/>
          </w:tcPr>
          <w:p w14:paraId="5CAED567" w14:textId="03D2CF6B" w:rsidR="004866D6" w:rsidRPr="008D21F0" w:rsidRDefault="004866D6" w:rsidP="004866D6">
            <w:pPr>
              <w:jc w:val="center"/>
              <w:rPr>
                <w:rFonts w:ascii="Calibri" w:hAnsi="Calibri" w:cs="Calibri"/>
                <w:color w:val="000000"/>
                <w:sz w:val="16"/>
                <w:szCs w:val="16"/>
              </w:rPr>
            </w:pPr>
            <w:r w:rsidRPr="008D21F0">
              <w:rPr>
                <w:rFonts w:ascii="Calibri" w:hAnsi="Calibri" w:cs="Calibri"/>
                <w:color w:val="000000"/>
                <w:sz w:val="16"/>
                <w:szCs w:val="16"/>
              </w:rPr>
              <w:t>2</w:t>
            </w:r>
            <w:r w:rsidR="0021659D">
              <w:rPr>
                <w:rFonts w:ascii="Calibri" w:hAnsi="Calibri" w:cs="Calibri"/>
                <w:color w:val="000000"/>
                <w:sz w:val="16"/>
                <w:szCs w:val="16"/>
              </w:rPr>
              <w:t>87</w:t>
            </w:r>
          </w:p>
        </w:tc>
        <w:tc>
          <w:tcPr>
            <w:tcW w:w="559" w:type="pct"/>
            <w:tcBorders>
              <w:top w:val="nil"/>
              <w:left w:val="nil"/>
              <w:bottom w:val="nil"/>
              <w:right w:val="nil"/>
            </w:tcBorders>
            <w:shd w:val="clear" w:color="auto" w:fill="auto"/>
            <w:noWrap/>
            <w:vAlign w:val="center"/>
            <w:hideMark/>
          </w:tcPr>
          <w:p w14:paraId="3A3DAF5A" w14:textId="159B24D4" w:rsidR="004866D6" w:rsidRPr="008D21F0" w:rsidRDefault="004866D6" w:rsidP="004866D6">
            <w:pPr>
              <w:jc w:val="right"/>
              <w:rPr>
                <w:rFonts w:ascii="Calibri" w:hAnsi="Calibri" w:cs="Calibri"/>
                <w:color w:val="000000"/>
                <w:sz w:val="16"/>
                <w:szCs w:val="16"/>
              </w:rPr>
            </w:pPr>
            <w:r w:rsidRPr="008D21F0">
              <w:rPr>
                <w:rFonts w:ascii="Calibri" w:hAnsi="Calibri" w:cs="Calibri"/>
                <w:color w:val="000000"/>
                <w:sz w:val="16"/>
                <w:szCs w:val="16"/>
              </w:rPr>
              <w:t>7.</w:t>
            </w:r>
            <w:r w:rsidR="004A642E">
              <w:rPr>
                <w:rFonts w:ascii="Calibri" w:hAnsi="Calibri" w:cs="Calibri"/>
                <w:color w:val="000000"/>
                <w:sz w:val="16"/>
                <w:szCs w:val="16"/>
              </w:rPr>
              <w:t>65</w:t>
            </w:r>
            <w:r w:rsidRPr="008D21F0">
              <w:rPr>
                <w:rFonts w:ascii="Calibri" w:hAnsi="Calibri" w:cs="Calibri"/>
                <w:color w:val="000000"/>
                <w:sz w:val="16"/>
                <w:szCs w:val="16"/>
              </w:rPr>
              <w:t>3.333</w:t>
            </w:r>
          </w:p>
        </w:tc>
        <w:tc>
          <w:tcPr>
            <w:tcW w:w="559" w:type="pct"/>
            <w:tcBorders>
              <w:top w:val="nil"/>
              <w:left w:val="nil"/>
              <w:bottom w:val="nil"/>
              <w:right w:val="nil"/>
            </w:tcBorders>
            <w:shd w:val="clear" w:color="auto" w:fill="auto"/>
            <w:vAlign w:val="center"/>
            <w:hideMark/>
          </w:tcPr>
          <w:p w14:paraId="6B7CEEDA" w14:textId="2FAAF463" w:rsidR="004866D6" w:rsidRDefault="004866D6" w:rsidP="004866D6">
            <w:pPr>
              <w:jc w:val="right"/>
              <w:rPr>
                <w:rFonts w:ascii="Calibri" w:hAnsi="Calibri" w:cs="Calibri"/>
                <w:color w:val="000000"/>
                <w:sz w:val="16"/>
                <w:szCs w:val="16"/>
              </w:rPr>
            </w:pPr>
            <w:r w:rsidRPr="008D21F0">
              <w:rPr>
                <w:rFonts w:ascii="Calibri" w:hAnsi="Calibri" w:cs="Calibri"/>
                <w:color w:val="000000"/>
                <w:sz w:val="16"/>
                <w:szCs w:val="16"/>
              </w:rPr>
              <w:t>7.813.333</w:t>
            </w:r>
          </w:p>
        </w:tc>
      </w:tr>
      <w:tr w:rsidR="004866D6" w14:paraId="525448F6" w14:textId="77777777" w:rsidTr="004866D6">
        <w:trPr>
          <w:trHeight w:val="300"/>
        </w:trPr>
        <w:tc>
          <w:tcPr>
            <w:tcW w:w="2771" w:type="pct"/>
            <w:tcBorders>
              <w:top w:val="nil"/>
              <w:left w:val="nil"/>
              <w:bottom w:val="nil"/>
              <w:right w:val="nil"/>
            </w:tcBorders>
            <w:shd w:val="clear" w:color="auto" w:fill="auto"/>
            <w:noWrap/>
            <w:vAlign w:val="center"/>
            <w:hideMark/>
          </w:tcPr>
          <w:p w14:paraId="73106CC0" w14:textId="77777777" w:rsidR="004866D6" w:rsidRDefault="004866D6" w:rsidP="004866D6">
            <w:pPr>
              <w:rPr>
                <w:rFonts w:ascii="Calibri" w:hAnsi="Calibri" w:cs="Calibri"/>
                <w:color w:val="000000"/>
                <w:sz w:val="16"/>
                <w:szCs w:val="16"/>
              </w:rPr>
            </w:pPr>
            <w:r>
              <w:rPr>
                <w:rFonts w:ascii="Calibri" w:hAnsi="Calibri" w:cs="Calibri"/>
                <w:color w:val="000000"/>
                <w:sz w:val="16"/>
                <w:szCs w:val="16"/>
              </w:rPr>
              <w:t>Raízen Combustíveis S.A. 10/2011</w:t>
            </w:r>
          </w:p>
        </w:tc>
        <w:tc>
          <w:tcPr>
            <w:tcW w:w="1111" w:type="pct"/>
            <w:tcBorders>
              <w:top w:val="nil"/>
              <w:left w:val="nil"/>
              <w:bottom w:val="nil"/>
              <w:right w:val="nil"/>
            </w:tcBorders>
            <w:shd w:val="clear" w:color="auto" w:fill="auto"/>
            <w:noWrap/>
            <w:vAlign w:val="center"/>
            <w:hideMark/>
          </w:tcPr>
          <w:p w14:paraId="5828F18B" w14:textId="4C376199" w:rsidR="004866D6" w:rsidRPr="008D21F0" w:rsidRDefault="004866D6" w:rsidP="004866D6">
            <w:pPr>
              <w:jc w:val="center"/>
              <w:rPr>
                <w:rFonts w:ascii="Calibri" w:hAnsi="Calibri" w:cs="Calibri"/>
                <w:color w:val="000000"/>
                <w:sz w:val="16"/>
                <w:szCs w:val="16"/>
              </w:rPr>
            </w:pPr>
            <w:r>
              <w:rPr>
                <w:rFonts w:ascii="Calibri" w:hAnsi="Calibri" w:cs="Calibri"/>
                <w:color w:val="000000"/>
                <w:sz w:val="16"/>
                <w:szCs w:val="16"/>
              </w:rPr>
              <w:t>4</w:t>
            </w:r>
            <w:r w:rsidR="0021659D">
              <w:rPr>
                <w:rFonts w:ascii="Calibri" w:hAnsi="Calibri" w:cs="Calibri"/>
                <w:color w:val="000000"/>
                <w:sz w:val="16"/>
                <w:szCs w:val="16"/>
              </w:rPr>
              <w:t>5</w:t>
            </w:r>
          </w:p>
        </w:tc>
        <w:tc>
          <w:tcPr>
            <w:tcW w:w="559" w:type="pct"/>
            <w:tcBorders>
              <w:top w:val="nil"/>
              <w:left w:val="nil"/>
              <w:bottom w:val="nil"/>
              <w:right w:val="nil"/>
            </w:tcBorders>
            <w:shd w:val="clear" w:color="auto" w:fill="auto"/>
            <w:noWrap/>
            <w:vAlign w:val="center"/>
            <w:hideMark/>
          </w:tcPr>
          <w:p w14:paraId="35C73BA3" w14:textId="79FA26AF" w:rsidR="004866D6" w:rsidRDefault="004866D6" w:rsidP="004866D6">
            <w:pPr>
              <w:jc w:val="right"/>
              <w:rPr>
                <w:rFonts w:ascii="Calibri" w:hAnsi="Calibri" w:cs="Calibri"/>
                <w:color w:val="000000"/>
                <w:sz w:val="16"/>
                <w:szCs w:val="16"/>
              </w:rPr>
            </w:pPr>
            <w:r>
              <w:rPr>
                <w:rFonts w:ascii="Calibri" w:hAnsi="Calibri" w:cs="Calibri"/>
                <w:color w:val="000000"/>
                <w:sz w:val="16"/>
                <w:szCs w:val="16"/>
              </w:rPr>
              <w:t>2</w:t>
            </w:r>
            <w:r w:rsidR="004A642E">
              <w:rPr>
                <w:rFonts w:ascii="Calibri" w:hAnsi="Calibri" w:cs="Calibri"/>
                <w:color w:val="000000"/>
                <w:sz w:val="16"/>
                <w:szCs w:val="16"/>
              </w:rPr>
              <w:t>58</w:t>
            </w:r>
            <w:r>
              <w:rPr>
                <w:rFonts w:ascii="Calibri" w:hAnsi="Calibri" w:cs="Calibri"/>
                <w:color w:val="000000"/>
                <w:sz w:val="16"/>
                <w:szCs w:val="16"/>
              </w:rPr>
              <w:t>.</w:t>
            </w:r>
            <w:r w:rsidR="004A642E">
              <w:rPr>
                <w:rFonts w:ascii="Calibri" w:hAnsi="Calibri" w:cs="Calibri"/>
                <w:color w:val="000000"/>
                <w:sz w:val="16"/>
                <w:szCs w:val="16"/>
              </w:rPr>
              <w:t>111</w:t>
            </w:r>
          </w:p>
        </w:tc>
        <w:tc>
          <w:tcPr>
            <w:tcW w:w="559" w:type="pct"/>
            <w:tcBorders>
              <w:top w:val="nil"/>
              <w:left w:val="nil"/>
              <w:bottom w:val="nil"/>
              <w:right w:val="nil"/>
            </w:tcBorders>
            <w:shd w:val="clear" w:color="auto" w:fill="auto"/>
            <w:vAlign w:val="center"/>
            <w:hideMark/>
          </w:tcPr>
          <w:p w14:paraId="3747A366" w14:textId="3D756FD2" w:rsidR="004866D6" w:rsidRDefault="004866D6" w:rsidP="004866D6">
            <w:pPr>
              <w:jc w:val="right"/>
              <w:rPr>
                <w:rFonts w:ascii="Calibri" w:hAnsi="Calibri" w:cs="Calibri"/>
                <w:color w:val="000000"/>
                <w:sz w:val="16"/>
                <w:szCs w:val="16"/>
              </w:rPr>
            </w:pPr>
            <w:r>
              <w:rPr>
                <w:rFonts w:ascii="Calibri" w:hAnsi="Calibri" w:cs="Calibri"/>
                <w:color w:val="000000"/>
                <w:sz w:val="16"/>
                <w:szCs w:val="16"/>
              </w:rPr>
              <w:t>291.778</w:t>
            </w:r>
          </w:p>
        </w:tc>
      </w:tr>
      <w:tr w:rsidR="004866D6" w14:paraId="62B6F728" w14:textId="77777777" w:rsidTr="004866D6">
        <w:trPr>
          <w:trHeight w:val="300"/>
        </w:trPr>
        <w:tc>
          <w:tcPr>
            <w:tcW w:w="2771" w:type="pct"/>
            <w:tcBorders>
              <w:top w:val="nil"/>
              <w:left w:val="nil"/>
              <w:bottom w:val="nil"/>
              <w:right w:val="nil"/>
            </w:tcBorders>
            <w:shd w:val="clear" w:color="auto" w:fill="auto"/>
            <w:noWrap/>
            <w:vAlign w:val="center"/>
            <w:hideMark/>
          </w:tcPr>
          <w:p w14:paraId="3C789098" w14:textId="77777777" w:rsidR="004866D6" w:rsidRDefault="004866D6" w:rsidP="004866D6">
            <w:pPr>
              <w:rPr>
                <w:rFonts w:ascii="Calibri" w:hAnsi="Calibri" w:cs="Calibri"/>
                <w:color w:val="000000"/>
                <w:sz w:val="16"/>
                <w:szCs w:val="16"/>
              </w:rPr>
            </w:pPr>
            <w:r>
              <w:rPr>
                <w:rFonts w:ascii="Calibri" w:hAnsi="Calibri" w:cs="Calibri"/>
                <w:color w:val="000000"/>
                <w:sz w:val="16"/>
                <w:szCs w:val="16"/>
              </w:rPr>
              <w:t>TDC - Distribuidora de Combustíveis S.A. 01/2016</w:t>
            </w:r>
          </w:p>
        </w:tc>
        <w:tc>
          <w:tcPr>
            <w:tcW w:w="1111" w:type="pct"/>
            <w:tcBorders>
              <w:top w:val="nil"/>
              <w:left w:val="nil"/>
              <w:bottom w:val="nil"/>
              <w:right w:val="nil"/>
            </w:tcBorders>
            <w:shd w:val="clear" w:color="auto" w:fill="auto"/>
            <w:noWrap/>
            <w:vAlign w:val="center"/>
            <w:hideMark/>
          </w:tcPr>
          <w:p w14:paraId="784FDEC6" w14:textId="626D75FF" w:rsidR="004866D6" w:rsidRPr="008D21F0" w:rsidRDefault="004866D6" w:rsidP="004866D6">
            <w:pPr>
              <w:jc w:val="center"/>
              <w:rPr>
                <w:rFonts w:ascii="Calibri" w:hAnsi="Calibri" w:cs="Calibri"/>
                <w:color w:val="000000"/>
                <w:sz w:val="16"/>
                <w:szCs w:val="16"/>
              </w:rPr>
            </w:pPr>
            <w:r w:rsidRPr="008D21F0">
              <w:rPr>
                <w:rFonts w:ascii="Calibri" w:hAnsi="Calibri" w:cs="Calibri"/>
                <w:color w:val="000000"/>
                <w:sz w:val="16"/>
                <w:szCs w:val="16"/>
              </w:rPr>
              <w:t>2</w:t>
            </w:r>
            <w:r>
              <w:rPr>
                <w:rFonts w:ascii="Calibri" w:hAnsi="Calibri" w:cs="Calibri"/>
                <w:color w:val="000000"/>
                <w:sz w:val="16"/>
                <w:szCs w:val="16"/>
              </w:rPr>
              <w:t>8</w:t>
            </w:r>
            <w:r w:rsidR="0021659D">
              <w:rPr>
                <w:rFonts w:ascii="Calibri" w:hAnsi="Calibri" w:cs="Calibri"/>
                <w:color w:val="000000"/>
                <w:sz w:val="16"/>
                <w:szCs w:val="16"/>
              </w:rPr>
              <w:t>4</w:t>
            </w:r>
          </w:p>
        </w:tc>
        <w:tc>
          <w:tcPr>
            <w:tcW w:w="559" w:type="pct"/>
            <w:tcBorders>
              <w:top w:val="nil"/>
              <w:left w:val="nil"/>
              <w:bottom w:val="nil"/>
              <w:right w:val="nil"/>
            </w:tcBorders>
            <w:shd w:val="clear" w:color="auto" w:fill="auto"/>
            <w:noWrap/>
            <w:vAlign w:val="center"/>
            <w:hideMark/>
          </w:tcPr>
          <w:p w14:paraId="2B223DAE" w14:textId="2DC6E991" w:rsidR="004866D6" w:rsidRDefault="004A642E" w:rsidP="004866D6">
            <w:pPr>
              <w:jc w:val="right"/>
              <w:rPr>
                <w:rFonts w:ascii="Calibri" w:hAnsi="Calibri" w:cs="Calibri"/>
                <w:color w:val="000000"/>
                <w:sz w:val="16"/>
                <w:szCs w:val="16"/>
              </w:rPr>
            </w:pPr>
            <w:r>
              <w:rPr>
                <w:rFonts w:ascii="Calibri" w:hAnsi="Calibri" w:cs="Calibri"/>
                <w:color w:val="000000"/>
                <w:sz w:val="16"/>
                <w:szCs w:val="16"/>
              </w:rPr>
              <w:t>7</w:t>
            </w:r>
            <w:r w:rsidR="004866D6">
              <w:rPr>
                <w:rFonts w:ascii="Calibri" w:hAnsi="Calibri" w:cs="Calibri"/>
                <w:color w:val="000000"/>
                <w:sz w:val="16"/>
                <w:szCs w:val="16"/>
              </w:rPr>
              <w:t>.</w:t>
            </w:r>
            <w:r>
              <w:rPr>
                <w:rFonts w:ascii="Calibri" w:hAnsi="Calibri" w:cs="Calibri"/>
                <w:color w:val="000000"/>
                <w:sz w:val="16"/>
                <w:szCs w:val="16"/>
              </w:rPr>
              <w:t>967</w:t>
            </w:r>
            <w:r w:rsidR="004866D6">
              <w:rPr>
                <w:rFonts w:ascii="Calibri" w:hAnsi="Calibri" w:cs="Calibri"/>
                <w:color w:val="000000"/>
                <w:sz w:val="16"/>
                <w:szCs w:val="16"/>
              </w:rPr>
              <w:t>.</w:t>
            </w:r>
            <w:r>
              <w:rPr>
                <w:rFonts w:ascii="Calibri" w:hAnsi="Calibri" w:cs="Calibri"/>
                <w:color w:val="000000"/>
                <w:sz w:val="16"/>
                <w:szCs w:val="16"/>
              </w:rPr>
              <w:t>778</w:t>
            </w:r>
          </w:p>
        </w:tc>
        <w:tc>
          <w:tcPr>
            <w:tcW w:w="559" w:type="pct"/>
            <w:tcBorders>
              <w:top w:val="nil"/>
              <w:left w:val="nil"/>
              <w:bottom w:val="nil"/>
              <w:right w:val="nil"/>
            </w:tcBorders>
            <w:shd w:val="clear" w:color="auto" w:fill="auto"/>
            <w:vAlign w:val="center"/>
            <w:hideMark/>
          </w:tcPr>
          <w:p w14:paraId="5BA4F77A" w14:textId="7056A1C2" w:rsidR="004866D6" w:rsidRDefault="004866D6" w:rsidP="004866D6">
            <w:pPr>
              <w:jc w:val="right"/>
              <w:rPr>
                <w:rFonts w:ascii="Calibri" w:hAnsi="Calibri" w:cs="Calibri"/>
                <w:color w:val="000000"/>
                <w:sz w:val="16"/>
                <w:szCs w:val="16"/>
              </w:rPr>
            </w:pPr>
            <w:r>
              <w:rPr>
                <w:rFonts w:ascii="Calibri" w:hAnsi="Calibri" w:cs="Calibri"/>
                <w:color w:val="000000"/>
                <w:sz w:val="16"/>
                <w:szCs w:val="16"/>
              </w:rPr>
              <w:t>8.136.111</w:t>
            </w:r>
          </w:p>
        </w:tc>
      </w:tr>
      <w:tr w:rsidR="004866D6" w14:paraId="688B807F" w14:textId="77777777" w:rsidTr="00FA66E4">
        <w:trPr>
          <w:trHeight w:hRule="exact" w:val="315"/>
        </w:trPr>
        <w:tc>
          <w:tcPr>
            <w:tcW w:w="2771" w:type="pct"/>
            <w:tcBorders>
              <w:top w:val="nil"/>
              <w:left w:val="nil"/>
              <w:right w:val="nil"/>
            </w:tcBorders>
            <w:shd w:val="clear" w:color="auto" w:fill="auto"/>
            <w:noWrap/>
            <w:vAlign w:val="center"/>
            <w:hideMark/>
          </w:tcPr>
          <w:p w14:paraId="2034B2B1" w14:textId="77777777" w:rsidR="004866D6" w:rsidRDefault="004866D6" w:rsidP="004866D6">
            <w:pPr>
              <w:rPr>
                <w:rFonts w:ascii="Calibri" w:hAnsi="Calibri" w:cs="Calibri"/>
                <w:color w:val="000000"/>
                <w:sz w:val="16"/>
                <w:szCs w:val="16"/>
              </w:rPr>
            </w:pPr>
            <w:r>
              <w:rPr>
                <w:rFonts w:ascii="Calibri" w:hAnsi="Calibri" w:cs="Calibri"/>
                <w:color w:val="000000"/>
                <w:sz w:val="16"/>
                <w:szCs w:val="16"/>
              </w:rPr>
              <w:t>Terminal VLI Porto Franco S.A. 19/2021</w:t>
            </w:r>
          </w:p>
        </w:tc>
        <w:tc>
          <w:tcPr>
            <w:tcW w:w="1111" w:type="pct"/>
            <w:tcBorders>
              <w:top w:val="nil"/>
              <w:left w:val="nil"/>
              <w:right w:val="nil"/>
            </w:tcBorders>
            <w:shd w:val="clear" w:color="auto" w:fill="auto"/>
            <w:noWrap/>
            <w:vAlign w:val="center"/>
            <w:hideMark/>
          </w:tcPr>
          <w:p w14:paraId="20B7FF21" w14:textId="2807D3C8" w:rsidR="004866D6" w:rsidRPr="008D21F0" w:rsidRDefault="004866D6" w:rsidP="004866D6">
            <w:pPr>
              <w:jc w:val="center"/>
              <w:rPr>
                <w:rFonts w:ascii="Calibri" w:hAnsi="Calibri" w:cs="Calibri"/>
                <w:color w:val="000000"/>
                <w:sz w:val="16"/>
                <w:szCs w:val="16"/>
              </w:rPr>
            </w:pPr>
            <w:r w:rsidRPr="008D21F0">
              <w:rPr>
                <w:rFonts w:ascii="Calibri" w:hAnsi="Calibri" w:cs="Calibri"/>
                <w:color w:val="000000"/>
                <w:sz w:val="16"/>
                <w:szCs w:val="16"/>
              </w:rPr>
              <w:t>1</w:t>
            </w:r>
            <w:r w:rsidR="0021659D">
              <w:rPr>
                <w:rFonts w:ascii="Calibri" w:hAnsi="Calibri" w:cs="Calibri"/>
                <w:color w:val="000000"/>
                <w:sz w:val="16"/>
                <w:szCs w:val="16"/>
              </w:rPr>
              <w:t>69</w:t>
            </w:r>
          </w:p>
        </w:tc>
        <w:tc>
          <w:tcPr>
            <w:tcW w:w="559" w:type="pct"/>
            <w:tcBorders>
              <w:top w:val="nil"/>
              <w:left w:val="nil"/>
              <w:right w:val="nil"/>
            </w:tcBorders>
            <w:shd w:val="clear" w:color="auto" w:fill="auto"/>
            <w:noWrap/>
            <w:vAlign w:val="center"/>
            <w:hideMark/>
          </w:tcPr>
          <w:p w14:paraId="4DC34BC3" w14:textId="50EAB530" w:rsidR="004866D6" w:rsidRDefault="004866D6" w:rsidP="004866D6">
            <w:pPr>
              <w:jc w:val="right"/>
              <w:rPr>
                <w:rFonts w:ascii="Calibri" w:hAnsi="Calibri" w:cs="Calibri"/>
                <w:color w:val="000000"/>
                <w:sz w:val="16"/>
                <w:szCs w:val="16"/>
              </w:rPr>
            </w:pPr>
            <w:r>
              <w:rPr>
                <w:rFonts w:ascii="Calibri" w:hAnsi="Calibri" w:cs="Calibri"/>
                <w:color w:val="000000"/>
                <w:sz w:val="16"/>
                <w:szCs w:val="16"/>
              </w:rPr>
              <w:t>1</w:t>
            </w:r>
            <w:r w:rsidR="00A77647">
              <w:rPr>
                <w:rFonts w:ascii="Calibri" w:hAnsi="Calibri" w:cs="Calibri"/>
                <w:color w:val="000000"/>
                <w:sz w:val="16"/>
                <w:szCs w:val="16"/>
              </w:rPr>
              <w:t>2</w:t>
            </w:r>
            <w:r>
              <w:rPr>
                <w:rFonts w:ascii="Calibri" w:hAnsi="Calibri" w:cs="Calibri"/>
                <w:color w:val="000000"/>
                <w:sz w:val="16"/>
                <w:szCs w:val="16"/>
              </w:rPr>
              <w:t>.</w:t>
            </w:r>
            <w:r w:rsidR="004A642E">
              <w:rPr>
                <w:rFonts w:ascii="Calibri" w:hAnsi="Calibri" w:cs="Calibri"/>
                <w:color w:val="000000"/>
                <w:sz w:val="16"/>
                <w:szCs w:val="16"/>
              </w:rPr>
              <w:t>590</w:t>
            </w:r>
            <w:r>
              <w:rPr>
                <w:rFonts w:ascii="Calibri" w:hAnsi="Calibri" w:cs="Calibri"/>
                <w:color w:val="000000"/>
                <w:sz w:val="16"/>
                <w:szCs w:val="16"/>
              </w:rPr>
              <w:t>.</w:t>
            </w:r>
            <w:r w:rsidR="004A642E">
              <w:rPr>
                <w:rFonts w:ascii="Calibri" w:hAnsi="Calibri" w:cs="Calibri"/>
                <w:color w:val="000000"/>
                <w:sz w:val="16"/>
                <w:szCs w:val="16"/>
              </w:rPr>
              <w:t>503</w:t>
            </w:r>
          </w:p>
        </w:tc>
        <w:tc>
          <w:tcPr>
            <w:tcW w:w="559" w:type="pct"/>
            <w:tcBorders>
              <w:top w:val="nil"/>
              <w:left w:val="nil"/>
              <w:right w:val="nil"/>
            </w:tcBorders>
            <w:shd w:val="clear" w:color="auto" w:fill="auto"/>
            <w:vAlign w:val="center"/>
            <w:hideMark/>
          </w:tcPr>
          <w:p w14:paraId="583E4936" w14:textId="7EAF66F5" w:rsidR="004866D6" w:rsidRDefault="004866D6" w:rsidP="004866D6">
            <w:pPr>
              <w:jc w:val="right"/>
              <w:rPr>
                <w:rFonts w:ascii="Calibri" w:hAnsi="Calibri" w:cs="Calibri"/>
                <w:color w:val="000000"/>
                <w:sz w:val="16"/>
                <w:szCs w:val="16"/>
              </w:rPr>
            </w:pPr>
            <w:r>
              <w:rPr>
                <w:rFonts w:ascii="Calibri" w:hAnsi="Calibri" w:cs="Calibri"/>
                <w:color w:val="000000"/>
                <w:sz w:val="16"/>
                <w:szCs w:val="16"/>
              </w:rPr>
              <w:t>13.037.503</w:t>
            </w:r>
          </w:p>
        </w:tc>
      </w:tr>
      <w:tr w:rsidR="00FA66E4" w14:paraId="405B89C1" w14:textId="77777777" w:rsidTr="004866D6">
        <w:trPr>
          <w:trHeight w:hRule="exact" w:val="315"/>
        </w:trPr>
        <w:tc>
          <w:tcPr>
            <w:tcW w:w="2771" w:type="pct"/>
            <w:tcBorders>
              <w:top w:val="nil"/>
              <w:left w:val="nil"/>
              <w:bottom w:val="single" w:sz="8" w:space="0" w:color="auto"/>
              <w:right w:val="nil"/>
            </w:tcBorders>
            <w:shd w:val="clear" w:color="auto" w:fill="auto"/>
            <w:noWrap/>
            <w:vAlign w:val="center"/>
          </w:tcPr>
          <w:p w14:paraId="0F769FB2" w14:textId="3CAE3499" w:rsidR="00FA66E4" w:rsidRDefault="00FA66E4" w:rsidP="004866D6">
            <w:pPr>
              <w:rPr>
                <w:rFonts w:ascii="Calibri" w:hAnsi="Calibri" w:cs="Calibri"/>
                <w:color w:val="000000"/>
                <w:sz w:val="16"/>
                <w:szCs w:val="16"/>
              </w:rPr>
            </w:pPr>
            <w:r w:rsidRPr="00FA66E4">
              <w:rPr>
                <w:rFonts w:ascii="Calibri" w:hAnsi="Calibri" w:cs="Calibri"/>
                <w:color w:val="000000"/>
                <w:sz w:val="16"/>
                <w:szCs w:val="16"/>
              </w:rPr>
              <w:t xml:space="preserve">MIL - Modal de Integração e Logística SPE S/A - </w:t>
            </w:r>
            <w:r>
              <w:rPr>
                <w:rFonts w:ascii="Calibri" w:hAnsi="Calibri" w:cs="Calibri"/>
                <w:color w:val="000000"/>
                <w:sz w:val="16"/>
                <w:szCs w:val="16"/>
              </w:rPr>
              <w:t>0</w:t>
            </w:r>
            <w:r w:rsidRPr="00FA66E4">
              <w:rPr>
                <w:rFonts w:ascii="Calibri" w:hAnsi="Calibri" w:cs="Calibri"/>
                <w:color w:val="000000"/>
                <w:sz w:val="16"/>
                <w:szCs w:val="16"/>
              </w:rPr>
              <w:t>1/2022</w:t>
            </w:r>
          </w:p>
        </w:tc>
        <w:tc>
          <w:tcPr>
            <w:tcW w:w="1111" w:type="pct"/>
            <w:tcBorders>
              <w:top w:val="nil"/>
              <w:left w:val="nil"/>
              <w:bottom w:val="single" w:sz="8" w:space="0" w:color="auto"/>
              <w:right w:val="nil"/>
            </w:tcBorders>
            <w:shd w:val="clear" w:color="auto" w:fill="auto"/>
            <w:noWrap/>
            <w:vAlign w:val="center"/>
          </w:tcPr>
          <w:p w14:paraId="54D93A37" w14:textId="724522AA" w:rsidR="00FA66E4" w:rsidRPr="008D21F0" w:rsidRDefault="00FA66E4" w:rsidP="004866D6">
            <w:pPr>
              <w:jc w:val="center"/>
              <w:rPr>
                <w:rFonts w:ascii="Calibri" w:hAnsi="Calibri" w:cs="Calibri"/>
                <w:color w:val="000000"/>
                <w:sz w:val="16"/>
                <w:szCs w:val="16"/>
              </w:rPr>
            </w:pPr>
            <w:r>
              <w:rPr>
                <w:rFonts w:ascii="Calibri" w:hAnsi="Calibri" w:cs="Calibri"/>
                <w:color w:val="000000"/>
                <w:sz w:val="16"/>
                <w:szCs w:val="16"/>
              </w:rPr>
              <w:t>17</w:t>
            </w:r>
            <w:r w:rsidR="0021659D">
              <w:rPr>
                <w:rFonts w:ascii="Calibri" w:hAnsi="Calibri" w:cs="Calibri"/>
                <w:color w:val="000000"/>
                <w:sz w:val="16"/>
                <w:szCs w:val="16"/>
              </w:rPr>
              <w:t>5</w:t>
            </w:r>
          </w:p>
        </w:tc>
        <w:tc>
          <w:tcPr>
            <w:tcW w:w="559" w:type="pct"/>
            <w:tcBorders>
              <w:top w:val="nil"/>
              <w:left w:val="nil"/>
              <w:bottom w:val="single" w:sz="8" w:space="0" w:color="auto"/>
              <w:right w:val="nil"/>
            </w:tcBorders>
            <w:shd w:val="clear" w:color="auto" w:fill="auto"/>
            <w:noWrap/>
            <w:vAlign w:val="center"/>
          </w:tcPr>
          <w:p w14:paraId="2C9B45EB" w14:textId="05FB35EA" w:rsidR="00FA66E4" w:rsidRDefault="00FA66E4" w:rsidP="004866D6">
            <w:pPr>
              <w:jc w:val="right"/>
              <w:rPr>
                <w:rFonts w:ascii="Calibri" w:hAnsi="Calibri" w:cs="Calibri"/>
                <w:color w:val="000000"/>
                <w:sz w:val="16"/>
                <w:szCs w:val="16"/>
              </w:rPr>
            </w:pPr>
            <w:r>
              <w:rPr>
                <w:rFonts w:ascii="Calibri" w:hAnsi="Calibri" w:cs="Calibri"/>
                <w:color w:val="000000"/>
                <w:sz w:val="16"/>
                <w:szCs w:val="16"/>
              </w:rPr>
              <w:t>8.</w:t>
            </w:r>
            <w:r w:rsidR="004A642E">
              <w:rPr>
                <w:rFonts w:ascii="Calibri" w:hAnsi="Calibri" w:cs="Calibri"/>
                <w:color w:val="000000"/>
                <w:sz w:val="16"/>
                <w:szCs w:val="16"/>
              </w:rPr>
              <w:t>749</w:t>
            </w:r>
            <w:r>
              <w:rPr>
                <w:rFonts w:ascii="Calibri" w:hAnsi="Calibri" w:cs="Calibri"/>
                <w:color w:val="000000"/>
                <w:sz w:val="16"/>
                <w:szCs w:val="16"/>
              </w:rPr>
              <w:t>.</w:t>
            </w:r>
            <w:r w:rsidR="004A642E">
              <w:rPr>
                <w:rFonts w:ascii="Calibri" w:hAnsi="Calibri" w:cs="Calibri"/>
                <w:color w:val="000000"/>
                <w:sz w:val="16"/>
                <w:szCs w:val="16"/>
              </w:rPr>
              <w:t>693</w:t>
            </w:r>
          </w:p>
        </w:tc>
        <w:tc>
          <w:tcPr>
            <w:tcW w:w="559" w:type="pct"/>
            <w:tcBorders>
              <w:top w:val="nil"/>
              <w:left w:val="nil"/>
              <w:bottom w:val="single" w:sz="8" w:space="0" w:color="auto"/>
              <w:right w:val="nil"/>
            </w:tcBorders>
            <w:shd w:val="clear" w:color="auto" w:fill="auto"/>
            <w:vAlign w:val="center"/>
          </w:tcPr>
          <w:p w14:paraId="5BD61E76" w14:textId="736B39F9" w:rsidR="00FA66E4" w:rsidRDefault="00FA66E4" w:rsidP="004866D6">
            <w:pPr>
              <w:jc w:val="right"/>
              <w:rPr>
                <w:rFonts w:ascii="Calibri" w:hAnsi="Calibri" w:cs="Calibri"/>
                <w:color w:val="000000"/>
                <w:sz w:val="16"/>
                <w:szCs w:val="16"/>
              </w:rPr>
            </w:pPr>
            <w:r>
              <w:rPr>
                <w:rFonts w:ascii="Calibri" w:hAnsi="Calibri" w:cs="Calibri"/>
                <w:color w:val="000000"/>
                <w:sz w:val="16"/>
                <w:szCs w:val="16"/>
              </w:rPr>
              <w:t>0</w:t>
            </w:r>
          </w:p>
        </w:tc>
      </w:tr>
      <w:tr w:rsidR="00925A0D" w14:paraId="1029D2AA" w14:textId="77777777" w:rsidTr="004866D6">
        <w:trPr>
          <w:trHeight w:hRule="exact" w:val="315"/>
        </w:trPr>
        <w:tc>
          <w:tcPr>
            <w:tcW w:w="3882" w:type="pct"/>
            <w:gridSpan w:val="2"/>
            <w:tcBorders>
              <w:top w:val="single" w:sz="8" w:space="0" w:color="auto"/>
              <w:left w:val="nil"/>
              <w:bottom w:val="single" w:sz="8" w:space="0" w:color="auto"/>
              <w:right w:val="nil"/>
            </w:tcBorders>
            <w:shd w:val="clear" w:color="auto" w:fill="auto"/>
            <w:noWrap/>
            <w:vAlign w:val="center"/>
            <w:hideMark/>
          </w:tcPr>
          <w:p w14:paraId="4ACD66D9" w14:textId="77777777" w:rsidR="00925A0D" w:rsidRDefault="00925A0D">
            <w:pPr>
              <w:rPr>
                <w:rFonts w:ascii="Calibri" w:hAnsi="Calibri" w:cs="Calibri"/>
                <w:b/>
                <w:bCs/>
                <w:color w:val="000000"/>
                <w:sz w:val="16"/>
                <w:szCs w:val="16"/>
              </w:rPr>
            </w:pPr>
            <w:r>
              <w:rPr>
                <w:rFonts w:ascii="Calibri" w:hAnsi="Calibri" w:cs="Calibri"/>
                <w:b/>
                <w:bCs/>
                <w:color w:val="000000"/>
                <w:sz w:val="16"/>
                <w:szCs w:val="16"/>
              </w:rPr>
              <w:t>TOTAL</w:t>
            </w:r>
          </w:p>
        </w:tc>
        <w:tc>
          <w:tcPr>
            <w:tcW w:w="559" w:type="pct"/>
            <w:tcBorders>
              <w:top w:val="nil"/>
              <w:left w:val="nil"/>
              <w:bottom w:val="single" w:sz="8" w:space="0" w:color="auto"/>
              <w:right w:val="nil"/>
            </w:tcBorders>
            <w:shd w:val="clear" w:color="auto" w:fill="auto"/>
            <w:noWrap/>
            <w:vAlign w:val="center"/>
            <w:hideMark/>
          </w:tcPr>
          <w:p w14:paraId="44EF5D16" w14:textId="54DAD658" w:rsidR="00925A0D" w:rsidRDefault="0021659D">
            <w:pPr>
              <w:jc w:val="right"/>
              <w:rPr>
                <w:rFonts w:ascii="Calibri" w:hAnsi="Calibri" w:cs="Calibri"/>
                <w:b/>
                <w:bCs/>
                <w:color w:val="000000"/>
                <w:sz w:val="16"/>
                <w:szCs w:val="16"/>
              </w:rPr>
            </w:pPr>
            <w:r>
              <w:rPr>
                <w:rFonts w:ascii="Calibri" w:hAnsi="Calibri" w:cs="Calibri"/>
                <w:b/>
                <w:bCs/>
                <w:color w:val="000000"/>
                <w:sz w:val="16"/>
                <w:szCs w:val="16"/>
              </w:rPr>
              <w:t>43.544.753</w:t>
            </w:r>
          </w:p>
        </w:tc>
        <w:tc>
          <w:tcPr>
            <w:tcW w:w="559" w:type="pct"/>
            <w:tcBorders>
              <w:top w:val="nil"/>
              <w:left w:val="nil"/>
              <w:bottom w:val="single" w:sz="8" w:space="0" w:color="auto"/>
              <w:right w:val="nil"/>
            </w:tcBorders>
            <w:shd w:val="clear" w:color="auto" w:fill="auto"/>
            <w:vAlign w:val="center"/>
            <w:hideMark/>
          </w:tcPr>
          <w:p w14:paraId="2DD2EF0F" w14:textId="55536721" w:rsidR="00925A0D" w:rsidRDefault="004866D6">
            <w:pPr>
              <w:jc w:val="right"/>
              <w:rPr>
                <w:rFonts w:ascii="Calibri" w:hAnsi="Calibri" w:cs="Calibri"/>
                <w:b/>
                <w:bCs/>
                <w:color w:val="000000"/>
                <w:sz w:val="16"/>
                <w:szCs w:val="16"/>
              </w:rPr>
            </w:pPr>
            <w:r>
              <w:rPr>
                <w:rFonts w:ascii="Calibri" w:hAnsi="Calibri" w:cs="Calibri"/>
                <w:b/>
                <w:bCs/>
                <w:color w:val="000000"/>
                <w:sz w:val="16"/>
                <w:szCs w:val="16"/>
              </w:rPr>
              <w:t>36.363.102</w:t>
            </w:r>
          </w:p>
        </w:tc>
      </w:tr>
    </w:tbl>
    <w:p w14:paraId="23AE1BF6" w14:textId="1EAC4F58" w:rsidR="00071C48" w:rsidRPr="00071C48" w:rsidRDefault="00071C48" w:rsidP="00071C48">
      <w:pPr>
        <w:spacing w:before="120" w:after="120"/>
        <w:jc w:val="both"/>
        <w:rPr>
          <w:b/>
          <w:bCs/>
        </w:rPr>
      </w:pPr>
      <w:r>
        <w:rPr>
          <w:rFonts w:ascii="Calibri" w:hAnsi="Calibri" w:cs="Calibri"/>
          <w:sz w:val="22"/>
          <w:szCs w:val="22"/>
        </w:rPr>
        <w:t xml:space="preserve">Além dos contratos acima evidenciados, a VALEC possui o </w:t>
      </w:r>
      <w:r w:rsidRPr="000F4409">
        <w:rPr>
          <w:rFonts w:ascii="Calibri" w:hAnsi="Calibri" w:cs="Calibri"/>
          <w:sz w:val="22"/>
          <w:szCs w:val="22"/>
        </w:rPr>
        <w:t>Termo de Permissão Especial de Uso n° 1/2020</w:t>
      </w:r>
      <w:r>
        <w:rPr>
          <w:rFonts w:ascii="Calibri" w:hAnsi="Calibri" w:cs="Calibri"/>
          <w:sz w:val="22"/>
          <w:szCs w:val="22"/>
        </w:rPr>
        <w:t xml:space="preserve"> firmado </w:t>
      </w:r>
      <w:r w:rsidRPr="000F4409">
        <w:rPr>
          <w:rFonts w:ascii="Calibri" w:hAnsi="Calibri" w:cs="Calibri"/>
          <w:sz w:val="22"/>
          <w:szCs w:val="22"/>
        </w:rPr>
        <w:t>com a empresa ADM do Brasil Ltda, des</w:t>
      </w:r>
      <w:r>
        <w:rPr>
          <w:rFonts w:ascii="Calibri" w:hAnsi="Calibri" w:cs="Calibri"/>
          <w:sz w:val="22"/>
          <w:szCs w:val="22"/>
        </w:rPr>
        <w:t>ti</w:t>
      </w:r>
      <w:r w:rsidRPr="000F4409">
        <w:rPr>
          <w:rFonts w:ascii="Calibri" w:hAnsi="Calibri" w:cs="Calibri"/>
          <w:sz w:val="22"/>
          <w:szCs w:val="22"/>
        </w:rPr>
        <w:t>nado ao acesso ao Polo de Cargas de Porto Franco</w:t>
      </w:r>
      <w:r>
        <w:rPr>
          <w:rFonts w:ascii="Calibri" w:hAnsi="Calibri" w:cs="Calibri"/>
          <w:sz w:val="22"/>
          <w:szCs w:val="22"/>
        </w:rPr>
        <w:t>/</w:t>
      </w:r>
      <w:r w:rsidRPr="000F4409">
        <w:rPr>
          <w:rFonts w:ascii="Calibri" w:hAnsi="Calibri" w:cs="Calibri"/>
          <w:sz w:val="22"/>
          <w:szCs w:val="22"/>
        </w:rPr>
        <w:t>MA para operação de equipamentos de transbordo de graneis sólidos agrícolas e derivados</w:t>
      </w:r>
      <w:r>
        <w:rPr>
          <w:rFonts w:ascii="Calibri" w:hAnsi="Calibri" w:cs="Calibri"/>
          <w:sz w:val="22"/>
          <w:szCs w:val="22"/>
        </w:rPr>
        <w:t xml:space="preserve">, </w:t>
      </w:r>
      <w:r w:rsidRPr="00485A72">
        <w:rPr>
          <w:rFonts w:ascii="Calibri" w:hAnsi="Calibri" w:cs="Calibri"/>
          <w:sz w:val="22"/>
          <w:szCs w:val="22"/>
        </w:rPr>
        <w:t>o prazo inicial</w:t>
      </w:r>
      <w:r>
        <w:rPr>
          <w:rFonts w:ascii="Calibri" w:hAnsi="Calibri" w:cs="Calibri"/>
          <w:sz w:val="22"/>
          <w:szCs w:val="22"/>
        </w:rPr>
        <w:t xml:space="preserve"> da permissão é de</w:t>
      </w:r>
      <w:r w:rsidRPr="00485A72">
        <w:rPr>
          <w:rFonts w:ascii="Calibri" w:hAnsi="Calibri" w:cs="Calibri"/>
          <w:sz w:val="22"/>
          <w:szCs w:val="22"/>
        </w:rPr>
        <w:t xml:space="preserve"> 15 (quinze) anos, prorrogável por igual período, sendo livre a revogação do instrumento.</w:t>
      </w:r>
      <w:r>
        <w:rPr>
          <w:rFonts w:ascii="Calibri" w:hAnsi="Calibri" w:cs="Calibri"/>
          <w:sz w:val="22"/>
          <w:szCs w:val="22"/>
        </w:rPr>
        <w:t xml:space="preserve"> As receitas relativas ao presente Termo de Permissão são calculadas de acordo com a movimentação realizada em cada período, sendo, portanto, variáveis.</w:t>
      </w:r>
    </w:p>
    <w:p w14:paraId="00EEFCF3" w14:textId="5DAF2869" w:rsidR="00E75123" w:rsidRDefault="00E75123" w:rsidP="000B3A75">
      <w:pPr>
        <w:pStyle w:val="PargrafodaLista"/>
        <w:numPr>
          <w:ilvl w:val="0"/>
          <w:numId w:val="39"/>
        </w:numPr>
        <w:spacing w:before="120" w:after="120"/>
        <w:ind w:left="284" w:hanging="284"/>
        <w:rPr>
          <w:b/>
          <w:bCs/>
        </w:rPr>
      </w:pPr>
      <w:r w:rsidRPr="00761A71">
        <w:rPr>
          <w:rFonts w:ascii="Calibri" w:hAnsi="Calibri" w:cs="Calibri"/>
          <w:b/>
          <w:bCs/>
          <w:sz w:val="22"/>
          <w:szCs w:val="22"/>
        </w:rPr>
        <w:t>Receita e Diferir – Subconcessão – FIOL I</w:t>
      </w:r>
    </w:p>
    <w:p w14:paraId="34649069" w14:textId="570ACDF6" w:rsidR="00E75123" w:rsidRPr="003364DA" w:rsidRDefault="009F1683" w:rsidP="00937ED9">
      <w:pPr>
        <w:spacing w:after="120"/>
        <w:jc w:val="both"/>
        <w:rPr>
          <w:rFonts w:ascii="Calibri" w:hAnsi="Calibri" w:cs="Calibri"/>
          <w:sz w:val="22"/>
          <w:szCs w:val="22"/>
        </w:rPr>
      </w:pPr>
      <w:r w:rsidRPr="003364DA">
        <w:rPr>
          <w:rFonts w:ascii="Calibri" w:hAnsi="Calibri" w:cs="Calibri"/>
          <w:sz w:val="22"/>
          <w:szCs w:val="22"/>
        </w:rPr>
        <w:t xml:space="preserve">O trecho da Ferrovia de Integração Oeste </w:t>
      </w:r>
      <w:r w:rsidR="00164619" w:rsidRPr="003364DA">
        <w:rPr>
          <w:rFonts w:ascii="Calibri" w:hAnsi="Calibri" w:cs="Calibri"/>
          <w:sz w:val="22"/>
          <w:szCs w:val="22"/>
        </w:rPr>
        <w:t>L</w:t>
      </w:r>
      <w:r w:rsidRPr="003364DA">
        <w:rPr>
          <w:rFonts w:ascii="Calibri" w:hAnsi="Calibri" w:cs="Calibri"/>
          <w:sz w:val="22"/>
          <w:szCs w:val="22"/>
        </w:rPr>
        <w:t xml:space="preserve">este, denominado FIOL I, compreendido entre os municípios de Ilhéus/BA e Caetité/BA foi subconcedido à Bahia Ferrovias S/A </w:t>
      </w:r>
      <w:r w:rsidR="002901F5">
        <w:rPr>
          <w:rFonts w:ascii="Calibri" w:hAnsi="Calibri" w:cs="Calibri"/>
          <w:sz w:val="22"/>
          <w:szCs w:val="22"/>
        </w:rPr>
        <w:t xml:space="preserve">em </w:t>
      </w:r>
      <w:r w:rsidRPr="003364DA">
        <w:rPr>
          <w:rFonts w:ascii="Calibri" w:hAnsi="Calibri" w:cs="Calibri"/>
          <w:sz w:val="22"/>
          <w:szCs w:val="22"/>
        </w:rPr>
        <w:t xml:space="preserve">um período de 35 anos. O Contrato foi assinado em </w:t>
      </w:r>
      <w:r w:rsidR="00164619" w:rsidRPr="003364DA">
        <w:rPr>
          <w:rFonts w:ascii="Calibri" w:hAnsi="Calibri" w:cs="Calibri"/>
          <w:sz w:val="22"/>
          <w:szCs w:val="22"/>
        </w:rPr>
        <w:t xml:space="preserve">03 de setembro de 2021, no valor de R$ R$ 32,7 milhões de reais. </w:t>
      </w:r>
    </w:p>
    <w:p w14:paraId="14054D46" w14:textId="05B76DCB" w:rsidR="00164619" w:rsidRDefault="00164619" w:rsidP="00937ED9">
      <w:pPr>
        <w:spacing w:after="120"/>
        <w:jc w:val="both"/>
        <w:rPr>
          <w:rFonts w:ascii="Calibri" w:hAnsi="Calibri" w:cs="Calibri"/>
          <w:sz w:val="22"/>
          <w:szCs w:val="22"/>
        </w:rPr>
      </w:pPr>
      <w:r w:rsidRPr="003364DA">
        <w:rPr>
          <w:rFonts w:ascii="Calibri" w:hAnsi="Calibri" w:cs="Calibri"/>
          <w:sz w:val="22"/>
          <w:szCs w:val="22"/>
        </w:rPr>
        <w:t>Por ser um contrato de longo prazo, em atendimento ao regime de competência, o valor contratual foi registrado no passivo como Receita a Diferir – Subconcessão FIOL I e será diferido no resultado mensa</w:t>
      </w:r>
      <w:r w:rsidR="00761A71">
        <w:rPr>
          <w:rFonts w:ascii="Calibri" w:hAnsi="Calibri" w:cs="Calibri"/>
          <w:sz w:val="22"/>
          <w:szCs w:val="22"/>
        </w:rPr>
        <w:t>l</w:t>
      </w:r>
      <w:r w:rsidRPr="003364DA">
        <w:rPr>
          <w:rFonts w:ascii="Calibri" w:hAnsi="Calibri" w:cs="Calibri"/>
          <w:sz w:val="22"/>
          <w:szCs w:val="22"/>
        </w:rPr>
        <w:t>mente</w:t>
      </w:r>
      <w:r w:rsidRPr="00761A71">
        <w:rPr>
          <w:rFonts w:ascii="Calibri" w:hAnsi="Calibri" w:cs="Calibri"/>
          <w:sz w:val="22"/>
          <w:szCs w:val="22"/>
        </w:rPr>
        <w:t xml:space="preserve"> pelo prazo contratual</w:t>
      </w:r>
      <w:r w:rsidR="00761A71">
        <w:rPr>
          <w:rFonts w:ascii="Calibri" w:hAnsi="Calibri" w:cs="Calibri"/>
          <w:sz w:val="22"/>
          <w:szCs w:val="22"/>
        </w:rPr>
        <w:t>.</w:t>
      </w:r>
    </w:p>
    <w:p w14:paraId="192DF308" w14:textId="4276F8F8" w:rsidR="00761A71" w:rsidRDefault="00617FD8" w:rsidP="00937ED9">
      <w:pPr>
        <w:spacing w:after="120"/>
        <w:ind w:right="57"/>
        <w:jc w:val="both"/>
        <w:rPr>
          <w:rFonts w:ascii="Calibri" w:hAnsi="Calibri" w:cs="Calibri"/>
          <w:sz w:val="22"/>
          <w:szCs w:val="22"/>
        </w:rPr>
      </w:pPr>
      <w:r>
        <w:rPr>
          <w:rFonts w:ascii="Calibri" w:hAnsi="Calibri" w:cs="Calibri"/>
          <w:sz w:val="22"/>
          <w:szCs w:val="22"/>
        </w:rPr>
        <w:t>Até o</w:t>
      </w:r>
      <w:r w:rsidR="00761A71">
        <w:rPr>
          <w:rFonts w:ascii="Calibri" w:hAnsi="Calibri" w:cs="Calibri"/>
          <w:sz w:val="22"/>
          <w:szCs w:val="22"/>
        </w:rPr>
        <w:t xml:space="preserve"> </w:t>
      </w:r>
      <w:r>
        <w:rPr>
          <w:rFonts w:ascii="Calibri" w:hAnsi="Calibri" w:cs="Calibri"/>
          <w:sz w:val="22"/>
          <w:szCs w:val="22"/>
        </w:rPr>
        <w:t>2</w:t>
      </w:r>
      <w:r w:rsidR="00A77647">
        <w:rPr>
          <w:rFonts w:ascii="Calibri" w:hAnsi="Calibri" w:cs="Calibri"/>
          <w:sz w:val="22"/>
          <w:szCs w:val="22"/>
        </w:rPr>
        <w:t>º trimestre de 2022</w:t>
      </w:r>
      <w:r w:rsidR="00761A71">
        <w:rPr>
          <w:rFonts w:ascii="Calibri" w:hAnsi="Calibri" w:cs="Calibri"/>
          <w:sz w:val="22"/>
          <w:szCs w:val="22"/>
        </w:rPr>
        <w:t xml:space="preserve">, </w:t>
      </w:r>
      <w:r w:rsidR="00761A71" w:rsidRPr="002E2B5B">
        <w:rPr>
          <w:rFonts w:ascii="Calibri" w:hAnsi="Calibri" w:cs="Calibri"/>
          <w:sz w:val="22"/>
          <w:szCs w:val="22"/>
        </w:rPr>
        <w:t xml:space="preserve">as contas de Receita a Diferir – </w:t>
      </w:r>
      <w:r w:rsidR="00FD011B" w:rsidRPr="003364DA">
        <w:rPr>
          <w:rFonts w:ascii="Calibri" w:hAnsi="Calibri" w:cs="Calibri"/>
          <w:sz w:val="22"/>
          <w:szCs w:val="22"/>
        </w:rPr>
        <w:t>Subconcessão FIOL I</w:t>
      </w:r>
      <w:r w:rsidR="00761A71" w:rsidRPr="002E2B5B">
        <w:rPr>
          <w:rFonts w:ascii="Calibri" w:hAnsi="Calibri" w:cs="Calibri"/>
          <w:sz w:val="22"/>
          <w:szCs w:val="22"/>
        </w:rPr>
        <w:t>, de curto e longo prazo, apresentaram os seguintes movimentos:</w:t>
      </w:r>
    </w:p>
    <w:tbl>
      <w:tblPr>
        <w:tblW w:w="5000" w:type="pct"/>
        <w:tblCellMar>
          <w:left w:w="70" w:type="dxa"/>
          <w:right w:w="70" w:type="dxa"/>
        </w:tblCellMar>
        <w:tblLook w:val="04A0" w:firstRow="1" w:lastRow="0" w:firstColumn="1" w:lastColumn="0" w:noHBand="0" w:noVBand="1"/>
      </w:tblPr>
      <w:tblGrid>
        <w:gridCol w:w="5507"/>
        <w:gridCol w:w="389"/>
        <w:gridCol w:w="389"/>
        <w:gridCol w:w="2093"/>
        <w:gridCol w:w="2089"/>
      </w:tblGrid>
      <w:tr w:rsidR="00761A71" w14:paraId="7F296AA6" w14:textId="77777777" w:rsidTr="000B3A75">
        <w:trPr>
          <w:trHeight w:hRule="exact" w:val="227"/>
        </w:trPr>
        <w:tc>
          <w:tcPr>
            <w:tcW w:w="3001" w:type="pct"/>
            <w:gridSpan w:val="3"/>
            <w:tcBorders>
              <w:top w:val="nil"/>
              <w:left w:val="nil"/>
              <w:bottom w:val="single" w:sz="8" w:space="0" w:color="auto"/>
              <w:right w:val="nil"/>
            </w:tcBorders>
            <w:shd w:val="clear" w:color="auto" w:fill="auto"/>
            <w:noWrap/>
            <w:vAlign w:val="center"/>
            <w:hideMark/>
          </w:tcPr>
          <w:p w14:paraId="0A263597" w14:textId="5D537271" w:rsidR="00761A71" w:rsidRDefault="00761A71" w:rsidP="00937ED9">
            <w:pPr>
              <w:spacing w:after="120"/>
              <w:rPr>
                <w:rFonts w:ascii="Calibri" w:hAnsi="Calibri" w:cs="Calibri"/>
                <w:b/>
                <w:bCs/>
                <w:color w:val="000000"/>
                <w:sz w:val="16"/>
                <w:szCs w:val="16"/>
              </w:rPr>
            </w:pPr>
            <w:r>
              <w:rPr>
                <w:rFonts w:ascii="Calibri" w:hAnsi="Calibri" w:cs="Calibri"/>
                <w:b/>
                <w:bCs/>
                <w:color w:val="000000"/>
                <w:sz w:val="16"/>
                <w:szCs w:val="16"/>
              </w:rPr>
              <w:t xml:space="preserve">RECEITA A DIFERIR – SUBCONCESSÃO FIOL I </w:t>
            </w:r>
          </w:p>
        </w:tc>
        <w:tc>
          <w:tcPr>
            <w:tcW w:w="1000" w:type="pct"/>
            <w:tcBorders>
              <w:top w:val="nil"/>
              <w:left w:val="nil"/>
              <w:bottom w:val="single" w:sz="8" w:space="0" w:color="auto"/>
              <w:right w:val="nil"/>
            </w:tcBorders>
            <w:shd w:val="clear" w:color="auto" w:fill="auto"/>
            <w:noWrap/>
            <w:vAlign w:val="center"/>
            <w:hideMark/>
          </w:tcPr>
          <w:p w14:paraId="76E2A510" w14:textId="36386A4B" w:rsidR="00761A71" w:rsidRDefault="00761A71" w:rsidP="00937ED9">
            <w:pPr>
              <w:spacing w:after="120"/>
              <w:jc w:val="right"/>
              <w:rPr>
                <w:rFonts w:ascii="Calibri" w:hAnsi="Calibri" w:cs="Calibri"/>
                <w:b/>
                <w:bCs/>
                <w:color w:val="000000"/>
                <w:sz w:val="16"/>
                <w:szCs w:val="16"/>
              </w:rPr>
            </w:pPr>
            <w:r>
              <w:rPr>
                <w:rFonts w:ascii="Calibri" w:hAnsi="Calibri" w:cs="Calibri"/>
                <w:b/>
                <w:bCs/>
                <w:color w:val="000000"/>
                <w:sz w:val="16"/>
                <w:szCs w:val="16"/>
              </w:rPr>
              <w:t>3</w:t>
            </w:r>
            <w:r w:rsidR="00617FD8">
              <w:rPr>
                <w:rFonts w:ascii="Calibri" w:hAnsi="Calibri" w:cs="Calibri"/>
                <w:b/>
                <w:bCs/>
                <w:color w:val="000000"/>
                <w:sz w:val="16"/>
                <w:szCs w:val="16"/>
              </w:rPr>
              <w:t>0</w:t>
            </w:r>
            <w:r>
              <w:rPr>
                <w:rFonts w:ascii="Calibri" w:hAnsi="Calibri" w:cs="Calibri"/>
                <w:b/>
                <w:bCs/>
                <w:color w:val="000000"/>
                <w:sz w:val="16"/>
                <w:szCs w:val="16"/>
              </w:rPr>
              <w:t>/</w:t>
            </w:r>
            <w:r w:rsidR="00A77647">
              <w:rPr>
                <w:rFonts w:ascii="Calibri" w:hAnsi="Calibri" w:cs="Calibri"/>
                <w:b/>
                <w:bCs/>
                <w:color w:val="000000"/>
                <w:sz w:val="16"/>
                <w:szCs w:val="16"/>
              </w:rPr>
              <w:t>0</w:t>
            </w:r>
            <w:r w:rsidR="00617FD8">
              <w:rPr>
                <w:rFonts w:ascii="Calibri" w:hAnsi="Calibri" w:cs="Calibri"/>
                <w:b/>
                <w:bCs/>
                <w:color w:val="000000"/>
                <w:sz w:val="16"/>
                <w:szCs w:val="16"/>
              </w:rPr>
              <w:t>6</w:t>
            </w:r>
            <w:r>
              <w:rPr>
                <w:rFonts w:ascii="Calibri" w:hAnsi="Calibri" w:cs="Calibri"/>
                <w:b/>
                <w:bCs/>
                <w:color w:val="000000"/>
                <w:sz w:val="16"/>
                <w:szCs w:val="16"/>
              </w:rPr>
              <w:t>/202</w:t>
            </w:r>
            <w:r w:rsidR="00A77647">
              <w:rPr>
                <w:rFonts w:ascii="Calibri" w:hAnsi="Calibri" w:cs="Calibri"/>
                <w:b/>
                <w:bCs/>
                <w:color w:val="000000"/>
                <w:sz w:val="16"/>
                <w:szCs w:val="16"/>
              </w:rPr>
              <w:t>2</w:t>
            </w:r>
          </w:p>
        </w:tc>
        <w:tc>
          <w:tcPr>
            <w:tcW w:w="999" w:type="pct"/>
            <w:tcBorders>
              <w:top w:val="nil"/>
              <w:left w:val="nil"/>
              <w:bottom w:val="single" w:sz="8" w:space="0" w:color="auto"/>
              <w:right w:val="nil"/>
            </w:tcBorders>
            <w:shd w:val="clear" w:color="auto" w:fill="auto"/>
            <w:vAlign w:val="center"/>
            <w:hideMark/>
          </w:tcPr>
          <w:p w14:paraId="6FE35464" w14:textId="1B9FDA99" w:rsidR="00761A71" w:rsidRDefault="00761A71" w:rsidP="00937ED9">
            <w:pPr>
              <w:spacing w:after="120"/>
              <w:jc w:val="right"/>
              <w:rPr>
                <w:rFonts w:ascii="Calibri" w:hAnsi="Calibri" w:cs="Calibri"/>
                <w:b/>
                <w:bCs/>
                <w:color w:val="000000"/>
                <w:sz w:val="16"/>
                <w:szCs w:val="16"/>
              </w:rPr>
            </w:pPr>
            <w:r>
              <w:rPr>
                <w:rFonts w:ascii="Calibri" w:hAnsi="Calibri" w:cs="Calibri"/>
                <w:b/>
                <w:bCs/>
                <w:color w:val="000000"/>
                <w:sz w:val="16"/>
                <w:szCs w:val="16"/>
              </w:rPr>
              <w:t>31/12/202</w:t>
            </w:r>
            <w:r w:rsidR="00A77647">
              <w:rPr>
                <w:rFonts w:ascii="Calibri" w:hAnsi="Calibri" w:cs="Calibri"/>
                <w:b/>
                <w:bCs/>
                <w:color w:val="000000"/>
                <w:sz w:val="16"/>
                <w:szCs w:val="16"/>
              </w:rPr>
              <w:t>1</w:t>
            </w:r>
          </w:p>
        </w:tc>
      </w:tr>
      <w:tr w:rsidR="00761A71" w14:paraId="649F52E7" w14:textId="77777777" w:rsidTr="000B3A75">
        <w:trPr>
          <w:trHeight w:hRule="exact" w:val="227"/>
        </w:trPr>
        <w:tc>
          <w:tcPr>
            <w:tcW w:w="2630" w:type="pct"/>
            <w:tcBorders>
              <w:top w:val="nil"/>
              <w:left w:val="nil"/>
              <w:bottom w:val="nil"/>
              <w:right w:val="nil"/>
            </w:tcBorders>
            <w:shd w:val="clear" w:color="auto" w:fill="auto"/>
            <w:noWrap/>
            <w:vAlign w:val="center"/>
            <w:hideMark/>
          </w:tcPr>
          <w:p w14:paraId="72ED58EA" w14:textId="77777777" w:rsidR="00761A71" w:rsidRDefault="00761A71" w:rsidP="00937ED9">
            <w:pPr>
              <w:spacing w:after="120"/>
              <w:rPr>
                <w:rFonts w:ascii="Calibri" w:hAnsi="Calibri" w:cs="Calibri"/>
                <w:color w:val="000000"/>
                <w:sz w:val="16"/>
                <w:szCs w:val="16"/>
              </w:rPr>
            </w:pPr>
            <w:r>
              <w:rPr>
                <w:rFonts w:ascii="Calibri" w:hAnsi="Calibri" w:cs="Calibri"/>
                <w:color w:val="000000"/>
                <w:sz w:val="16"/>
                <w:szCs w:val="16"/>
              </w:rPr>
              <w:t xml:space="preserve">Saldo anterior </w:t>
            </w:r>
          </w:p>
        </w:tc>
        <w:tc>
          <w:tcPr>
            <w:tcW w:w="186" w:type="pct"/>
            <w:tcBorders>
              <w:top w:val="nil"/>
              <w:left w:val="nil"/>
              <w:bottom w:val="nil"/>
              <w:right w:val="nil"/>
            </w:tcBorders>
            <w:shd w:val="clear" w:color="auto" w:fill="auto"/>
            <w:noWrap/>
            <w:vAlign w:val="center"/>
            <w:hideMark/>
          </w:tcPr>
          <w:p w14:paraId="1678F788" w14:textId="77777777" w:rsidR="00761A71" w:rsidRDefault="00761A71" w:rsidP="00937ED9">
            <w:pPr>
              <w:spacing w:after="120"/>
              <w:rPr>
                <w:rFonts w:ascii="Calibri" w:hAnsi="Calibri" w:cs="Calibri"/>
                <w:color w:val="000000"/>
                <w:sz w:val="16"/>
                <w:szCs w:val="16"/>
              </w:rPr>
            </w:pPr>
          </w:p>
        </w:tc>
        <w:tc>
          <w:tcPr>
            <w:tcW w:w="186" w:type="pct"/>
            <w:tcBorders>
              <w:top w:val="nil"/>
              <w:left w:val="nil"/>
              <w:bottom w:val="nil"/>
              <w:right w:val="nil"/>
            </w:tcBorders>
            <w:shd w:val="clear" w:color="auto" w:fill="auto"/>
            <w:noWrap/>
            <w:vAlign w:val="center"/>
            <w:hideMark/>
          </w:tcPr>
          <w:p w14:paraId="39BCCCE3" w14:textId="77777777" w:rsidR="00761A71" w:rsidRDefault="00761A71" w:rsidP="00937ED9">
            <w:pPr>
              <w:spacing w:after="120"/>
              <w:rPr>
                <w:sz w:val="20"/>
                <w:szCs w:val="20"/>
              </w:rPr>
            </w:pPr>
          </w:p>
        </w:tc>
        <w:tc>
          <w:tcPr>
            <w:tcW w:w="1000" w:type="pct"/>
            <w:tcBorders>
              <w:top w:val="nil"/>
              <w:left w:val="nil"/>
              <w:bottom w:val="nil"/>
              <w:right w:val="nil"/>
            </w:tcBorders>
            <w:shd w:val="clear" w:color="auto" w:fill="auto"/>
            <w:noWrap/>
            <w:vAlign w:val="center"/>
            <w:hideMark/>
          </w:tcPr>
          <w:p w14:paraId="1B0CE7F3" w14:textId="2BC686CA" w:rsidR="00761A71" w:rsidRDefault="00A77647" w:rsidP="00937ED9">
            <w:pPr>
              <w:spacing w:after="120"/>
              <w:jc w:val="right"/>
              <w:rPr>
                <w:rFonts w:ascii="Calibri" w:hAnsi="Calibri" w:cs="Calibri"/>
                <w:color w:val="000000"/>
                <w:sz w:val="16"/>
                <w:szCs w:val="16"/>
              </w:rPr>
            </w:pPr>
            <w:r w:rsidRPr="00A77647">
              <w:rPr>
                <w:rFonts w:ascii="Calibri" w:hAnsi="Calibri" w:cs="Calibri"/>
                <w:color w:val="000000"/>
                <w:sz w:val="16"/>
                <w:szCs w:val="16"/>
              </w:rPr>
              <w:t>32.184.500</w:t>
            </w:r>
          </w:p>
        </w:tc>
        <w:tc>
          <w:tcPr>
            <w:tcW w:w="999" w:type="pct"/>
            <w:tcBorders>
              <w:top w:val="nil"/>
              <w:left w:val="nil"/>
              <w:bottom w:val="nil"/>
              <w:right w:val="nil"/>
            </w:tcBorders>
            <w:shd w:val="clear" w:color="auto" w:fill="auto"/>
            <w:vAlign w:val="center"/>
            <w:hideMark/>
          </w:tcPr>
          <w:p w14:paraId="592B13B1" w14:textId="4FCF6CF7" w:rsidR="00761A71" w:rsidRDefault="00761A71" w:rsidP="00937ED9">
            <w:pPr>
              <w:spacing w:after="120"/>
              <w:jc w:val="right"/>
              <w:rPr>
                <w:rFonts w:ascii="Calibri" w:hAnsi="Calibri" w:cs="Calibri"/>
                <w:color w:val="000000"/>
                <w:sz w:val="16"/>
                <w:szCs w:val="16"/>
              </w:rPr>
            </w:pPr>
            <w:r>
              <w:rPr>
                <w:rFonts w:ascii="Calibri" w:hAnsi="Calibri" w:cs="Calibri"/>
                <w:color w:val="000000"/>
                <w:sz w:val="16"/>
                <w:szCs w:val="16"/>
              </w:rPr>
              <w:t>0</w:t>
            </w:r>
          </w:p>
        </w:tc>
      </w:tr>
      <w:tr w:rsidR="00761A71" w14:paraId="623E49A4" w14:textId="77777777" w:rsidTr="000B3A75">
        <w:trPr>
          <w:trHeight w:hRule="exact" w:val="227"/>
        </w:trPr>
        <w:tc>
          <w:tcPr>
            <w:tcW w:w="2816" w:type="pct"/>
            <w:gridSpan w:val="2"/>
            <w:tcBorders>
              <w:top w:val="nil"/>
              <w:left w:val="nil"/>
              <w:bottom w:val="nil"/>
              <w:right w:val="nil"/>
            </w:tcBorders>
            <w:shd w:val="clear" w:color="auto" w:fill="auto"/>
            <w:noWrap/>
            <w:vAlign w:val="center"/>
            <w:hideMark/>
          </w:tcPr>
          <w:p w14:paraId="4F3C4D72" w14:textId="589FE7A9" w:rsidR="00761A71" w:rsidRDefault="00761A71" w:rsidP="00937ED9">
            <w:pPr>
              <w:spacing w:after="120"/>
              <w:rPr>
                <w:rFonts w:ascii="Calibri" w:hAnsi="Calibri" w:cs="Calibri"/>
                <w:color w:val="000000"/>
                <w:sz w:val="16"/>
                <w:szCs w:val="16"/>
              </w:rPr>
            </w:pPr>
            <w:r>
              <w:rPr>
                <w:rFonts w:ascii="Calibri" w:hAnsi="Calibri" w:cs="Calibri"/>
                <w:color w:val="000000"/>
                <w:sz w:val="16"/>
                <w:szCs w:val="16"/>
              </w:rPr>
              <w:t>Valor Contratual</w:t>
            </w:r>
          </w:p>
        </w:tc>
        <w:tc>
          <w:tcPr>
            <w:tcW w:w="186" w:type="pct"/>
            <w:tcBorders>
              <w:top w:val="nil"/>
              <w:left w:val="nil"/>
              <w:bottom w:val="nil"/>
              <w:right w:val="nil"/>
            </w:tcBorders>
            <w:shd w:val="clear" w:color="auto" w:fill="auto"/>
            <w:noWrap/>
            <w:vAlign w:val="center"/>
            <w:hideMark/>
          </w:tcPr>
          <w:p w14:paraId="5773ECF9" w14:textId="77777777" w:rsidR="00761A71" w:rsidRDefault="00761A71" w:rsidP="00937ED9">
            <w:pPr>
              <w:spacing w:after="120"/>
              <w:rPr>
                <w:rFonts w:ascii="Calibri" w:hAnsi="Calibri" w:cs="Calibri"/>
                <w:color w:val="000000"/>
                <w:sz w:val="16"/>
                <w:szCs w:val="16"/>
              </w:rPr>
            </w:pPr>
          </w:p>
        </w:tc>
        <w:tc>
          <w:tcPr>
            <w:tcW w:w="1000" w:type="pct"/>
            <w:tcBorders>
              <w:top w:val="nil"/>
              <w:left w:val="nil"/>
              <w:bottom w:val="nil"/>
              <w:right w:val="nil"/>
            </w:tcBorders>
            <w:shd w:val="clear" w:color="auto" w:fill="auto"/>
            <w:noWrap/>
            <w:vAlign w:val="center"/>
            <w:hideMark/>
          </w:tcPr>
          <w:p w14:paraId="1556EF24" w14:textId="37DF501B" w:rsidR="00761A71" w:rsidRDefault="00A77647" w:rsidP="00937ED9">
            <w:pPr>
              <w:spacing w:after="120"/>
              <w:jc w:val="right"/>
              <w:rPr>
                <w:rFonts w:ascii="Calibri" w:hAnsi="Calibri" w:cs="Calibri"/>
                <w:color w:val="000000"/>
                <w:sz w:val="16"/>
                <w:szCs w:val="16"/>
              </w:rPr>
            </w:pPr>
            <w:r>
              <w:rPr>
                <w:rFonts w:ascii="Calibri" w:hAnsi="Calibri" w:cs="Calibri"/>
                <w:color w:val="000000"/>
                <w:sz w:val="16"/>
                <w:szCs w:val="16"/>
              </w:rPr>
              <w:t>0</w:t>
            </w:r>
          </w:p>
        </w:tc>
        <w:tc>
          <w:tcPr>
            <w:tcW w:w="999" w:type="pct"/>
            <w:tcBorders>
              <w:top w:val="nil"/>
              <w:left w:val="nil"/>
              <w:bottom w:val="nil"/>
              <w:right w:val="nil"/>
            </w:tcBorders>
            <w:shd w:val="clear" w:color="auto" w:fill="auto"/>
            <w:vAlign w:val="center"/>
            <w:hideMark/>
          </w:tcPr>
          <w:p w14:paraId="4320F405" w14:textId="6B14F860" w:rsidR="00761A71" w:rsidRDefault="00A77647" w:rsidP="00937ED9">
            <w:pPr>
              <w:spacing w:after="120"/>
              <w:jc w:val="right"/>
              <w:rPr>
                <w:rFonts w:ascii="Calibri" w:hAnsi="Calibri" w:cs="Calibri"/>
                <w:color w:val="000000"/>
                <w:sz w:val="16"/>
                <w:szCs w:val="16"/>
              </w:rPr>
            </w:pPr>
            <w:r>
              <w:rPr>
                <w:rFonts w:ascii="Calibri" w:hAnsi="Calibri" w:cs="Calibri"/>
                <w:color w:val="000000"/>
                <w:sz w:val="16"/>
                <w:szCs w:val="16"/>
              </w:rPr>
              <w:t>32.730.000</w:t>
            </w:r>
          </w:p>
        </w:tc>
      </w:tr>
      <w:tr w:rsidR="00761A71" w14:paraId="565C3A91" w14:textId="77777777" w:rsidTr="000B3A75">
        <w:trPr>
          <w:trHeight w:hRule="exact" w:val="227"/>
        </w:trPr>
        <w:tc>
          <w:tcPr>
            <w:tcW w:w="2816" w:type="pct"/>
            <w:gridSpan w:val="2"/>
            <w:tcBorders>
              <w:top w:val="nil"/>
              <w:left w:val="nil"/>
              <w:bottom w:val="nil"/>
              <w:right w:val="nil"/>
            </w:tcBorders>
            <w:shd w:val="clear" w:color="auto" w:fill="auto"/>
            <w:noWrap/>
            <w:vAlign w:val="center"/>
            <w:hideMark/>
          </w:tcPr>
          <w:p w14:paraId="0A9C1304" w14:textId="77777777" w:rsidR="00761A71" w:rsidRDefault="00761A71" w:rsidP="00937ED9">
            <w:pPr>
              <w:spacing w:after="120"/>
              <w:rPr>
                <w:rFonts w:ascii="Calibri" w:hAnsi="Calibri" w:cs="Calibri"/>
                <w:color w:val="000000"/>
                <w:sz w:val="16"/>
                <w:szCs w:val="16"/>
              </w:rPr>
            </w:pPr>
            <w:r>
              <w:rPr>
                <w:rFonts w:ascii="Calibri" w:hAnsi="Calibri" w:cs="Calibri"/>
                <w:color w:val="000000"/>
                <w:sz w:val="16"/>
                <w:szCs w:val="16"/>
              </w:rPr>
              <w:t>Reconhecimento da receita</w:t>
            </w:r>
          </w:p>
        </w:tc>
        <w:tc>
          <w:tcPr>
            <w:tcW w:w="186" w:type="pct"/>
            <w:tcBorders>
              <w:top w:val="nil"/>
              <w:left w:val="nil"/>
              <w:bottom w:val="nil"/>
              <w:right w:val="nil"/>
            </w:tcBorders>
            <w:shd w:val="clear" w:color="auto" w:fill="auto"/>
            <w:noWrap/>
            <w:vAlign w:val="center"/>
            <w:hideMark/>
          </w:tcPr>
          <w:p w14:paraId="20922C4A" w14:textId="77777777" w:rsidR="00761A71" w:rsidRDefault="00761A71" w:rsidP="00937ED9">
            <w:pPr>
              <w:spacing w:after="120"/>
              <w:rPr>
                <w:rFonts w:ascii="Calibri" w:hAnsi="Calibri" w:cs="Calibri"/>
                <w:color w:val="000000"/>
                <w:sz w:val="16"/>
                <w:szCs w:val="16"/>
              </w:rPr>
            </w:pPr>
          </w:p>
        </w:tc>
        <w:tc>
          <w:tcPr>
            <w:tcW w:w="1000" w:type="pct"/>
            <w:tcBorders>
              <w:top w:val="nil"/>
              <w:left w:val="nil"/>
              <w:bottom w:val="nil"/>
              <w:right w:val="nil"/>
            </w:tcBorders>
            <w:shd w:val="clear" w:color="auto" w:fill="auto"/>
            <w:noWrap/>
            <w:vAlign w:val="center"/>
            <w:hideMark/>
          </w:tcPr>
          <w:p w14:paraId="22B9D053" w14:textId="6B1CD5B6" w:rsidR="00761A71" w:rsidRDefault="00761A71" w:rsidP="00937ED9">
            <w:pPr>
              <w:spacing w:after="120"/>
              <w:jc w:val="right"/>
              <w:rPr>
                <w:rFonts w:ascii="Calibri" w:hAnsi="Calibri" w:cs="Calibri"/>
                <w:color w:val="000000"/>
                <w:sz w:val="16"/>
                <w:szCs w:val="16"/>
              </w:rPr>
            </w:pPr>
            <w:r>
              <w:rPr>
                <w:rFonts w:ascii="Calibri" w:hAnsi="Calibri" w:cs="Calibri"/>
                <w:color w:val="000000"/>
                <w:sz w:val="16"/>
                <w:szCs w:val="16"/>
              </w:rPr>
              <w:t>(</w:t>
            </w:r>
            <w:r w:rsidR="00617FD8">
              <w:rPr>
                <w:rFonts w:ascii="Calibri" w:hAnsi="Calibri" w:cs="Calibri"/>
                <w:color w:val="000000"/>
                <w:sz w:val="16"/>
                <w:szCs w:val="16"/>
              </w:rPr>
              <w:t>1.091.000</w:t>
            </w:r>
            <w:r>
              <w:rPr>
                <w:rFonts w:ascii="Calibri" w:hAnsi="Calibri" w:cs="Calibri"/>
                <w:color w:val="000000"/>
                <w:sz w:val="16"/>
                <w:szCs w:val="16"/>
              </w:rPr>
              <w:t>)</w:t>
            </w:r>
          </w:p>
        </w:tc>
        <w:tc>
          <w:tcPr>
            <w:tcW w:w="999" w:type="pct"/>
            <w:tcBorders>
              <w:top w:val="nil"/>
              <w:left w:val="nil"/>
              <w:bottom w:val="nil"/>
              <w:right w:val="nil"/>
            </w:tcBorders>
            <w:shd w:val="clear" w:color="auto" w:fill="auto"/>
            <w:vAlign w:val="center"/>
            <w:hideMark/>
          </w:tcPr>
          <w:p w14:paraId="4D79D7E5" w14:textId="4E560498" w:rsidR="00761A71" w:rsidRDefault="00A77647" w:rsidP="00937ED9">
            <w:pPr>
              <w:spacing w:after="120"/>
              <w:jc w:val="right"/>
              <w:rPr>
                <w:rFonts w:ascii="Calibri" w:hAnsi="Calibri" w:cs="Calibri"/>
                <w:color w:val="000000"/>
                <w:sz w:val="16"/>
                <w:szCs w:val="16"/>
              </w:rPr>
            </w:pPr>
            <w:r>
              <w:rPr>
                <w:rFonts w:ascii="Calibri" w:hAnsi="Calibri" w:cs="Calibri"/>
                <w:color w:val="000000"/>
                <w:sz w:val="16"/>
                <w:szCs w:val="16"/>
              </w:rPr>
              <w:t>(545.500)</w:t>
            </w:r>
          </w:p>
        </w:tc>
      </w:tr>
      <w:tr w:rsidR="00761A71" w14:paraId="467D8765" w14:textId="77777777" w:rsidTr="000B3A75">
        <w:trPr>
          <w:trHeight w:hRule="exact" w:val="227"/>
        </w:trPr>
        <w:tc>
          <w:tcPr>
            <w:tcW w:w="2630" w:type="pct"/>
            <w:tcBorders>
              <w:top w:val="nil"/>
              <w:left w:val="nil"/>
              <w:bottom w:val="single" w:sz="8" w:space="0" w:color="auto"/>
              <w:right w:val="nil"/>
            </w:tcBorders>
            <w:shd w:val="clear" w:color="auto" w:fill="auto"/>
            <w:noWrap/>
            <w:vAlign w:val="center"/>
            <w:hideMark/>
          </w:tcPr>
          <w:p w14:paraId="2B3FA65E" w14:textId="77777777" w:rsidR="00761A71" w:rsidRDefault="00761A71" w:rsidP="00937ED9">
            <w:pPr>
              <w:spacing w:after="120"/>
              <w:rPr>
                <w:rFonts w:ascii="Calibri" w:hAnsi="Calibri" w:cs="Calibri"/>
                <w:b/>
                <w:bCs/>
                <w:color w:val="000000"/>
                <w:sz w:val="16"/>
                <w:szCs w:val="16"/>
              </w:rPr>
            </w:pPr>
            <w:r>
              <w:rPr>
                <w:rFonts w:ascii="Calibri" w:hAnsi="Calibri" w:cs="Calibri"/>
                <w:b/>
                <w:bCs/>
                <w:color w:val="000000"/>
                <w:sz w:val="16"/>
                <w:szCs w:val="16"/>
              </w:rPr>
              <w:t xml:space="preserve"> TOTAL </w:t>
            </w:r>
          </w:p>
        </w:tc>
        <w:tc>
          <w:tcPr>
            <w:tcW w:w="186" w:type="pct"/>
            <w:tcBorders>
              <w:top w:val="nil"/>
              <w:left w:val="nil"/>
              <w:bottom w:val="single" w:sz="8" w:space="0" w:color="auto"/>
              <w:right w:val="nil"/>
            </w:tcBorders>
            <w:shd w:val="clear" w:color="auto" w:fill="auto"/>
            <w:noWrap/>
            <w:vAlign w:val="center"/>
            <w:hideMark/>
          </w:tcPr>
          <w:p w14:paraId="43DE27E2" w14:textId="77777777" w:rsidR="00761A71" w:rsidRDefault="00761A71" w:rsidP="00937ED9">
            <w:pPr>
              <w:spacing w:after="120"/>
              <w:rPr>
                <w:rFonts w:ascii="Calibri" w:hAnsi="Calibri" w:cs="Calibri"/>
                <w:color w:val="000000"/>
                <w:sz w:val="16"/>
                <w:szCs w:val="16"/>
              </w:rPr>
            </w:pPr>
            <w:r>
              <w:rPr>
                <w:rFonts w:ascii="Calibri" w:hAnsi="Calibri" w:cs="Calibri"/>
                <w:color w:val="000000"/>
                <w:sz w:val="16"/>
                <w:szCs w:val="16"/>
              </w:rPr>
              <w:t> </w:t>
            </w:r>
          </w:p>
        </w:tc>
        <w:tc>
          <w:tcPr>
            <w:tcW w:w="186" w:type="pct"/>
            <w:tcBorders>
              <w:top w:val="nil"/>
              <w:left w:val="nil"/>
              <w:bottom w:val="single" w:sz="8" w:space="0" w:color="auto"/>
              <w:right w:val="nil"/>
            </w:tcBorders>
            <w:shd w:val="clear" w:color="auto" w:fill="auto"/>
            <w:noWrap/>
            <w:vAlign w:val="center"/>
            <w:hideMark/>
          </w:tcPr>
          <w:p w14:paraId="3CACEABC" w14:textId="77777777" w:rsidR="00761A71" w:rsidRDefault="00761A71" w:rsidP="00937ED9">
            <w:pPr>
              <w:spacing w:after="120"/>
              <w:jc w:val="right"/>
              <w:rPr>
                <w:rFonts w:ascii="Calibri" w:hAnsi="Calibri" w:cs="Calibri"/>
                <w:b/>
                <w:bCs/>
                <w:color w:val="000000"/>
                <w:sz w:val="16"/>
                <w:szCs w:val="16"/>
              </w:rPr>
            </w:pPr>
            <w:r>
              <w:rPr>
                <w:rFonts w:ascii="Calibri" w:hAnsi="Calibri" w:cs="Calibri"/>
                <w:b/>
                <w:bCs/>
                <w:color w:val="000000"/>
                <w:sz w:val="16"/>
                <w:szCs w:val="16"/>
              </w:rPr>
              <w:t> </w:t>
            </w:r>
          </w:p>
        </w:tc>
        <w:tc>
          <w:tcPr>
            <w:tcW w:w="1000" w:type="pct"/>
            <w:tcBorders>
              <w:top w:val="nil"/>
              <w:left w:val="nil"/>
              <w:bottom w:val="single" w:sz="8" w:space="0" w:color="auto"/>
              <w:right w:val="nil"/>
            </w:tcBorders>
            <w:shd w:val="clear" w:color="auto" w:fill="auto"/>
            <w:noWrap/>
            <w:vAlign w:val="center"/>
            <w:hideMark/>
          </w:tcPr>
          <w:p w14:paraId="50B5FBC6" w14:textId="6C51A913" w:rsidR="00761A71" w:rsidRDefault="00617FD8" w:rsidP="00937ED9">
            <w:pPr>
              <w:spacing w:after="120"/>
              <w:jc w:val="right"/>
              <w:rPr>
                <w:rFonts w:ascii="Calibri" w:hAnsi="Calibri" w:cs="Calibri"/>
                <w:b/>
                <w:bCs/>
                <w:color w:val="000000"/>
                <w:sz w:val="16"/>
                <w:szCs w:val="16"/>
              </w:rPr>
            </w:pPr>
            <w:r>
              <w:rPr>
                <w:rFonts w:ascii="Calibri" w:hAnsi="Calibri" w:cs="Calibri"/>
                <w:b/>
                <w:bCs/>
                <w:color w:val="000000"/>
                <w:sz w:val="16"/>
                <w:szCs w:val="16"/>
              </w:rPr>
              <w:t>31.093.500</w:t>
            </w:r>
          </w:p>
        </w:tc>
        <w:tc>
          <w:tcPr>
            <w:tcW w:w="999" w:type="pct"/>
            <w:tcBorders>
              <w:top w:val="nil"/>
              <w:left w:val="nil"/>
              <w:bottom w:val="single" w:sz="8" w:space="0" w:color="auto"/>
              <w:right w:val="nil"/>
            </w:tcBorders>
            <w:shd w:val="clear" w:color="auto" w:fill="auto"/>
            <w:vAlign w:val="center"/>
            <w:hideMark/>
          </w:tcPr>
          <w:p w14:paraId="7088ADB9" w14:textId="3825CCB6" w:rsidR="00761A71" w:rsidRDefault="00A77647" w:rsidP="00937ED9">
            <w:pPr>
              <w:spacing w:after="120"/>
              <w:jc w:val="right"/>
              <w:rPr>
                <w:rFonts w:ascii="Calibri" w:hAnsi="Calibri" w:cs="Calibri"/>
                <w:b/>
                <w:bCs/>
                <w:color w:val="000000"/>
                <w:sz w:val="16"/>
                <w:szCs w:val="16"/>
              </w:rPr>
            </w:pPr>
            <w:r>
              <w:rPr>
                <w:rFonts w:ascii="Calibri" w:hAnsi="Calibri" w:cs="Calibri"/>
                <w:b/>
                <w:bCs/>
                <w:color w:val="000000"/>
                <w:sz w:val="16"/>
                <w:szCs w:val="16"/>
              </w:rPr>
              <w:t>32.184.500</w:t>
            </w:r>
          </w:p>
        </w:tc>
      </w:tr>
      <w:tr w:rsidR="00761A71" w14:paraId="3E056A2E" w14:textId="77777777" w:rsidTr="000B3A75">
        <w:trPr>
          <w:trHeight w:hRule="exact" w:val="227"/>
        </w:trPr>
        <w:tc>
          <w:tcPr>
            <w:tcW w:w="3001" w:type="pct"/>
            <w:gridSpan w:val="3"/>
            <w:tcBorders>
              <w:top w:val="nil"/>
              <w:left w:val="nil"/>
              <w:bottom w:val="single" w:sz="8" w:space="0" w:color="auto"/>
              <w:right w:val="nil"/>
            </w:tcBorders>
            <w:shd w:val="clear" w:color="auto" w:fill="auto"/>
            <w:noWrap/>
            <w:vAlign w:val="center"/>
            <w:hideMark/>
          </w:tcPr>
          <w:p w14:paraId="58C00AD3" w14:textId="5E3C4180" w:rsidR="00761A71" w:rsidRDefault="00761A71" w:rsidP="00937ED9">
            <w:pPr>
              <w:spacing w:after="120"/>
              <w:rPr>
                <w:rFonts w:ascii="Calibri" w:hAnsi="Calibri" w:cs="Calibri"/>
                <w:b/>
                <w:bCs/>
                <w:color w:val="000000"/>
                <w:sz w:val="16"/>
                <w:szCs w:val="16"/>
              </w:rPr>
            </w:pPr>
            <w:r>
              <w:rPr>
                <w:rFonts w:ascii="Calibri" w:hAnsi="Calibri" w:cs="Calibri"/>
                <w:b/>
                <w:bCs/>
                <w:color w:val="000000"/>
                <w:sz w:val="16"/>
                <w:szCs w:val="16"/>
              </w:rPr>
              <w:t>Receita a Diferir</w:t>
            </w:r>
            <w:r w:rsidR="004438A4">
              <w:rPr>
                <w:rFonts w:ascii="Calibri" w:hAnsi="Calibri" w:cs="Calibri"/>
                <w:b/>
                <w:bCs/>
                <w:color w:val="000000"/>
                <w:sz w:val="16"/>
                <w:szCs w:val="16"/>
              </w:rPr>
              <w:t xml:space="preserve"> Subconcessão FIOL</w:t>
            </w:r>
            <w:r w:rsidR="005454C1">
              <w:rPr>
                <w:rFonts w:ascii="Calibri" w:hAnsi="Calibri" w:cs="Calibri"/>
                <w:b/>
                <w:bCs/>
                <w:color w:val="000000"/>
                <w:sz w:val="16"/>
                <w:szCs w:val="16"/>
              </w:rPr>
              <w:t xml:space="preserve"> I</w:t>
            </w:r>
            <w:r>
              <w:rPr>
                <w:rFonts w:ascii="Calibri" w:hAnsi="Calibri" w:cs="Calibri"/>
                <w:b/>
                <w:bCs/>
                <w:color w:val="000000"/>
                <w:sz w:val="16"/>
                <w:szCs w:val="16"/>
              </w:rPr>
              <w:t xml:space="preserve"> – Circulante</w:t>
            </w:r>
          </w:p>
        </w:tc>
        <w:tc>
          <w:tcPr>
            <w:tcW w:w="1000" w:type="pct"/>
            <w:tcBorders>
              <w:top w:val="nil"/>
              <w:left w:val="nil"/>
              <w:bottom w:val="single" w:sz="8" w:space="0" w:color="auto"/>
              <w:right w:val="nil"/>
            </w:tcBorders>
            <w:shd w:val="clear" w:color="auto" w:fill="auto"/>
            <w:noWrap/>
            <w:vAlign w:val="center"/>
            <w:hideMark/>
          </w:tcPr>
          <w:p w14:paraId="5A6C3863" w14:textId="6597F240" w:rsidR="00761A71" w:rsidRDefault="00761A71" w:rsidP="00937ED9">
            <w:pPr>
              <w:spacing w:after="120"/>
              <w:jc w:val="right"/>
              <w:rPr>
                <w:rFonts w:ascii="Calibri" w:hAnsi="Calibri" w:cs="Calibri"/>
                <w:b/>
                <w:bCs/>
                <w:color w:val="000000"/>
                <w:sz w:val="16"/>
                <w:szCs w:val="16"/>
              </w:rPr>
            </w:pPr>
            <w:r>
              <w:rPr>
                <w:rFonts w:ascii="Calibri" w:hAnsi="Calibri" w:cs="Calibri"/>
                <w:b/>
                <w:bCs/>
                <w:color w:val="000000"/>
                <w:sz w:val="16"/>
                <w:szCs w:val="16"/>
              </w:rPr>
              <w:t>2.182.000</w:t>
            </w:r>
          </w:p>
        </w:tc>
        <w:tc>
          <w:tcPr>
            <w:tcW w:w="999" w:type="pct"/>
            <w:tcBorders>
              <w:top w:val="nil"/>
              <w:left w:val="nil"/>
              <w:bottom w:val="single" w:sz="8" w:space="0" w:color="auto"/>
              <w:right w:val="nil"/>
            </w:tcBorders>
            <w:shd w:val="clear" w:color="auto" w:fill="auto"/>
            <w:vAlign w:val="center"/>
            <w:hideMark/>
          </w:tcPr>
          <w:p w14:paraId="04BC11D9" w14:textId="3815D215" w:rsidR="00761A71" w:rsidRDefault="00A77647" w:rsidP="00937ED9">
            <w:pPr>
              <w:spacing w:after="120"/>
              <w:jc w:val="right"/>
              <w:rPr>
                <w:rFonts w:ascii="Calibri" w:hAnsi="Calibri" w:cs="Calibri"/>
                <w:b/>
                <w:bCs/>
                <w:color w:val="000000"/>
                <w:sz w:val="16"/>
                <w:szCs w:val="16"/>
              </w:rPr>
            </w:pPr>
            <w:r>
              <w:rPr>
                <w:rFonts w:ascii="Calibri" w:hAnsi="Calibri" w:cs="Calibri"/>
                <w:b/>
                <w:bCs/>
                <w:color w:val="000000"/>
                <w:sz w:val="16"/>
                <w:szCs w:val="16"/>
              </w:rPr>
              <w:t>2.182.000</w:t>
            </w:r>
          </w:p>
        </w:tc>
      </w:tr>
      <w:tr w:rsidR="00761A71" w14:paraId="56BB3BEB" w14:textId="77777777" w:rsidTr="000B3A75">
        <w:trPr>
          <w:trHeight w:hRule="exact" w:val="227"/>
        </w:trPr>
        <w:tc>
          <w:tcPr>
            <w:tcW w:w="3001" w:type="pct"/>
            <w:gridSpan w:val="3"/>
            <w:tcBorders>
              <w:top w:val="nil"/>
              <w:left w:val="nil"/>
              <w:bottom w:val="single" w:sz="8" w:space="0" w:color="auto"/>
              <w:right w:val="nil"/>
            </w:tcBorders>
            <w:shd w:val="clear" w:color="auto" w:fill="auto"/>
            <w:noWrap/>
            <w:vAlign w:val="center"/>
            <w:hideMark/>
          </w:tcPr>
          <w:p w14:paraId="70C730F6" w14:textId="3274A708" w:rsidR="00761A71" w:rsidRDefault="00761A71" w:rsidP="00937ED9">
            <w:pPr>
              <w:spacing w:after="120"/>
              <w:rPr>
                <w:rFonts w:ascii="Calibri" w:hAnsi="Calibri" w:cs="Calibri"/>
                <w:b/>
                <w:bCs/>
                <w:color w:val="000000"/>
                <w:sz w:val="16"/>
                <w:szCs w:val="16"/>
              </w:rPr>
            </w:pPr>
            <w:r>
              <w:rPr>
                <w:rFonts w:ascii="Calibri" w:hAnsi="Calibri" w:cs="Calibri"/>
                <w:b/>
                <w:bCs/>
                <w:color w:val="000000"/>
                <w:sz w:val="16"/>
                <w:szCs w:val="16"/>
              </w:rPr>
              <w:t xml:space="preserve">Receita a Diferir </w:t>
            </w:r>
            <w:r w:rsidR="004438A4">
              <w:rPr>
                <w:rFonts w:ascii="Calibri" w:hAnsi="Calibri" w:cs="Calibri"/>
                <w:b/>
                <w:bCs/>
                <w:color w:val="000000"/>
                <w:sz w:val="16"/>
                <w:szCs w:val="16"/>
              </w:rPr>
              <w:t xml:space="preserve">Subconcessão FIOL </w:t>
            </w:r>
            <w:r w:rsidR="005454C1">
              <w:rPr>
                <w:rFonts w:ascii="Calibri" w:hAnsi="Calibri" w:cs="Calibri"/>
                <w:b/>
                <w:bCs/>
                <w:color w:val="000000"/>
                <w:sz w:val="16"/>
                <w:szCs w:val="16"/>
              </w:rPr>
              <w:t xml:space="preserve">I </w:t>
            </w:r>
            <w:r>
              <w:rPr>
                <w:rFonts w:ascii="Calibri" w:hAnsi="Calibri" w:cs="Calibri"/>
                <w:b/>
                <w:bCs/>
                <w:color w:val="000000"/>
                <w:sz w:val="16"/>
                <w:szCs w:val="16"/>
              </w:rPr>
              <w:t>– Não Circulante</w:t>
            </w:r>
          </w:p>
        </w:tc>
        <w:tc>
          <w:tcPr>
            <w:tcW w:w="1000" w:type="pct"/>
            <w:tcBorders>
              <w:top w:val="nil"/>
              <w:left w:val="nil"/>
              <w:bottom w:val="single" w:sz="8" w:space="0" w:color="auto"/>
              <w:right w:val="nil"/>
            </w:tcBorders>
            <w:shd w:val="clear" w:color="auto" w:fill="auto"/>
            <w:noWrap/>
            <w:vAlign w:val="center"/>
            <w:hideMark/>
          </w:tcPr>
          <w:p w14:paraId="24AE4DCC" w14:textId="16E52D60" w:rsidR="00761A71" w:rsidRDefault="00617FD8" w:rsidP="00937ED9">
            <w:pPr>
              <w:spacing w:after="120"/>
              <w:jc w:val="right"/>
              <w:rPr>
                <w:rFonts w:ascii="Calibri" w:hAnsi="Calibri" w:cs="Calibri"/>
                <w:b/>
                <w:bCs/>
                <w:color w:val="000000"/>
                <w:sz w:val="16"/>
                <w:szCs w:val="16"/>
              </w:rPr>
            </w:pPr>
            <w:r>
              <w:rPr>
                <w:rFonts w:ascii="Calibri" w:hAnsi="Calibri" w:cs="Calibri"/>
                <w:b/>
                <w:bCs/>
                <w:color w:val="000000"/>
                <w:sz w:val="16"/>
                <w:szCs w:val="16"/>
              </w:rPr>
              <w:t>28.911.500</w:t>
            </w:r>
          </w:p>
        </w:tc>
        <w:tc>
          <w:tcPr>
            <w:tcW w:w="999" w:type="pct"/>
            <w:tcBorders>
              <w:top w:val="nil"/>
              <w:left w:val="nil"/>
              <w:bottom w:val="single" w:sz="8" w:space="0" w:color="auto"/>
              <w:right w:val="nil"/>
            </w:tcBorders>
            <w:shd w:val="clear" w:color="auto" w:fill="auto"/>
            <w:vAlign w:val="center"/>
            <w:hideMark/>
          </w:tcPr>
          <w:p w14:paraId="4DEB4B79" w14:textId="5E496AF1" w:rsidR="00761A71" w:rsidRDefault="00A77647" w:rsidP="00937ED9">
            <w:pPr>
              <w:spacing w:after="120"/>
              <w:jc w:val="right"/>
              <w:rPr>
                <w:rFonts w:ascii="Calibri" w:hAnsi="Calibri" w:cs="Calibri"/>
                <w:b/>
                <w:bCs/>
                <w:color w:val="000000"/>
                <w:sz w:val="16"/>
                <w:szCs w:val="16"/>
              </w:rPr>
            </w:pPr>
            <w:r>
              <w:rPr>
                <w:rFonts w:ascii="Calibri" w:hAnsi="Calibri" w:cs="Calibri"/>
                <w:b/>
                <w:bCs/>
                <w:color w:val="000000"/>
                <w:sz w:val="16"/>
                <w:szCs w:val="16"/>
              </w:rPr>
              <w:t>30.002.500</w:t>
            </w:r>
          </w:p>
        </w:tc>
      </w:tr>
    </w:tbl>
    <w:p w14:paraId="41266124" w14:textId="3CDCC2DB" w:rsidR="000F4827" w:rsidRPr="002D2F93" w:rsidRDefault="0097313E" w:rsidP="002D2F93">
      <w:pPr>
        <w:pStyle w:val="Ttulo4"/>
        <w:tabs>
          <w:tab w:val="left" w:pos="0"/>
        </w:tabs>
        <w:spacing w:before="120" w:after="120" w:line="240" w:lineRule="auto"/>
        <w:rPr>
          <w:rFonts w:ascii="Calibri" w:hAnsi="Calibri" w:cs="Calibri"/>
          <w:bCs w:val="0"/>
          <w:sz w:val="22"/>
          <w:szCs w:val="22"/>
        </w:rPr>
      </w:pPr>
      <w:r w:rsidRPr="00BD4F85">
        <w:rPr>
          <w:rFonts w:ascii="Calibri" w:hAnsi="Calibri" w:cs="Calibri"/>
          <w:bCs w:val="0"/>
          <w:sz w:val="22"/>
          <w:szCs w:val="22"/>
        </w:rPr>
        <w:t xml:space="preserve">NOTA </w:t>
      </w:r>
      <w:r w:rsidR="00C57BA3" w:rsidRPr="00BD4F85">
        <w:rPr>
          <w:rFonts w:ascii="Calibri" w:hAnsi="Calibri" w:cs="Calibri"/>
          <w:bCs w:val="0"/>
          <w:sz w:val="22"/>
          <w:szCs w:val="22"/>
        </w:rPr>
        <w:t>1</w:t>
      </w:r>
      <w:r w:rsidR="001A1B68" w:rsidRPr="00BD4F85">
        <w:rPr>
          <w:rFonts w:ascii="Calibri" w:hAnsi="Calibri" w:cs="Calibri"/>
          <w:bCs w:val="0"/>
          <w:sz w:val="22"/>
          <w:szCs w:val="22"/>
        </w:rPr>
        <w:t>4</w:t>
      </w:r>
      <w:r w:rsidR="00427353" w:rsidRPr="00BD4F85">
        <w:rPr>
          <w:rFonts w:ascii="Calibri" w:hAnsi="Calibri" w:cs="Calibri"/>
          <w:bCs w:val="0"/>
          <w:sz w:val="22"/>
          <w:szCs w:val="22"/>
        </w:rPr>
        <w:t xml:space="preserve"> – PASSIVO INVESTIMENTO CRUZADO</w:t>
      </w:r>
    </w:p>
    <w:p w14:paraId="6A2228B2" w14:textId="77777777" w:rsidR="000F4827" w:rsidRPr="00BD4F85" w:rsidRDefault="000F4827" w:rsidP="000F4827">
      <w:pPr>
        <w:spacing w:after="120"/>
        <w:jc w:val="both"/>
        <w:rPr>
          <w:rFonts w:ascii="Calibri" w:hAnsi="Calibri" w:cs="Calibri"/>
          <w:sz w:val="22"/>
          <w:szCs w:val="22"/>
        </w:rPr>
      </w:pPr>
      <w:r w:rsidRPr="00BD4F85">
        <w:rPr>
          <w:rFonts w:ascii="Calibri" w:hAnsi="Calibri" w:cs="Calibri"/>
          <w:sz w:val="22"/>
          <w:szCs w:val="22"/>
        </w:rPr>
        <w:t xml:space="preserve">A Lei nº 13.448/2017 trouxe como inovação no ordenamento jurídico a possibilidade de realização de investimentos em malhas ferroviárias distintas como contrapartida às prorrogações de contratos de concessão, onde configura-se obrigações de fazer, impostas como contrapartida à celebração de um contrato de concessão, em substituição à obrigação de pagar o correspondente valor de outorga. </w:t>
      </w:r>
    </w:p>
    <w:p w14:paraId="508278C0" w14:textId="29102A93" w:rsidR="000F4827" w:rsidRPr="00BD4F85" w:rsidRDefault="000F4827" w:rsidP="000F4827">
      <w:pPr>
        <w:spacing w:after="120"/>
        <w:jc w:val="both"/>
        <w:rPr>
          <w:rFonts w:ascii="Calibri" w:hAnsi="Calibri" w:cs="Calibri"/>
          <w:sz w:val="22"/>
          <w:szCs w:val="22"/>
        </w:rPr>
      </w:pPr>
      <w:r w:rsidRPr="00BD4F85">
        <w:rPr>
          <w:rFonts w:ascii="Calibri" w:hAnsi="Calibri" w:cs="Calibri"/>
          <w:sz w:val="22"/>
          <w:szCs w:val="22"/>
        </w:rPr>
        <w:t xml:space="preserve">Como os investimentos cruzados são aqueles realizados sobre malha alheia, diferentemente do investimento ordinário em contratos de concessão, pressupõe-se uma relação trilateral. No caso, conforme descrito na Nota 1-IV, envolve a União, como poder concedente; a Vale S/A, como concessionária da Ferrovia Vitória Minas; e a </w:t>
      </w:r>
      <w:bookmarkStart w:id="6" w:name="_Hlk96084509"/>
      <w:r w:rsidRPr="00BD4F85">
        <w:rPr>
          <w:rFonts w:ascii="Calibri" w:hAnsi="Calibri" w:cs="Calibri"/>
          <w:sz w:val="22"/>
          <w:szCs w:val="22"/>
        </w:rPr>
        <w:t>V</w:t>
      </w:r>
      <w:r w:rsidR="002901F5">
        <w:rPr>
          <w:rFonts w:ascii="Calibri" w:hAnsi="Calibri" w:cs="Calibri"/>
          <w:sz w:val="22"/>
          <w:szCs w:val="22"/>
        </w:rPr>
        <w:t>ALEC</w:t>
      </w:r>
      <w:bookmarkEnd w:id="6"/>
      <w:r w:rsidRPr="00BD4F85">
        <w:rPr>
          <w:rFonts w:ascii="Calibri" w:hAnsi="Calibri" w:cs="Calibri"/>
          <w:sz w:val="22"/>
          <w:szCs w:val="22"/>
        </w:rPr>
        <w:t xml:space="preserve"> como concessionária da Ferrovia de Integração Oeste Leste e da Ferrovia de Integração Centro-Oeste, como titular dos projetos a serem executados. </w:t>
      </w:r>
    </w:p>
    <w:p w14:paraId="2D74ACEA" w14:textId="28325934" w:rsidR="00BD4F85" w:rsidRPr="00BD4F85" w:rsidRDefault="000F4827" w:rsidP="000F4827">
      <w:pPr>
        <w:spacing w:after="120"/>
        <w:jc w:val="both"/>
        <w:rPr>
          <w:rFonts w:ascii="Calibri" w:hAnsi="Calibri" w:cs="Calibri"/>
          <w:sz w:val="22"/>
          <w:szCs w:val="22"/>
        </w:rPr>
      </w:pPr>
      <w:r w:rsidRPr="00BD4F85">
        <w:rPr>
          <w:rFonts w:ascii="Calibri" w:hAnsi="Calibri" w:cs="Calibri"/>
          <w:sz w:val="22"/>
          <w:szCs w:val="22"/>
        </w:rPr>
        <w:t xml:space="preserve">A relação tripartite requer uma série de especificidades, dentre elas destaca-se necessidade de um crédito em favor da União (enquanto titular do direito à contrapartida exigida da Vale S/A por ocasião da Prorrogação Antecipada da </w:t>
      </w:r>
      <w:r w:rsidRPr="00BD4F85">
        <w:rPr>
          <w:rFonts w:ascii="Calibri" w:hAnsi="Calibri" w:cs="Calibri"/>
          <w:sz w:val="22"/>
          <w:szCs w:val="22"/>
        </w:rPr>
        <w:lastRenderedPageBreak/>
        <w:t xml:space="preserve">Ferrovia Vitória Minas), contra a </w:t>
      </w:r>
      <w:r w:rsidR="002901F5" w:rsidRPr="00BD4F85">
        <w:rPr>
          <w:rFonts w:ascii="Calibri" w:hAnsi="Calibri" w:cs="Calibri"/>
          <w:sz w:val="22"/>
          <w:szCs w:val="22"/>
        </w:rPr>
        <w:t>V</w:t>
      </w:r>
      <w:r w:rsidR="002901F5">
        <w:rPr>
          <w:rFonts w:ascii="Calibri" w:hAnsi="Calibri" w:cs="Calibri"/>
          <w:sz w:val="22"/>
          <w:szCs w:val="22"/>
        </w:rPr>
        <w:t>ALEC</w:t>
      </w:r>
      <w:r w:rsidRPr="00BD4F85">
        <w:rPr>
          <w:rFonts w:ascii="Calibri" w:hAnsi="Calibri" w:cs="Calibri"/>
          <w:sz w:val="22"/>
          <w:szCs w:val="22"/>
        </w:rPr>
        <w:t xml:space="preserve"> (beneficiária-final dos Investimentos Cruzados empreendidos pela Vale S/A). Está sendo discutido com o Ministério da Infraestrutura, Coordenação de Contabilidade da Secretaria do Tesouro Nacional</w:t>
      </w:r>
      <w:r w:rsidR="00BD4F85" w:rsidRPr="00BD4F85">
        <w:rPr>
          <w:rFonts w:ascii="Calibri" w:hAnsi="Calibri" w:cs="Calibri"/>
          <w:sz w:val="22"/>
          <w:szCs w:val="22"/>
        </w:rPr>
        <w:t xml:space="preserve"> e</w:t>
      </w:r>
      <w:r w:rsidRPr="00BD4F85">
        <w:rPr>
          <w:rFonts w:ascii="Calibri" w:hAnsi="Calibri" w:cs="Calibri"/>
          <w:sz w:val="22"/>
          <w:szCs w:val="22"/>
        </w:rPr>
        <w:t xml:space="preserve"> a Coordenação de Participações Societária do Tesouro Nacional uma forma de internalização na</w:t>
      </w:r>
      <w:r w:rsidR="00BD4F85" w:rsidRPr="00BD4F85">
        <w:rPr>
          <w:rFonts w:ascii="Calibri" w:hAnsi="Calibri" w:cs="Calibri"/>
          <w:sz w:val="22"/>
          <w:szCs w:val="22"/>
        </w:rPr>
        <w:t xml:space="preserve"> </w:t>
      </w:r>
      <w:r w:rsidR="002901F5" w:rsidRPr="00BD4F85">
        <w:rPr>
          <w:rFonts w:ascii="Calibri" w:hAnsi="Calibri" w:cs="Calibri"/>
          <w:sz w:val="22"/>
          <w:szCs w:val="22"/>
        </w:rPr>
        <w:t>V</w:t>
      </w:r>
      <w:r w:rsidR="002901F5">
        <w:rPr>
          <w:rFonts w:ascii="Calibri" w:hAnsi="Calibri" w:cs="Calibri"/>
          <w:sz w:val="22"/>
          <w:szCs w:val="22"/>
        </w:rPr>
        <w:t>ALEC</w:t>
      </w:r>
      <w:r w:rsidRPr="00BD4F85">
        <w:rPr>
          <w:rFonts w:ascii="Calibri" w:hAnsi="Calibri" w:cs="Calibri"/>
          <w:sz w:val="22"/>
          <w:szCs w:val="22"/>
        </w:rPr>
        <w:t xml:space="preserve"> do direito de receber da V</w:t>
      </w:r>
      <w:r w:rsidR="00BD4F85" w:rsidRPr="00BD4F85">
        <w:rPr>
          <w:rFonts w:ascii="Calibri" w:hAnsi="Calibri" w:cs="Calibri"/>
          <w:sz w:val="22"/>
          <w:szCs w:val="22"/>
        </w:rPr>
        <w:t>ale</w:t>
      </w:r>
      <w:r w:rsidRPr="00BD4F85">
        <w:rPr>
          <w:rFonts w:ascii="Calibri" w:hAnsi="Calibri" w:cs="Calibri"/>
          <w:sz w:val="22"/>
          <w:szCs w:val="22"/>
        </w:rPr>
        <w:t xml:space="preserve"> S/A, se por meio de aumento de capital social ou por outro meio. </w:t>
      </w:r>
    </w:p>
    <w:p w14:paraId="43DD1AC5" w14:textId="1FC6F3BA" w:rsidR="00FE4D59" w:rsidRDefault="000F4827" w:rsidP="000F4827">
      <w:pPr>
        <w:spacing w:after="120"/>
        <w:jc w:val="both"/>
        <w:rPr>
          <w:rFonts w:ascii="Calibri" w:hAnsi="Calibri" w:cs="Calibri"/>
          <w:sz w:val="22"/>
          <w:szCs w:val="22"/>
        </w:rPr>
      </w:pPr>
      <w:r w:rsidRPr="00BD4F85">
        <w:rPr>
          <w:rFonts w:ascii="Calibri" w:hAnsi="Calibri" w:cs="Calibri"/>
          <w:sz w:val="22"/>
          <w:szCs w:val="22"/>
        </w:rPr>
        <w:t xml:space="preserve">No entanto, </w:t>
      </w:r>
      <w:r w:rsidR="008E7DC3">
        <w:rPr>
          <w:rFonts w:ascii="Calibri" w:hAnsi="Calibri" w:cs="Calibri"/>
          <w:sz w:val="22"/>
          <w:szCs w:val="22"/>
        </w:rPr>
        <w:t>enquanto não houver</w:t>
      </w:r>
      <w:r w:rsidRPr="00BD4F85">
        <w:rPr>
          <w:rFonts w:ascii="Calibri" w:hAnsi="Calibri" w:cs="Calibri"/>
          <w:sz w:val="22"/>
          <w:szCs w:val="22"/>
        </w:rPr>
        <w:t xml:space="preserve"> um entendimento em comum (discussões e estudos em andamento), mas com custos já efetuados, a </w:t>
      </w:r>
      <w:r w:rsidR="002901F5" w:rsidRPr="00BD4F85">
        <w:rPr>
          <w:rFonts w:ascii="Calibri" w:hAnsi="Calibri" w:cs="Calibri"/>
          <w:sz w:val="22"/>
          <w:szCs w:val="22"/>
        </w:rPr>
        <w:t>V</w:t>
      </w:r>
      <w:r w:rsidR="002901F5">
        <w:rPr>
          <w:rFonts w:ascii="Calibri" w:hAnsi="Calibri" w:cs="Calibri"/>
          <w:sz w:val="22"/>
          <w:szCs w:val="22"/>
        </w:rPr>
        <w:t>ALEC</w:t>
      </w:r>
      <w:r w:rsidR="00BD4F85" w:rsidRPr="00BD4F85">
        <w:rPr>
          <w:rFonts w:ascii="Calibri" w:hAnsi="Calibri" w:cs="Calibri"/>
          <w:sz w:val="22"/>
          <w:szCs w:val="22"/>
        </w:rPr>
        <w:t xml:space="preserve"> </w:t>
      </w:r>
      <w:r w:rsidR="008E7DC3">
        <w:rPr>
          <w:rFonts w:ascii="Calibri" w:hAnsi="Calibri" w:cs="Calibri"/>
          <w:sz w:val="22"/>
          <w:szCs w:val="22"/>
        </w:rPr>
        <w:t>está contabilizando</w:t>
      </w:r>
      <w:r w:rsidR="00BD4F85" w:rsidRPr="00BD4F85">
        <w:rPr>
          <w:rFonts w:ascii="Calibri" w:hAnsi="Calibri" w:cs="Calibri"/>
          <w:sz w:val="22"/>
          <w:szCs w:val="22"/>
        </w:rPr>
        <w:t xml:space="preserve"> como </w:t>
      </w:r>
      <w:r w:rsidRPr="00BD4F85">
        <w:rPr>
          <w:rFonts w:ascii="Calibri" w:hAnsi="Calibri" w:cs="Calibri"/>
          <w:sz w:val="22"/>
          <w:szCs w:val="22"/>
        </w:rPr>
        <w:t>um ativo e um passivo sem que interf</w:t>
      </w:r>
      <w:r w:rsidR="008E7DC3">
        <w:rPr>
          <w:rFonts w:ascii="Calibri" w:hAnsi="Calibri" w:cs="Calibri"/>
          <w:sz w:val="22"/>
          <w:szCs w:val="22"/>
        </w:rPr>
        <w:t>ira</w:t>
      </w:r>
      <w:r w:rsidRPr="00BD4F85">
        <w:rPr>
          <w:rFonts w:ascii="Calibri" w:hAnsi="Calibri" w:cs="Calibri"/>
          <w:sz w:val="22"/>
          <w:szCs w:val="22"/>
        </w:rPr>
        <w:t xml:space="preserve"> no orçamento e nem nas contas de resultado, até que seja concluído os estudos e todos os órgãos envolvidos estejam de acordo. </w:t>
      </w:r>
      <w:r w:rsidR="00BD4F85" w:rsidRPr="00BD4F85">
        <w:rPr>
          <w:rFonts w:ascii="Calibri" w:hAnsi="Calibri" w:cs="Calibri"/>
          <w:sz w:val="22"/>
          <w:szCs w:val="22"/>
        </w:rPr>
        <w:t>Assim</w:t>
      </w:r>
      <w:r w:rsidRPr="00BD4F85">
        <w:rPr>
          <w:rFonts w:ascii="Calibri" w:hAnsi="Calibri" w:cs="Calibri"/>
          <w:sz w:val="22"/>
          <w:szCs w:val="22"/>
        </w:rPr>
        <w:t xml:space="preserve">, a VALEC reconheceu no Ativo Imobilizado </w:t>
      </w:r>
      <w:r w:rsidR="008E7DC3">
        <w:rPr>
          <w:rFonts w:ascii="Calibri" w:hAnsi="Calibri" w:cs="Calibri"/>
          <w:sz w:val="22"/>
          <w:szCs w:val="22"/>
        </w:rPr>
        <w:t xml:space="preserve">até o </w:t>
      </w:r>
      <w:r w:rsidR="00617FD8">
        <w:rPr>
          <w:rFonts w:ascii="Calibri" w:hAnsi="Calibri" w:cs="Calibri"/>
          <w:sz w:val="22"/>
          <w:szCs w:val="22"/>
        </w:rPr>
        <w:t>2</w:t>
      </w:r>
      <w:r w:rsidR="008E7DC3">
        <w:rPr>
          <w:rFonts w:ascii="Calibri" w:hAnsi="Calibri" w:cs="Calibri"/>
          <w:sz w:val="22"/>
          <w:szCs w:val="22"/>
        </w:rPr>
        <w:t xml:space="preserve">º trimestre de 2022 </w:t>
      </w:r>
      <w:r w:rsidRPr="00BD4F85">
        <w:rPr>
          <w:rFonts w:ascii="Calibri" w:hAnsi="Calibri" w:cs="Calibri"/>
          <w:sz w:val="22"/>
          <w:szCs w:val="22"/>
        </w:rPr>
        <w:t xml:space="preserve">o total de R$ </w:t>
      </w:r>
      <w:r w:rsidR="008E7DC3">
        <w:rPr>
          <w:rFonts w:ascii="Calibri" w:hAnsi="Calibri" w:cs="Calibri"/>
          <w:sz w:val="22"/>
          <w:szCs w:val="22"/>
        </w:rPr>
        <w:t>4</w:t>
      </w:r>
      <w:r w:rsidR="00F06BD6">
        <w:rPr>
          <w:rFonts w:ascii="Calibri" w:hAnsi="Calibri" w:cs="Calibri"/>
          <w:sz w:val="22"/>
          <w:szCs w:val="22"/>
        </w:rPr>
        <w:t>58</w:t>
      </w:r>
      <w:r w:rsidR="008E7DC3">
        <w:rPr>
          <w:rFonts w:ascii="Calibri" w:hAnsi="Calibri" w:cs="Calibri"/>
          <w:sz w:val="22"/>
          <w:szCs w:val="22"/>
        </w:rPr>
        <w:t>,</w:t>
      </w:r>
      <w:r w:rsidR="00F06BD6">
        <w:rPr>
          <w:rFonts w:ascii="Calibri" w:hAnsi="Calibri" w:cs="Calibri"/>
          <w:sz w:val="22"/>
          <w:szCs w:val="22"/>
        </w:rPr>
        <w:t>43</w:t>
      </w:r>
      <w:r w:rsidRPr="00BD4F85">
        <w:rPr>
          <w:rFonts w:ascii="Calibri" w:hAnsi="Calibri" w:cs="Calibri"/>
          <w:sz w:val="22"/>
          <w:szCs w:val="22"/>
        </w:rPr>
        <w:t xml:space="preserve"> milhões no âmbito do Investimento Cruzado, conforme Nota </w:t>
      </w:r>
      <w:r w:rsidR="00BD4F85" w:rsidRPr="00BD4F85">
        <w:rPr>
          <w:rFonts w:ascii="Calibri" w:hAnsi="Calibri" w:cs="Calibri"/>
          <w:sz w:val="22"/>
          <w:szCs w:val="22"/>
        </w:rPr>
        <w:t>8-IV</w:t>
      </w:r>
      <w:r w:rsidRPr="00BD4F85">
        <w:rPr>
          <w:rFonts w:ascii="Calibri" w:hAnsi="Calibri" w:cs="Calibri"/>
          <w:sz w:val="22"/>
          <w:szCs w:val="22"/>
        </w:rPr>
        <w:t xml:space="preserve">, como contrapartida a presente conta de </w:t>
      </w:r>
      <w:r w:rsidR="00BD4F85" w:rsidRPr="00BD4F85">
        <w:rPr>
          <w:rFonts w:ascii="Calibri" w:hAnsi="Calibri" w:cs="Calibri"/>
          <w:sz w:val="22"/>
          <w:szCs w:val="22"/>
        </w:rPr>
        <w:t>passivo</w:t>
      </w:r>
      <w:r w:rsidRPr="00BD4F85">
        <w:rPr>
          <w:rFonts w:ascii="Calibri" w:hAnsi="Calibri" w:cs="Calibri"/>
          <w:sz w:val="22"/>
          <w:szCs w:val="22"/>
        </w:rPr>
        <w:t>.</w:t>
      </w:r>
      <w:r w:rsidR="00FE4D59">
        <w:rPr>
          <w:rFonts w:ascii="Calibri" w:hAnsi="Calibri" w:cs="Calibri"/>
          <w:sz w:val="22"/>
          <w:szCs w:val="22"/>
        </w:rPr>
        <w:t xml:space="preserve"> </w:t>
      </w:r>
    </w:p>
    <w:p w14:paraId="43798450" w14:textId="296ED31F" w:rsidR="0097313E" w:rsidRPr="002E2B5B" w:rsidRDefault="00427353" w:rsidP="00937ED9">
      <w:pPr>
        <w:pStyle w:val="Ttulo4"/>
        <w:tabs>
          <w:tab w:val="left" w:pos="0"/>
        </w:tabs>
        <w:spacing w:after="120" w:line="240" w:lineRule="auto"/>
        <w:rPr>
          <w:rFonts w:ascii="Calibri" w:hAnsi="Calibri" w:cs="Calibri"/>
          <w:bCs w:val="0"/>
          <w:sz w:val="22"/>
          <w:szCs w:val="22"/>
        </w:rPr>
      </w:pPr>
      <w:r>
        <w:rPr>
          <w:rFonts w:ascii="Calibri" w:hAnsi="Calibri" w:cs="Calibri"/>
          <w:bCs w:val="0"/>
          <w:sz w:val="22"/>
          <w:szCs w:val="22"/>
        </w:rPr>
        <w:t>NOTA 1</w:t>
      </w:r>
      <w:r w:rsidR="001A1B68">
        <w:rPr>
          <w:rFonts w:ascii="Calibri" w:hAnsi="Calibri" w:cs="Calibri"/>
          <w:bCs w:val="0"/>
          <w:sz w:val="22"/>
          <w:szCs w:val="22"/>
        </w:rPr>
        <w:t>5</w:t>
      </w:r>
      <w:r w:rsidR="0097313E" w:rsidRPr="002E2B5B">
        <w:rPr>
          <w:rFonts w:ascii="Calibri" w:hAnsi="Calibri" w:cs="Calibri"/>
          <w:bCs w:val="0"/>
          <w:sz w:val="22"/>
          <w:szCs w:val="22"/>
        </w:rPr>
        <w:t xml:space="preserve"> – DIREITOS DE USO E PASSIVOS DE ARRENDAMENTOS</w:t>
      </w:r>
    </w:p>
    <w:p w14:paraId="27D5C090" w14:textId="1FA7A9FF" w:rsidR="0097313E" w:rsidRDefault="0097313E" w:rsidP="00937ED9">
      <w:pPr>
        <w:spacing w:after="120"/>
        <w:ind w:right="57"/>
        <w:jc w:val="both"/>
        <w:rPr>
          <w:rFonts w:ascii="Calibri" w:hAnsi="Calibri" w:cs="Calibri"/>
          <w:sz w:val="22"/>
          <w:szCs w:val="22"/>
        </w:rPr>
      </w:pPr>
      <w:r w:rsidRPr="002E2B5B">
        <w:rPr>
          <w:rFonts w:ascii="Calibri" w:hAnsi="Calibri" w:cs="Calibri"/>
          <w:sz w:val="22"/>
          <w:szCs w:val="22"/>
        </w:rPr>
        <w:t>O Pronunciamento Contábil CPC  06 (R2) estabeleceu um modelo único de contabilização de arrendamentos no balanço patrimonial para arrendatários. Um arrendatário reconhece um ativo de direito de uso que representa o seu direito de utilizar o ativo arrendado, o qual é reconhecido inicialmente pelo custo e, subsequentemente, pelo custo menos qualquer depreciação acumulada e ajustado pela taxa dos respectivos contratos</w:t>
      </w:r>
      <w:r w:rsidR="004966A1" w:rsidRPr="002E2B5B">
        <w:rPr>
          <w:rFonts w:ascii="Calibri" w:hAnsi="Calibri" w:cs="Calibri"/>
          <w:sz w:val="22"/>
          <w:szCs w:val="22"/>
        </w:rPr>
        <w:t>; e um passivo de arrendamento que representa sua obrigação de efetuar pagamentos do arrendamento, mensurado inicialmente pelo valor presente dos pagamentos.</w:t>
      </w:r>
    </w:p>
    <w:p w14:paraId="653D95DA" w14:textId="43CA12CA" w:rsidR="001B71DD" w:rsidRPr="00E24F86" w:rsidRDefault="001B71DD" w:rsidP="00937ED9">
      <w:pPr>
        <w:spacing w:before="120" w:after="120"/>
        <w:ind w:right="57"/>
        <w:jc w:val="both"/>
        <w:rPr>
          <w:rFonts w:ascii="Calibri" w:hAnsi="Calibri" w:cs="Calibri"/>
          <w:sz w:val="22"/>
          <w:szCs w:val="22"/>
        </w:rPr>
      </w:pPr>
      <w:r w:rsidRPr="00E24F86">
        <w:rPr>
          <w:rFonts w:ascii="Calibri" w:hAnsi="Calibri" w:cs="Calibri"/>
          <w:sz w:val="22"/>
          <w:szCs w:val="22"/>
        </w:rPr>
        <w:t>A VALEC realiza periodicamente a análise de seus contratos de locação vigentes para identificar quais se enquadram no alcance do referido normativo contábil. Atualmente são contabilizados como Direito de Uso e Passivos de Arrendamentos os contratos de locação de imóveis e veículos, com período contratual superior a 12 meses, considerando a possibilidade de renovação, que obedecem aos critérios para mensuração, reconhecimento e registro de contratos de arrendamento.</w:t>
      </w:r>
    </w:p>
    <w:p w14:paraId="7497BEB3" w14:textId="5F0BCE7F" w:rsidR="004D7AB3" w:rsidRDefault="0097313E" w:rsidP="00937ED9">
      <w:pPr>
        <w:spacing w:before="120" w:after="120"/>
        <w:ind w:right="57"/>
        <w:jc w:val="both"/>
        <w:rPr>
          <w:rFonts w:ascii="Calibri" w:hAnsi="Calibri" w:cs="Calibri"/>
          <w:sz w:val="22"/>
          <w:szCs w:val="22"/>
        </w:rPr>
      </w:pPr>
      <w:r w:rsidRPr="002E2B5B">
        <w:rPr>
          <w:rFonts w:ascii="Calibri" w:hAnsi="Calibri" w:cs="Calibri"/>
          <w:sz w:val="22"/>
          <w:szCs w:val="22"/>
        </w:rPr>
        <w:t xml:space="preserve">A conta “Direito de Uso de Veículos” trata-se de direitos estabelecidos em contratos de locação de veículos para utilização na sede e nos trechos em obras da VALEC. </w:t>
      </w:r>
      <w:r w:rsidR="004D7AB3">
        <w:rPr>
          <w:rFonts w:ascii="Calibri" w:hAnsi="Calibri" w:cs="Calibri"/>
          <w:sz w:val="22"/>
          <w:szCs w:val="22"/>
        </w:rPr>
        <w:t>A referida conta e</w:t>
      </w:r>
      <w:r w:rsidR="00F5156E">
        <w:rPr>
          <w:rFonts w:ascii="Calibri" w:hAnsi="Calibri" w:cs="Calibri"/>
          <w:sz w:val="22"/>
          <w:szCs w:val="22"/>
        </w:rPr>
        <w:t xml:space="preserve">ra composta apenas pelo Contrato nº 04/2022, </w:t>
      </w:r>
      <w:r w:rsidR="00005B4E">
        <w:rPr>
          <w:rFonts w:ascii="Calibri" w:hAnsi="Calibri" w:cs="Calibri"/>
          <w:sz w:val="22"/>
          <w:szCs w:val="22"/>
        </w:rPr>
        <w:t>com a vigência de 12 meses. E</w:t>
      </w:r>
      <w:r w:rsidR="00F5156E">
        <w:rPr>
          <w:rFonts w:ascii="Calibri" w:hAnsi="Calibri" w:cs="Calibri"/>
          <w:sz w:val="22"/>
          <w:szCs w:val="22"/>
        </w:rPr>
        <w:t>ntretanto</w:t>
      </w:r>
      <w:r w:rsidR="00005B4E">
        <w:rPr>
          <w:rFonts w:ascii="Calibri" w:hAnsi="Calibri" w:cs="Calibri"/>
          <w:sz w:val="22"/>
          <w:szCs w:val="22"/>
        </w:rPr>
        <w:t>,</w:t>
      </w:r>
      <w:r w:rsidR="00F5156E">
        <w:rPr>
          <w:rFonts w:ascii="Calibri" w:hAnsi="Calibri" w:cs="Calibri"/>
          <w:sz w:val="22"/>
          <w:szCs w:val="22"/>
        </w:rPr>
        <w:t xml:space="preserve"> </w:t>
      </w:r>
      <w:r w:rsidR="00BE17BD">
        <w:rPr>
          <w:rFonts w:ascii="Calibri" w:hAnsi="Calibri" w:cs="Calibri"/>
          <w:sz w:val="22"/>
          <w:szCs w:val="22"/>
        </w:rPr>
        <w:t>conforme</w:t>
      </w:r>
      <w:r w:rsidR="00821D6D">
        <w:rPr>
          <w:rFonts w:ascii="Calibri" w:hAnsi="Calibri" w:cs="Calibri"/>
          <w:sz w:val="22"/>
          <w:szCs w:val="22"/>
        </w:rPr>
        <w:t xml:space="preserve"> </w:t>
      </w:r>
      <w:r w:rsidR="00821D6D" w:rsidRPr="00821D6D">
        <w:rPr>
          <w:rFonts w:ascii="Calibri" w:hAnsi="Calibri" w:cs="Calibri"/>
          <w:sz w:val="22"/>
          <w:szCs w:val="22"/>
        </w:rPr>
        <w:t>Despacho nº 531/2022/GEADM-VALEC/SUADM-VALEC/DIRAF-VALEC</w:t>
      </w:r>
      <w:r w:rsidR="00821D6D">
        <w:rPr>
          <w:rFonts w:ascii="Calibri" w:hAnsi="Calibri" w:cs="Calibri"/>
          <w:sz w:val="22"/>
          <w:szCs w:val="22"/>
        </w:rPr>
        <w:t>,</w:t>
      </w:r>
      <w:r w:rsidR="00BE17BD">
        <w:rPr>
          <w:rFonts w:ascii="Calibri" w:hAnsi="Calibri" w:cs="Calibri"/>
          <w:sz w:val="22"/>
          <w:szCs w:val="22"/>
        </w:rPr>
        <w:t xml:space="preserve"> </w:t>
      </w:r>
      <w:r w:rsidR="00F5156E">
        <w:rPr>
          <w:rFonts w:ascii="Calibri" w:hAnsi="Calibri" w:cs="Calibri"/>
          <w:sz w:val="22"/>
          <w:szCs w:val="22"/>
        </w:rPr>
        <w:t>verificou-se que não há razo</w:t>
      </w:r>
      <w:r w:rsidR="00005B4E">
        <w:rPr>
          <w:rFonts w:ascii="Calibri" w:hAnsi="Calibri" w:cs="Calibri"/>
          <w:sz w:val="22"/>
          <w:szCs w:val="22"/>
        </w:rPr>
        <w:t>á</w:t>
      </w:r>
      <w:r w:rsidR="00F5156E">
        <w:rPr>
          <w:rFonts w:ascii="Calibri" w:hAnsi="Calibri" w:cs="Calibri"/>
          <w:sz w:val="22"/>
          <w:szCs w:val="22"/>
        </w:rPr>
        <w:t>vel certeza de</w:t>
      </w:r>
      <w:r w:rsidR="00005B4E">
        <w:rPr>
          <w:rFonts w:ascii="Calibri" w:hAnsi="Calibri" w:cs="Calibri"/>
          <w:sz w:val="22"/>
          <w:szCs w:val="22"/>
        </w:rPr>
        <w:t xml:space="preserve"> prorrogação do referido contrato. Sendo assim, de acordo com o CPC 06 (R2), não há a </w:t>
      </w:r>
      <w:r w:rsidR="00FC489F">
        <w:rPr>
          <w:rFonts w:ascii="Calibri" w:hAnsi="Calibri" w:cs="Calibri"/>
          <w:sz w:val="22"/>
          <w:szCs w:val="22"/>
        </w:rPr>
        <w:t>obrigatorie</w:t>
      </w:r>
      <w:r w:rsidR="00005B4E">
        <w:rPr>
          <w:rFonts w:ascii="Calibri" w:hAnsi="Calibri" w:cs="Calibri"/>
          <w:sz w:val="22"/>
          <w:szCs w:val="22"/>
        </w:rPr>
        <w:t xml:space="preserve">dade de contabilizá-lo </w:t>
      </w:r>
      <w:r w:rsidR="001C325F">
        <w:rPr>
          <w:rFonts w:ascii="Calibri" w:hAnsi="Calibri" w:cs="Calibri"/>
          <w:sz w:val="22"/>
          <w:szCs w:val="22"/>
        </w:rPr>
        <w:t>e por esse motivo efetuou-se a baixa dos respectivos valores.</w:t>
      </w:r>
      <w:r w:rsidR="00F5156E">
        <w:rPr>
          <w:rFonts w:ascii="Calibri" w:hAnsi="Calibri" w:cs="Calibri"/>
          <w:sz w:val="22"/>
          <w:szCs w:val="22"/>
        </w:rPr>
        <w:t xml:space="preserve"> </w:t>
      </w:r>
    </w:p>
    <w:p w14:paraId="4575897D" w14:textId="42861935" w:rsidR="00AD6B87" w:rsidRDefault="0097313E" w:rsidP="00937ED9">
      <w:pPr>
        <w:spacing w:before="120" w:after="120"/>
        <w:ind w:right="57"/>
        <w:jc w:val="both"/>
        <w:rPr>
          <w:rFonts w:ascii="Calibri" w:hAnsi="Calibri" w:cs="Calibri"/>
          <w:sz w:val="22"/>
          <w:szCs w:val="22"/>
        </w:rPr>
      </w:pPr>
      <w:r w:rsidRPr="002E2B5B">
        <w:rPr>
          <w:rFonts w:ascii="Calibri" w:hAnsi="Calibri" w:cs="Calibri"/>
          <w:sz w:val="22"/>
          <w:szCs w:val="22"/>
        </w:rPr>
        <w:t xml:space="preserve">Já a conta “Direito de Uso de Imóvel” trata-se de direitos com origem em contratos de locação de imóveis que, após análise nos contratos, verificou-se que somente o contrato de locação do imóvel onde se encontra a sede da empresa preenche os requisitos estabelecidos no CPC 06 (R2). </w:t>
      </w:r>
    </w:p>
    <w:p w14:paraId="22C93091" w14:textId="6588AF7B" w:rsidR="00C2026E" w:rsidRDefault="001C325F" w:rsidP="00937ED9">
      <w:pPr>
        <w:spacing w:before="120" w:after="120"/>
        <w:ind w:right="57"/>
        <w:jc w:val="both"/>
        <w:rPr>
          <w:rFonts w:ascii="Calibri" w:hAnsi="Calibri" w:cs="Calibri"/>
          <w:sz w:val="22"/>
          <w:szCs w:val="22"/>
        </w:rPr>
      </w:pPr>
      <w:r>
        <w:rPr>
          <w:rFonts w:ascii="Calibri" w:hAnsi="Calibri" w:cs="Calibri"/>
          <w:sz w:val="22"/>
          <w:szCs w:val="22"/>
        </w:rPr>
        <w:t>Para atender ao previsto no CPC 06 (R2), no que diz respeito a contabilização dos valores contratuais a valor presente, bem como o reconhecimento dos juros decorrentes de tal operação, foram realizados a</w:t>
      </w:r>
      <w:r w:rsidR="00BE4C03">
        <w:rPr>
          <w:rFonts w:ascii="Calibri" w:hAnsi="Calibri" w:cs="Calibri"/>
          <w:sz w:val="22"/>
          <w:szCs w:val="22"/>
        </w:rPr>
        <w:t>justes na contabilização que ocasionaram</w:t>
      </w:r>
      <w:r w:rsidR="00C2026E">
        <w:rPr>
          <w:rFonts w:ascii="Calibri" w:hAnsi="Calibri" w:cs="Calibri"/>
          <w:sz w:val="22"/>
          <w:szCs w:val="22"/>
        </w:rPr>
        <w:t xml:space="preserve"> em</w:t>
      </w:r>
      <w:r w:rsidR="00BE4C03">
        <w:rPr>
          <w:rFonts w:ascii="Calibri" w:hAnsi="Calibri" w:cs="Calibri"/>
          <w:sz w:val="22"/>
          <w:szCs w:val="22"/>
        </w:rPr>
        <w:t xml:space="preserve"> lançamentos de baixa no ativo e passivo correspondentes bem como na incorporação da conta</w:t>
      </w:r>
      <w:r w:rsidR="00C2026E">
        <w:rPr>
          <w:rFonts w:ascii="Calibri" w:hAnsi="Calibri" w:cs="Calibri"/>
          <w:sz w:val="22"/>
          <w:szCs w:val="22"/>
        </w:rPr>
        <w:t xml:space="preserve"> redutora do passivo</w:t>
      </w:r>
      <w:r w:rsidR="00BE4C03">
        <w:rPr>
          <w:rFonts w:ascii="Calibri" w:hAnsi="Calibri" w:cs="Calibri"/>
          <w:sz w:val="22"/>
          <w:szCs w:val="22"/>
        </w:rPr>
        <w:t xml:space="preserve"> “</w:t>
      </w:r>
      <w:r w:rsidR="00C2026E">
        <w:rPr>
          <w:rFonts w:ascii="Calibri" w:hAnsi="Calibri" w:cs="Calibri"/>
          <w:sz w:val="22"/>
          <w:szCs w:val="22"/>
        </w:rPr>
        <w:t>Juros a transcorrer”.</w:t>
      </w:r>
    </w:p>
    <w:p w14:paraId="47C0DB99" w14:textId="78440A81" w:rsidR="003111E3" w:rsidRDefault="003111E3" w:rsidP="00937ED9">
      <w:pPr>
        <w:spacing w:before="120" w:after="120"/>
        <w:ind w:right="57"/>
        <w:jc w:val="both"/>
        <w:rPr>
          <w:rFonts w:ascii="Calibri" w:hAnsi="Calibri" w:cs="Calibri"/>
          <w:sz w:val="22"/>
          <w:szCs w:val="22"/>
        </w:rPr>
      </w:pPr>
      <w:r w:rsidRPr="003111E3">
        <w:rPr>
          <w:rFonts w:ascii="Calibri" w:hAnsi="Calibri" w:cs="Calibri"/>
          <w:sz w:val="22"/>
          <w:szCs w:val="22"/>
        </w:rPr>
        <w:t xml:space="preserve">Considerando que o recurso disponibilizado à VALEC tem como fonte o Tesouro Nacional, a taxa de desconto </w:t>
      </w:r>
      <w:r>
        <w:rPr>
          <w:rFonts w:ascii="Calibri" w:hAnsi="Calibri" w:cs="Calibri"/>
          <w:sz w:val="22"/>
          <w:szCs w:val="22"/>
        </w:rPr>
        <w:t>defini</w:t>
      </w:r>
      <w:r w:rsidRPr="003111E3">
        <w:rPr>
          <w:rFonts w:ascii="Calibri" w:hAnsi="Calibri" w:cs="Calibri"/>
          <w:sz w:val="22"/>
          <w:szCs w:val="22"/>
        </w:rPr>
        <w:t xml:space="preserve">da para o cálculo de valor presente dos contratos em questão </w:t>
      </w:r>
      <w:r>
        <w:rPr>
          <w:rFonts w:ascii="Calibri" w:hAnsi="Calibri" w:cs="Calibri"/>
          <w:sz w:val="22"/>
          <w:szCs w:val="22"/>
        </w:rPr>
        <w:t>foi</w:t>
      </w:r>
      <w:r w:rsidRPr="003111E3">
        <w:rPr>
          <w:rFonts w:ascii="Calibri" w:hAnsi="Calibri" w:cs="Calibri"/>
          <w:sz w:val="22"/>
          <w:szCs w:val="22"/>
        </w:rPr>
        <w:t xml:space="preserve"> a SELIC</w:t>
      </w:r>
      <w:r>
        <w:rPr>
          <w:rFonts w:ascii="Calibri" w:hAnsi="Calibri" w:cs="Calibri"/>
          <w:sz w:val="22"/>
          <w:szCs w:val="22"/>
        </w:rPr>
        <w:t>, visto que</w:t>
      </w:r>
      <w:r w:rsidRPr="003111E3">
        <w:rPr>
          <w:rFonts w:ascii="Calibri" w:hAnsi="Calibri" w:cs="Calibri"/>
          <w:sz w:val="22"/>
          <w:szCs w:val="22"/>
        </w:rPr>
        <w:t xml:space="preserve"> seria a taxa empregada no caso de uma captação de recursos</w:t>
      </w:r>
      <w:r w:rsidR="00BE17BD">
        <w:rPr>
          <w:rFonts w:ascii="Calibri" w:hAnsi="Calibri" w:cs="Calibri"/>
          <w:sz w:val="22"/>
          <w:szCs w:val="22"/>
        </w:rPr>
        <w:t xml:space="preserve"> (taxa incremental).</w:t>
      </w:r>
    </w:p>
    <w:p w14:paraId="2D81E6C3" w14:textId="5ADE782B" w:rsidR="001C325F" w:rsidRDefault="00C2026E" w:rsidP="00937ED9">
      <w:pPr>
        <w:spacing w:before="120" w:after="120"/>
        <w:ind w:right="57"/>
        <w:jc w:val="both"/>
        <w:rPr>
          <w:rFonts w:ascii="Calibri" w:hAnsi="Calibri" w:cs="Calibri"/>
          <w:sz w:val="22"/>
          <w:szCs w:val="22"/>
        </w:rPr>
      </w:pPr>
      <w:r>
        <w:rPr>
          <w:rFonts w:ascii="Calibri" w:hAnsi="Calibri" w:cs="Calibri"/>
          <w:sz w:val="22"/>
          <w:szCs w:val="22"/>
        </w:rPr>
        <w:t xml:space="preserve">A rubrica “Direito de uso”, também evidenciada na Nota 8, apresentou a seguinte movimentação </w:t>
      </w:r>
      <w:r w:rsidR="00FC489F">
        <w:rPr>
          <w:rFonts w:ascii="Calibri" w:hAnsi="Calibri" w:cs="Calibri"/>
          <w:sz w:val="22"/>
          <w:szCs w:val="22"/>
        </w:rPr>
        <w:t xml:space="preserve">até </w:t>
      </w:r>
      <w:r>
        <w:rPr>
          <w:rFonts w:ascii="Calibri" w:hAnsi="Calibri" w:cs="Calibri"/>
          <w:sz w:val="22"/>
          <w:szCs w:val="22"/>
        </w:rPr>
        <w:t>o 2º trimestre de 2022:</w:t>
      </w:r>
    </w:p>
    <w:tbl>
      <w:tblPr>
        <w:tblW w:w="4949" w:type="pct"/>
        <w:tblLayout w:type="fixed"/>
        <w:tblCellMar>
          <w:left w:w="70" w:type="dxa"/>
          <w:right w:w="70" w:type="dxa"/>
        </w:tblCellMar>
        <w:tblLook w:val="04A0" w:firstRow="1" w:lastRow="0" w:firstColumn="1" w:lastColumn="0" w:noHBand="0" w:noVBand="1"/>
      </w:tblPr>
      <w:tblGrid>
        <w:gridCol w:w="2694"/>
        <w:gridCol w:w="1558"/>
        <w:gridCol w:w="1778"/>
        <w:gridCol w:w="1442"/>
        <w:gridCol w:w="1444"/>
        <w:gridCol w:w="1444"/>
      </w:tblGrid>
      <w:tr w:rsidR="00274BF6" w:rsidRPr="00274BF6" w14:paraId="2BA3B9A1" w14:textId="77777777" w:rsidTr="00274BF6">
        <w:trPr>
          <w:trHeight w:val="227"/>
        </w:trPr>
        <w:tc>
          <w:tcPr>
            <w:tcW w:w="1300" w:type="pct"/>
            <w:tcBorders>
              <w:top w:val="nil"/>
              <w:left w:val="nil"/>
              <w:bottom w:val="single" w:sz="4" w:space="0" w:color="auto"/>
              <w:right w:val="nil"/>
            </w:tcBorders>
            <w:shd w:val="clear" w:color="auto" w:fill="auto"/>
            <w:noWrap/>
            <w:vAlign w:val="center"/>
          </w:tcPr>
          <w:p w14:paraId="20B94CF4" w14:textId="01170C5D" w:rsidR="00274BF6" w:rsidRPr="00274BF6" w:rsidRDefault="00274BF6" w:rsidP="00FC489F">
            <w:pPr>
              <w:rPr>
                <w:rFonts w:ascii="Calibri" w:hAnsi="Calibri" w:cs="Calibri"/>
                <w:b/>
                <w:bCs/>
                <w:color w:val="000000"/>
                <w:sz w:val="16"/>
                <w:szCs w:val="16"/>
              </w:rPr>
            </w:pPr>
            <w:r>
              <w:rPr>
                <w:rFonts w:ascii="Calibri" w:hAnsi="Calibri" w:cs="Calibri"/>
                <w:b/>
                <w:bCs/>
                <w:color w:val="000000"/>
                <w:sz w:val="16"/>
                <w:szCs w:val="16"/>
              </w:rPr>
              <w:t>DIREITO DE USO</w:t>
            </w:r>
          </w:p>
        </w:tc>
        <w:tc>
          <w:tcPr>
            <w:tcW w:w="752" w:type="pct"/>
            <w:tcBorders>
              <w:top w:val="nil"/>
              <w:left w:val="nil"/>
              <w:bottom w:val="single" w:sz="4" w:space="0" w:color="auto"/>
              <w:right w:val="nil"/>
            </w:tcBorders>
            <w:shd w:val="clear" w:color="auto" w:fill="auto"/>
            <w:noWrap/>
            <w:vAlign w:val="center"/>
          </w:tcPr>
          <w:p w14:paraId="7FC9E8F4" w14:textId="5BF6AD8F" w:rsidR="00274BF6" w:rsidRPr="00274BF6" w:rsidRDefault="00274BF6" w:rsidP="00FC489F">
            <w:pPr>
              <w:jc w:val="right"/>
              <w:rPr>
                <w:rFonts w:ascii="Calibri" w:hAnsi="Calibri" w:cs="Calibri"/>
                <w:b/>
                <w:bCs/>
                <w:color w:val="000000"/>
                <w:sz w:val="16"/>
                <w:szCs w:val="16"/>
              </w:rPr>
            </w:pPr>
            <w:r>
              <w:rPr>
                <w:rFonts w:ascii="Calibri" w:hAnsi="Calibri" w:cs="Calibri"/>
                <w:b/>
                <w:bCs/>
                <w:color w:val="000000"/>
                <w:sz w:val="16"/>
                <w:szCs w:val="16"/>
              </w:rPr>
              <w:t>SALDO EM 31/12/2021</w:t>
            </w:r>
          </w:p>
        </w:tc>
        <w:tc>
          <w:tcPr>
            <w:tcW w:w="858" w:type="pct"/>
            <w:tcBorders>
              <w:top w:val="nil"/>
              <w:left w:val="nil"/>
              <w:bottom w:val="single" w:sz="4" w:space="0" w:color="auto"/>
              <w:right w:val="nil"/>
            </w:tcBorders>
            <w:shd w:val="clear" w:color="auto" w:fill="auto"/>
            <w:noWrap/>
            <w:vAlign w:val="center"/>
          </w:tcPr>
          <w:p w14:paraId="7FFAE14E" w14:textId="1CCB8085" w:rsidR="00274BF6" w:rsidRPr="00274BF6" w:rsidRDefault="00274BF6" w:rsidP="00FC489F">
            <w:pPr>
              <w:jc w:val="right"/>
              <w:rPr>
                <w:rFonts w:ascii="Calibri" w:hAnsi="Calibri" w:cs="Calibri"/>
                <w:b/>
                <w:bCs/>
                <w:color w:val="000000"/>
                <w:sz w:val="16"/>
                <w:szCs w:val="16"/>
              </w:rPr>
            </w:pPr>
            <w:r>
              <w:rPr>
                <w:rFonts w:ascii="Calibri" w:hAnsi="Calibri" w:cs="Calibri"/>
                <w:b/>
                <w:bCs/>
                <w:color w:val="000000"/>
                <w:sz w:val="16"/>
                <w:szCs w:val="16"/>
              </w:rPr>
              <w:t>ENTRADAS</w:t>
            </w:r>
          </w:p>
        </w:tc>
        <w:tc>
          <w:tcPr>
            <w:tcW w:w="696" w:type="pct"/>
            <w:tcBorders>
              <w:top w:val="nil"/>
              <w:left w:val="nil"/>
              <w:bottom w:val="single" w:sz="4" w:space="0" w:color="auto"/>
              <w:right w:val="nil"/>
            </w:tcBorders>
          </w:tcPr>
          <w:p w14:paraId="56A27987" w14:textId="708F13B7" w:rsidR="00274BF6" w:rsidRPr="00274BF6" w:rsidRDefault="00274BF6" w:rsidP="00FC489F">
            <w:pPr>
              <w:jc w:val="right"/>
              <w:rPr>
                <w:rFonts w:ascii="Calibri" w:hAnsi="Calibri" w:cs="Calibri"/>
                <w:b/>
                <w:bCs/>
                <w:color w:val="000000"/>
                <w:sz w:val="16"/>
                <w:szCs w:val="16"/>
              </w:rPr>
            </w:pPr>
            <w:r>
              <w:rPr>
                <w:rFonts w:ascii="Calibri" w:hAnsi="Calibri" w:cs="Calibri"/>
                <w:b/>
                <w:bCs/>
                <w:color w:val="000000"/>
                <w:sz w:val="16"/>
                <w:szCs w:val="16"/>
              </w:rPr>
              <w:t>BAIXAS CONTR./ PAGAMENTOS</w:t>
            </w:r>
          </w:p>
        </w:tc>
        <w:tc>
          <w:tcPr>
            <w:tcW w:w="697" w:type="pct"/>
            <w:tcBorders>
              <w:top w:val="nil"/>
              <w:left w:val="nil"/>
              <w:bottom w:val="single" w:sz="4" w:space="0" w:color="auto"/>
              <w:right w:val="nil"/>
            </w:tcBorders>
          </w:tcPr>
          <w:p w14:paraId="321D0430" w14:textId="78D0D63E" w:rsidR="00274BF6" w:rsidRPr="00274BF6" w:rsidRDefault="00274BF6" w:rsidP="00FC489F">
            <w:pPr>
              <w:jc w:val="right"/>
              <w:rPr>
                <w:rFonts w:ascii="Calibri" w:hAnsi="Calibri" w:cs="Calibri"/>
                <w:b/>
                <w:bCs/>
                <w:color w:val="000000"/>
                <w:sz w:val="16"/>
                <w:szCs w:val="16"/>
              </w:rPr>
            </w:pPr>
            <w:r>
              <w:rPr>
                <w:rFonts w:ascii="Calibri" w:hAnsi="Calibri" w:cs="Calibri"/>
                <w:b/>
                <w:bCs/>
                <w:color w:val="000000"/>
                <w:sz w:val="16"/>
                <w:szCs w:val="16"/>
              </w:rPr>
              <w:t>AJUSTES/     AJUSTES A VP</w:t>
            </w:r>
          </w:p>
        </w:tc>
        <w:tc>
          <w:tcPr>
            <w:tcW w:w="697" w:type="pct"/>
            <w:tcBorders>
              <w:top w:val="nil"/>
              <w:left w:val="nil"/>
              <w:bottom w:val="single" w:sz="4" w:space="0" w:color="auto"/>
              <w:right w:val="nil"/>
            </w:tcBorders>
            <w:shd w:val="clear" w:color="auto" w:fill="auto"/>
            <w:noWrap/>
            <w:vAlign w:val="center"/>
          </w:tcPr>
          <w:p w14:paraId="1E367E9B" w14:textId="307A4C4D" w:rsidR="00274BF6" w:rsidRPr="00274BF6" w:rsidRDefault="00274BF6" w:rsidP="00FC489F">
            <w:pPr>
              <w:jc w:val="right"/>
              <w:rPr>
                <w:rFonts w:ascii="Calibri" w:hAnsi="Calibri" w:cs="Calibri"/>
                <w:b/>
                <w:bCs/>
                <w:color w:val="000000"/>
                <w:sz w:val="16"/>
                <w:szCs w:val="16"/>
              </w:rPr>
            </w:pPr>
            <w:r>
              <w:rPr>
                <w:rFonts w:ascii="Calibri" w:hAnsi="Calibri" w:cs="Calibri"/>
                <w:b/>
                <w:bCs/>
                <w:color w:val="000000"/>
                <w:sz w:val="16"/>
                <w:szCs w:val="16"/>
              </w:rPr>
              <w:t>SALDO EM 30/06/2022</w:t>
            </w:r>
          </w:p>
        </w:tc>
      </w:tr>
      <w:tr w:rsidR="00FC489F" w14:paraId="3D18A1B6" w14:textId="77777777" w:rsidTr="00274BF6">
        <w:trPr>
          <w:trHeight w:val="227"/>
        </w:trPr>
        <w:tc>
          <w:tcPr>
            <w:tcW w:w="1300" w:type="pct"/>
            <w:tcBorders>
              <w:top w:val="single" w:sz="4" w:space="0" w:color="auto"/>
              <w:left w:val="nil"/>
              <w:bottom w:val="nil"/>
              <w:right w:val="nil"/>
            </w:tcBorders>
            <w:shd w:val="clear" w:color="auto" w:fill="auto"/>
            <w:noWrap/>
            <w:vAlign w:val="center"/>
            <w:hideMark/>
          </w:tcPr>
          <w:p w14:paraId="13E60AC8" w14:textId="77777777" w:rsidR="00FC489F" w:rsidRDefault="00FC489F" w:rsidP="00FC489F">
            <w:pPr>
              <w:rPr>
                <w:rFonts w:ascii="Calibri" w:hAnsi="Calibri" w:cs="Calibri"/>
                <w:color w:val="000000"/>
                <w:sz w:val="16"/>
                <w:szCs w:val="16"/>
              </w:rPr>
            </w:pPr>
            <w:r>
              <w:rPr>
                <w:rFonts w:ascii="Calibri" w:hAnsi="Calibri" w:cs="Calibri"/>
                <w:color w:val="000000"/>
                <w:sz w:val="16"/>
                <w:szCs w:val="16"/>
              </w:rPr>
              <w:t xml:space="preserve">Direito de Uso de Veículos </w:t>
            </w:r>
          </w:p>
        </w:tc>
        <w:tc>
          <w:tcPr>
            <w:tcW w:w="752" w:type="pct"/>
            <w:tcBorders>
              <w:top w:val="single" w:sz="4" w:space="0" w:color="auto"/>
              <w:left w:val="nil"/>
              <w:bottom w:val="nil"/>
              <w:right w:val="nil"/>
            </w:tcBorders>
            <w:shd w:val="clear" w:color="auto" w:fill="auto"/>
            <w:noWrap/>
            <w:vAlign w:val="center"/>
            <w:hideMark/>
          </w:tcPr>
          <w:p w14:paraId="7B385FA9" w14:textId="5685C9FD" w:rsidR="00FC489F" w:rsidRDefault="00FC489F" w:rsidP="00FC489F">
            <w:pPr>
              <w:jc w:val="right"/>
              <w:rPr>
                <w:rFonts w:ascii="Calibri" w:hAnsi="Calibri" w:cs="Calibri"/>
                <w:color w:val="000000"/>
                <w:sz w:val="16"/>
                <w:szCs w:val="16"/>
              </w:rPr>
            </w:pPr>
            <w:r>
              <w:rPr>
                <w:rFonts w:ascii="Calibri" w:hAnsi="Calibri" w:cs="Calibri"/>
                <w:color w:val="000000"/>
                <w:sz w:val="16"/>
                <w:szCs w:val="16"/>
              </w:rPr>
              <w:t>2.700.800</w:t>
            </w:r>
          </w:p>
        </w:tc>
        <w:tc>
          <w:tcPr>
            <w:tcW w:w="858" w:type="pct"/>
            <w:tcBorders>
              <w:top w:val="single" w:sz="4" w:space="0" w:color="auto"/>
              <w:left w:val="nil"/>
              <w:bottom w:val="nil"/>
              <w:right w:val="nil"/>
            </w:tcBorders>
            <w:shd w:val="clear" w:color="auto" w:fill="auto"/>
            <w:noWrap/>
            <w:vAlign w:val="center"/>
            <w:hideMark/>
          </w:tcPr>
          <w:p w14:paraId="3CBAE1C3" w14:textId="01D00402" w:rsidR="00FC489F" w:rsidRDefault="00FC489F" w:rsidP="00FC489F">
            <w:pPr>
              <w:jc w:val="right"/>
              <w:rPr>
                <w:rFonts w:ascii="Calibri" w:hAnsi="Calibri" w:cs="Calibri"/>
                <w:color w:val="000000"/>
                <w:sz w:val="16"/>
                <w:szCs w:val="16"/>
              </w:rPr>
            </w:pPr>
            <w:r>
              <w:rPr>
                <w:rFonts w:ascii="Calibri" w:hAnsi="Calibri" w:cs="Calibri"/>
                <w:color w:val="000000"/>
                <w:sz w:val="16"/>
                <w:szCs w:val="16"/>
              </w:rPr>
              <w:t>2.387.514</w:t>
            </w:r>
          </w:p>
        </w:tc>
        <w:tc>
          <w:tcPr>
            <w:tcW w:w="696" w:type="pct"/>
            <w:tcBorders>
              <w:top w:val="single" w:sz="4" w:space="0" w:color="auto"/>
              <w:left w:val="nil"/>
              <w:bottom w:val="nil"/>
              <w:right w:val="nil"/>
            </w:tcBorders>
          </w:tcPr>
          <w:p w14:paraId="475A4260" w14:textId="702F9EB1" w:rsidR="00FC489F" w:rsidRDefault="00FC489F" w:rsidP="00FC489F">
            <w:pPr>
              <w:jc w:val="right"/>
              <w:rPr>
                <w:rFonts w:ascii="Calibri" w:hAnsi="Calibri" w:cs="Calibri"/>
                <w:color w:val="000000"/>
                <w:sz w:val="16"/>
                <w:szCs w:val="16"/>
              </w:rPr>
            </w:pPr>
            <w:r>
              <w:rPr>
                <w:rFonts w:ascii="Calibri" w:hAnsi="Calibri" w:cs="Calibri"/>
                <w:color w:val="000000"/>
                <w:sz w:val="16"/>
                <w:szCs w:val="16"/>
              </w:rPr>
              <w:t>(2.700.800)</w:t>
            </w:r>
          </w:p>
        </w:tc>
        <w:tc>
          <w:tcPr>
            <w:tcW w:w="697" w:type="pct"/>
            <w:tcBorders>
              <w:top w:val="single" w:sz="4" w:space="0" w:color="auto"/>
              <w:left w:val="nil"/>
              <w:bottom w:val="nil"/>
              <w:right w:val="nil"/>
            </w:tcBorders>
          </w:tcPr>
          <w:p w14:paraId="5CFE6FE1" w14:textId="581926C6" w:rsidR="00FC489F" w:rsidRDefault="00FC489F" w:rsidP="00FC489F">
            <w:pPr>
              <w:jc w:val="right"/>
              <w:rPr>
                <w:rFonts w:ascii="Calibri" w:hAnsi="Calibri" w:cs="Calibri"/>
                <w:color w:val="000000"/>
                <w:sz w:val="16"/>
                <w:szCs w:val="16"/>
              </w:rPr>
            </w:pPr>
            <w:r>
              <w:rPr>
                <w:rFonts w:ascii="Calibri" w:hAnsi="Calibri" w:cs="Calibri"/>
                <w:color w:val="000000"/>
                <w:sz w:val="16"/>
                <w:szCs w:val="16"/>
              </w:rPr>
              <w:t>(2.387.514)</w:t>
            </w:r>
          </w:p>
        </w:tc>
        <w:tc>
          <w:tcPr>
            <w:tcW w:w="697" w:type="pct"/>
            <w:tcBorders>
              <w:top w:val="single" w:sz="4" w:space="0" w:color="auto"/>
              <w:left w:val="nil"/>
              <w:bottom w:val="nil"/>
              <w:right w:val="nil"/>
            </w:tcBorders>
            <w:shd w:val="clear" w:color="auto" w:fill="auto"/>
            <w:noWrap/>
            <w:vAlign w:val="center"/>
            <w:hideMark/>
          </w:tcPr>
          <w:p w14:paraId="6873C9FB" w14:textId="67478848" w:rsidR="00FC489F" w:rsidRDefault="00FC489F" w:rsidP="00FC489F">
            <w:pPr>
              <w:jc w:val="right"/>
              <w:rPr>
                <w:rFonts w:ascii="Calibri" w:hAnsi="Calibri" w:cs="Calibri"/>
                <w:color w:val="000000"/>
                <w:sz w:val="16"/>
                <w:szCs w:val="16"/>
              </w:rPr>
            </w:pPr>
            <w:r>
              <w:rPr>
                <w:rFonts w:ascii="Calibri" w:hAnsi="Calibri" w:cs="Calibri"/>
                <w:color w:val="000000"/>
                <w:sz w:val="16"/>
                <w:szCs w:val="16"/>
              </w:rPr>
              <w:t>0</w:t>
            </w:r>
          </w:p>
        </w:tc>
      </w:tr>
      <w:tr w:rsidR="00FC489F" w14:paraId="7B1CA47F" w14:textId="77777777" w:rsidTr="00274BF6">
        <w:trPr>
          <w:trHeight w:val="227"/>
        </w:trPr>
        <w:tc>
          <w:tcPr>
            <w:tcW w:w="1300" w:type="pct"/>
            <w:tcBorders>
              <w:top w:val="nil"/>
              <w:left w:val="nil"/>
              <w:bottom w:val="single" w:sz="8" w:space="0" w:color="auto"/>
              <w:right w:val="nil"/>
            </w:tcBorders>
            <w:shd w:val="clear" w:color="auto" w:fill="auto"/>
            <w:noWrap/>
            <w:vAlign w:val="center"/>
            <w:hideMark/>
          </w:tcPr>
          <w:p w14:paraId="7500A2CC" w14:textId="77777777" w:rsidR="00FC489F" w:rsidRDefault="00FC489F" w:rsidP="00FC489F">
            <w:pPr>
              <w:rPr>
                <w:rFonts w:ascii="Calibri" w:hAnsi="Calibri" w:cs="Calibri"/>
                <w:color w:val="000000"/>
                <w:sz w:val="16"/>
                <w:szCs w:val="16"/>
              </w:rPr>
            </w:pPr>
            <w:r>
              <w:rPr>
                <w:rFonts w:ascii="Calibri" w:hAnsi="Calibri" w:cs="Calibri"/>
                <w:color w:val="000000"/>
                <w:sz w:val="16"/>
                <w:szCs w:val="16"/>
              </w:rPr>
              <w:t>Direito de Uso de Imóveis</w:t>
            </w:r>
          </w:p>
        </w:tc>
        <w:tc>
          <w:tcPr>
            <w:tcW w:w="752" w:type="pct"/>
            <w:tcBorders>
              <w:top w:val="nil"/>
              <w:left w:val="nil"/>
              <w:bottom w:val="single" w:sz="8" w:space="0" w:color="auto"/>
              <w:right w:val="nil"/>
            </w:tcBorders>
            <w:shd w:val="clear" w:color="auto" w:fill="auto"/>
            <w:noWrap/>
            <w:vAlign w:val="center"/>
            <w:hideMark/>
          </w:tcPr>
          <w:p w14:paraId="34726A97" w14:textId="2A2C1BD8" w:rsidR="00FC489F" w:rsidRDefault="00FC489F" w:rsidP="00FC489F">
            <w:pPr>
              <w:jc w:val="right"/>
              <w:rPr>
                <w:rFonts w:ascii="Calibri" w:hAnsi="Calibri" w:cs="Calibri"/>
                <w:color w:val="000000"/>
                <w:sz w:val="16"/>
                <w:szCs w:val="16"/>
              </w:rPr>
            </w:pPr>
            <w:r>
              <w:rPr>
                <w:rFonts w:ascii="Calibri" w:hAnsi="Calibri" w:cs="Calibri"/>
                <w:color w:val="000000"/>
                <w:sz w:val="16"/>
                <w:szCs w:val="16"/>
              </w:rPr>
              <w:t>54.506.527</w:t>
            </w:r>
          </w:p>
        </w:tc>
        <w:tc>
          <w:tcPr>
            <w:tcW w:w="858" w:type="pct"/>
            <w:tcBorders>
              <w:top w:val="nil"/>
              <w:left w:val="nil"/>
              <w:bottom w:val="single" w:sz="8" w:space="0" w:color="auto"/>
              <w:right w:val="nil"/>
            </w:tcBorders>
            <w:shd w:val="clear" w:color="auto" w:fill="auto"/>
            <w:noWrap/>
            <w:vAlign w:val="center"/>
            <w:hideMark/>
          </w:tcPr>
          <w:p w14:paraId="246FEDB6" w14:textId="58EF36BC" w:rsidR="00FC489F" w:rsidRDefault="00FC489F" w:rsidP="00FC489F">
            <w:pPr>
              <w:jc w:val="right"/>
              <w:rPr>
                <w:rFonts w:ascii="Calibri" w:hAnsi="Calibri" w:cs="Calibri"/>
                <w:color w:val="000000"/>
                <w:sz w:val="16"/>
                <w:szCs w:val="16"/>
              </w:rPr>
            </w:pPr>
            <w:r>
              <w:rPr>
                <w:rFonts w:ascii="Calibri" w:hAnsi="Calibri" w:cs="Calibri"/>
                <w:color w:val="000000"/>
                <w:sz w:val="16"/>
                <w:szCs w:val="16"/>
              </w:rPr>
              <w:t>0</w:t>
            </w:r>
          </w:p>
        </w:tc>
        <w:tc>
          <w:tcPr>
            <w:tcW w:w="696" w:type="pct"/>
            <w:tcBorders>
              <w:top w:val="nil"/>
              <w:left w:val="nil"/>
              <w:bottom w:val="single" w:sz="8" w:space="0" w:color="auto"/>
              <w:right w:val="nil"/>
            </w:tcBorders>
          </w:tcPr>
          <w:p w14:paraId="65C379B1" w14:textId="10E29849" w:rsidR="00FC489F" w:rsidRDefault="00FC489F" w:rsidP="00FC489F">
            <w:pPr>
              <w:jc w:val="right"/>
              <w:rPr>
                <w:rFonts w:ascii="Calibri" w:hAnsi="Calibri" w:cs="Calibri"/>
                <w:color w:val="000000"/>
                <w:sz w:val="16"/>
                <w:szCs w:val="16"/>
              </w:rPr>
            </w:pPr>
            <w:r>
              <w:rPr>
                <w:rFonts w:ascii="Calibri" w:hAnsi="Calibri" w:cs="Calibri"/>
                <w:color w:val="000000"/>
                <w:sz w:val="16"/>
                <w:szCs w:val="16"/>
              </w:rPr>
              <w:t>(1.392.299)</w:t>
            </w:r>
          </w:p>
        </w:tc>
        <w:tc>
          <w:tcPr>
            <w:tcW w:w="697" w:type="pct"/>
            <w:tcBorders>
              <w:top w:val="nil"/>
              <w:left w:val="nil"/>
              <w:bottom w:val="single" w:sz="8" w:space="0" w:color="auto"/>
              <w:right w:val="nil"/>
            </w:tcBorders>
          </w:tcPr>
          <w:p w14:paraId="119C4FD2" w14:textId="01381E8C" w:rsidR="00FC489F" w:rsidRDefault="00FC489F" w:rsidP="00FC489F">
            <w:pPr>
              <w:jc w:val="right"/>
              <w:rPr>
                <w:rFonts w:ascii="Calibri" w:hAnsi="Calibri" w:cs="Calibri"/>
                <w:color w:val="000000"/>
                <w:sz w:val="16"/>
                <w:szCs w:val="16"/>
              </w:rPr>
            </w:pPr>
            <w:r>
              <w:rPr>
                <w:rFonts w:ascii="Calibri" w:hAnsi="Calibri" w:cs="Calibri"/>
                <w:color w:val="000000"/>
                <w:sz w:val="16"/>
                <w:szCs w:val="16"/>
              </w:rPr>
              <w:t>(39.158.621)</w:t>
            </w:r>
          </w:p>
        </w:tc>
        <w:tc>
          <w:tcPr>
            <w:tcW w:w="697" w:type="pct"/>
            <w:tcBorders>
              <w:top w:val="nil"/>
              <w:left w:val="nil"/>
              <w:bottom w:val="single" w:sz="8" w:space="0" w:color="auto"/>
              <w:right w:val="nil"/>
            </w:tcBorders>
            <w:shd w:val="clear" w:color="auto" w:fill="auto"/>
            <w:vAlign w:val="center"/>
            <w:hideMark/>
          </w:tcPr>
          <w:p w14:paraId="74FF2433" w14:textId="491C2D36" w:rsidR="00FC489F" w:rsidRDefault="00FC489F" w:rsidP="00FC489F">
            <w:pPr>
              <w:jc w:val="right"/>
              <w:rPr>
                <w:rFonts w:ascii="Calibri" w:hAnsi="Calibri" w:cs="Calibri"/>
                <w:color w:val="000000"/>
                <w:sz w:val="16"/>
                <w:szCs w:val="16"/>
              </w:rPr>
            </w:pPr>
            <w:r>
              <w:rPr>
                <w:rFonts w:ascii="Calibri" w:hAnsi="Calibri" w:cs="Calibri"/>
                <w:color w:val="000000"/>
                <w:sz w:val="16"/>
                <w:szCs w:val="16"/>
              </w:rPr>
              <w:t>13.955.607</w:t>
            </w:r>
          </w:p>
        </w:tc>
      </w:tr>
      <w:tr w:rsidR="00FC489F" w14:paraId="17FF4444" w14:textId="77777777" w:rsidTr="00274BF6">
        <w:trPr>
          <w:trHeight w:val="227"/>
        </w:trPr>
        <w:tc>
          <w:tcPr>
            <w:tcW w:w="1300" w:type="pct"/>
            <w:tcBorders>
              <w:top w:val="nil"/>
              <w:left w:val="nil"/>
              <w:bottom w:val="single" w:sz="8" w:space="0" w:color="auto"/>
              <w:right w:val="nil"/>
            </w:tcBorders>
            <w:shd w:val="clear" w:color="auto" w:fill="auto"/>
            <w:noWrap/>
            <w:vAlign w:val="center"/>
          </w:tcPr>
          <w:p w14:paraId="7BAE3651" w14:textId="056C95AC" w:rsidR="00FC489F" w:rsidRPr="007C1A97" w:rsidRDefault="00FC489F" w:rsidP="00FC489F">
            <w:pPr>
              <w:rPr>
                <w:rFonts w:ascii="Calibri" w:hAnsi="Calibri" w:cs="Calibri"/>
                <w:b/>
                <w:bCs/>
                <w:color w:val="000000"/>
                <w:sz w:val="16"/>
                <w:szCs w:val="16"/>
              </w:rPr>
            </w:pPr>
            <w:r>
              <w:rPr>
                <w:rFonts w:ascii="Calibri" w:hAnsi="Calibri" w:cs="Calibri"/>
                <w:b/>
                <w:bCs/>
                <w:color w:val="000000"/>
                <w:sz w:val="16"/>
                <w:szCs w:val="16"/>
              </w:rPr>
              <w:t>Total Direito de Uso</w:t>
            </w:r>
          </w:p>
        </w:tc>
        <w:tc>
          <w:tcPr>
            <w:tcW w:w="752" w:type="pct"/>
            <w:tcBorders>
              <w:top w:val="nil"/>
              <w:left w:val="nil"/>
              <w:bottom w:val="single" w:sz="8" w:space="0" w:color="auto"/>
              <w:right w:val="nil"/>
            </w:tcBorders>
            <w:shd w:val="clear" w:color="auto" w:fill="auto"/>
            <w:noWrap/>
            <w:vAlign w:val="center"/>
          </w:tcPr>
          <w:p w14:paraId="6566A9A6" w14:textId="2076AB19" w:rsidR="00FC489F" w:rsidRPr="007C1A97" w:rsidRDefault="00FC489F" w:rsidP="00FC489F">
            <w:pPr>
              <w:jc w:val="right"/>
              <w:rPr>
                <w:rFonts w:ascii="Calibri" w:hAnsi="Calibri" w:cs="Calibri"/>
                <w:b/>
                <w:bCs/>
                <w:color w:val="000000"/>
                <w:sz w:val="16"/>
                <w:szCs w:val="16"/>
              </w:rPr>
            </w:pPr>
            <w:r w:rsidRPr="007C1A97">
              <w:rPr>
                <w:rFonts w:ascii="Calibri" w:hAnsi="Calibri" w:cs="Calibri"/>
                <w:b/>
                <w:bCs/>
                <w:color w:val="000000"/>
                <w:sz w:val="16"/>
                <w:szCs w:val="16"/>
              </w:rPr>
              <w:t>57.207.327</w:t>
            </w:r>
          </w:p>
        </w:tc>
        <w:tc>
          <w:tcPr>
            <w:tcW w:w="858" w:type="pct"/>
            <w:tcBorders>
              <w:top w:val="nil"/>
              <w:left w:val="nil"/>
              <w:bottom w:val="single" w:sz="8" w:space="0" w:color="auto"/>
              <w:right w:val="nil"/>
            </w:tcBorders>
            <w:shd w:val="clear" w:color="auto" w:fill="auto"/>
            <w:noWrap/>
            <w:vAlign w:val="center"/>
          </w:tcPr>
          <w:p w14:paraId="2E87389F" w14:textId="67E110B8" w:rsidR="00FC489F" w:rsidRPr="007C1A97" w:rsidRDefault="00FC489F" w:rsidP="00FC489F">
            <w:pPr>
              <w:jc w:val="right"/>
              <w:rPr>
                <w:rFonts w:ascii="Calibri" w:hAnsi="Calibri" w:cs="Calibri"/>
                <w:b/>
                <w:bCs/>
                <w:color w:val="000000"/>
                <w:sz w:val="16"/>
                <w:szCs w:val="16"/>
              </w:rPr>
            </w:pPr>
            <w:r w:rsidRPr="007C1A97">
              <w:rPr>
                <w:rFonts w:ascii="Calibri" w:hAnsi="Calibri" w:cs="Calibri"/>
                <w:b/>
                <w:bCs/>
                <w:color w:val="000000"/>
                <w:sz w:val="16"/>
                <w:szCs w:val="16"/>
              </w:rPr>
              <w:t>2</w:t>
            </w:r>
            <w:r>
              <w:rPr>
                <w:rFonts w:ascii="Calibri" w:hAnsi="Calibri" w:cs="Calibri"/>
                <w:b/>
                <w:bCs/>
                <w:color w:val="000000"/>
                <w:sz w:val="16"/>
                <w:szCs w:val="16"/>
              </w:rPr>
              <w:t>.387.514</w:t>
            </w:r>
          </w:p>
        </w:tc>
        <w:tc>
          <w:tcPr>
            <w:tcW w:w="696" w:type="pct"/>
            <w:tcBorders>
              <w:top w:val="nil"/>
              <w:left w:val="nil"/>
              <w:bottom w:val="single" w:sz="8" w:space="0" w:color="auto"/>
              <w:right w:val="nil"/>
            </w:tcBorders>
          </w:tcPr>
          <w:p w14:paraId="53E418E6" w14:textId="77E9646A" w:rsidR="00FC489F" w:rsidRPr="007C1A97" w:rsidRDefault="00FC489F" w:rsidP="00FC489F">
            <w:pPr>
              <w:jc w:val="right"/>
              <w:rPr>
                <w:rFonts w:ascii="Calibri" w:hAnsi="Calibri" w:cs="Calibri"/>
                <w:b/>
                <w:bCs/>
                <w:color w:val="000000"/>
                <w:sz w:val="16"/>
                <w:szCs w:val="16"/>
              </w:rPr>
            </w:pPr>
            <w:r>
              <w:rPr>
                <w:rFonts w:ascii="Calibri" w:hAnsi="Calibri" w:cs="Calibri"/>
                <w:b/>
                <w:bCs/>
                <w:color w:val="000000"/>
                <w:sz w:val="16"/>
                <w:szCs w:val="16"/>
              </w:rPr>
              <w:t>(4.093.099)</w:t>
            </w:r>
          </w:p>
        </w:tc>
        <w:tc>
          <w:tcPr>
            <w:tcW w:w="697" w:type="pct"/>
            <w:tcBorders>
              <w:top w:val="nil"/>
              <w:left w:val="nil"/>
              <w:bottom w:val="single" w:sz="8" w:space="0" w:color="auto"/>
              <w:right w:val="nil"/>
            </w:tcBorders>
          </w:tcPr>
          <w:p w14:paraId="1493F425" w14:textId="3D0DAB6E" w:rsidR="00FC489F" w:rsidRPr="007C1A97" w:rsidRDefault="00FC489F" w:rsidP="00FC489F">
            <w:pPr>
              <w:jc w:val="right"/>
              <w:rPr>
                <w:rFonts w:ascii="Calibri" w:hAnsi="Calibri" w:cs="Calibri"/>
                <w:b/>
                <w:bCs/>
                <w:color w:val="000000"/>
                <w:sz w:val="16"/>
                <w:szCs w:val="16"/>
              </w:rPr>
            </w:pPr>
            <w:r>
              <w:rPr>
                <w:rFonts w:ascii="Calibri" w:hAnsi="Calibri" w:cs="Calibri"/>
                <w:b/>
                <w:bCs/>
                <w:color w:val="000000"/>
                <w:sz w:val="16"/>
                <w:szCs w:val="16"/>
              </w:rPr>
              <w:t>(41.546.135)</w:t>
            </w:r>
          </w:p>
        </w:tc>
        <w:tc>
          <w:tcPr>
            <w:tcW w:w="697" w:type="pct"/>
            <w:tcBorders>
              <w:top w:val="nil"/>
              <w:left w:val="nil"/>
              <w:bottom w:val="single" w:sz="8" w:space="0" w:color="auto"/>
              <w:right w:val="nil"/>
            </w:tcBorders>
            <w:shd w:val="clear" w:color="auto" w:fill="auto"/>
            <w:vAlign w:val="center"/>
          </w:tcPr>
          <w:p w14:paraId="0B09F4C1" w14:textId="46F2E276" w:rsidR="00FC489F" w:rsidRPr="007C1A97" w:rsidRDefault="00FC489F" w:rsidP="00FC489F">
            <w:pPr>
              <w:jc w:val="right"/>
              <w:rPr>
                <w:rFonts w:ascii="Calibri" w:hAnsi="Calibri" w:cs="Calibri"/>
                <w:b/>
                <w:bCs/>
                <w:color w:val="000000"/>
                <w:sz w:val="16"/>
                <w:szCs w:val="16"/>
              </w:rPr>
            </w:pPr>
            <w:r>
              <w:rPr>
                <w:rFonts w:ascii="Calibri" w:hAnsi="Calibri" w:cs="Calibri"/>
                <w:b/>
                <w:bCs/>
                <w:color w:val="000000"/>
                <w:sz w:val="16"/>
                <w:szCs w:val="16"/>
              </w:rPr>
              <w:t>13.955.607</w:t>
            </w:r>
          </w:p>
        </w:tc>
      </w:tr>
      <w:tr w:rsidR="00FC489F" w14:paraId="66CC412A" w14:textId="77777777" w:rsidTr="00274BF6">
        <w:trPr>
          <w:trHeight w:val="227"/>
        </w:trPr>
        <w:tc>
          <w:tcPr>
            <w:tcW w:w="1300" w:type="pct"/>
            <w:tcBorders>
              <w:top w:val="single" w:sz="8" w:space="0" w:color="auto"/>
              <w:left w:val="nil"/>
              <w:right w:val="nil"/>
            </w:tcBorders>
            <w:shd w:val="clear" w:color="auto" w:fill="auto"/>
            <w:noWrap/>
            <w:vAlign w:val="center"/>
          </w:tcPr>
          <w:p w14:paraId="3CC908ED" w14:textId="492C0DBC" w:rsidR="00FC489F" w:rsidRPr="00EC6326" w:rsidRDefault="00FC489F" w:rsidP="00FC489F">
            <w:pPr>
              <w:rPr>
                <w:rFonts w:ascii="Calibri" w:hAnsi="Calibri" w:cs="Calibri"/>
                <w:b/>
                <w:bCs/>
                <w:color w:val="000000"/>
                <w:sz w:val="16"/>
                <w:szCs w:val="16"/>
              </w:rPr>
            </w:pPr>
            <w:r>
              <w:rPr>
                <w:rFonts w:ascii="Calibri" w:hAnsi="Calibri" w:cs="Calibri"/>
                <w:color w:val="000000"/>
                <w:sz w:val="16"/>
                <w:szCs w:val="16"/>
              </w:rPr>
              <w:t xml:space="preserve">Depreciação Direito de Uso de Veículos </w:t>
            </w:r>
          </w:p>
        </w:tc>
        <w:tc>
          <w:tcPr>
            <w:tcW w:w="752" w:type="pct"/>
            <w:tcBorders>
              <w:top w:val="single" w:sz="8" w:space="0" w:color="auto"/>
              <w:left w:val="nil"/>
              <w:right w:val="nil"/>
            </w:tcBorders>
            <w:shd w:val="clear" w:color="auto" w:fill="auto"/>
            <w:noWrap/>
            <w:vAlign w:val="center"/>
          </w:tcPr>
          <w:p w14:paraId="07684D5C" w14:textId="363F75F0" w:rsidR="00FC489F" w:rsidRDefault="00FC489F" w:rsidP="00FC489F">
            <w:pPr>
              <w:jc w:val="right"/>
              <w:rPr>
                <w:rFonts w:ascii="Calibri" w:hAnsi="Calibri" w:cs="Calibri"/>
                <w:color w:val="000000"/>
                <w:sz w:val="16"/>
                <w:szCs w:val="16"/>
              </w:rPr>
            </w:pPr>
            <w:r>
              <w:rPr>
                <w:rFonts w:ascii="Calibri" w:hAnsi="Calibri" w:cs="Calibri"/>
                <w:color w:val="000000"/>
                <w:sz w:val="16"/>
                <w:szCs w:val="16"/>
              </w:rPr>
              <w:t>(979.500)</w:t>
            </w:r>
          </w:p>
        </w:tc>
        <w:tc>
          <w:tcPr>
            <w:tcW w:w="858" w:type="pct"/>
            <w:tcBorders>
              <w:top w:val="single" w:sz="8" w:space="0" w:color="auto"/>
              <w:left w:val="nil"/>
              <w:right w:val="nil"/>
            </w:tcBorders>
            <w:shd w:val="clear" w:color="auto" w:fill="auto"/>
            <w:noWrap/>
            <w:vAlign w:val="center"/>
          </w:tcPr>
          <w:p w14:paraId="476C6D0E" w14:textId="718FDB75" w:rsidR="00FC489F" w:rsidRDefault="00FC489F" w:rsidP="00FC489F">
            <w:pPr>
              <w:jc w:val="right"/>
              <w:rPr>
                <w:rFonts w:ascii="Calibri" w:hAnsi="Calibri" w:cs="Calibri"/>
                <w:color w:val="000000"/>
                <w:sz w:val="16"/>
                <w:szCs w:val="16"/>
              </w:rPr>
            </w:pPr>
            <w:r>
              <w:rPr>
                <w:rFonts w:ascii="Calibri" w:hAnsi="Calibri" w:cs="Calibri"/>
                <w:color w:val="000000"/>
                <w:sz w:val="16"/>
                <w:szCs w:val="16"/>
              </w:rPr>
              <w:t>(74.347)</w:t>
            </w:r>
          </w:p>
        </w:tc>
        <w:tc>
          <w:tcPr>
            <w:tcW w:w="696" w:type="pct"/>
            <w:tcBorders>
              <w:top w:val="single" w:sz="8" w:space="0" w:color="auto"/>
              <w:left w:val="nil"/>
              <w:right w:val="nil"/>
            </w:tcBorders>
          </w:tcPr>
          <w:p w14:paraId="2BDF47D9" w14:textId="4FBE1C2F" w:rsidR="00FC489F" w:rsidRDefault="00FC489F" w:rsidP="00FC489F">
            <w:pPr>
              <w:jc w:val="right"/>
              <w:rPr>
                <w:rFonts w:ascii="Calibri" w:hAnsi="Calibri" w:cs="Calibri"/>
                <w:color w:val="000000"/>
                <w:sz w:val="16"/>
                <w:szCs w:val="16"/>
              </w:rPr>
            </w:pPr>
            <w:r>
              <w:rPr>
                <w:rFonts w:ascii="Calibri" w:hAnsi="Calibri" w:cs="Calibri"/>
                <w:color w:val="000000"/>
                <w:sz w:val="16"/>
                <w:szCs w:val="16"/>
              </w:rPr>
              <w:t>0</w:t>
            </w:r>
          </w:p>
        </w:tc>
        <w:tc>
          <w:tcPr>
            <w:tcW w:w="697" w:type="pct"/>
            <w:tcBorders>
              <w:top w:val="single" w:sz="8" w:space="0" w:color="auto"/>
              <w:left w:val="nil"/>
              <w:right w:val="nil"/>
            </w:tcBorders>
          </w:tcPr>
          <w:p w14:paraId="25A0997D" w14:textId="6B735049" w:rsidR="00FC489F" w:rsidRDefault="00FC489F" w:rsidP="00FC489F">
            <w:pPr>
              <w:jc w:val="right"/>
              <w:rPr>
                <w:rFonts w:ascii="Calibri" w:hAnsi="Calibri" w:cs="Calibri"/>
                <w:color w:val="000000"/>
                <w:sz w:val="16"/>
                <w:szCs w:val="16"/>
              </w:rPr>
            </w:pPr>
            <w:r>
              <w:rPr>
                <w:rFonts w:ascii="Calibri" w:hAnsi="Calibri" w:cs="Calibri"/>
                <w:color w:val="000000"/>
                <w:sz w:val="16"/>
                <w:szCs w:val="16"/>
              </w:rPr>
              <w:t>1.053.847</w:t>
            </w:r>
          </w:p>
        </w:tc>
        <w:tc>
          <w:tcPr>
            <w:tcW w:w="697" w:type="pct"/>
            <w:tcBorders>
              <w:top w:val="single" w:sz="8" w:space="0" w:color="auto"/>
              <w:left w:val="nil"/>
              <w:right w:val="nil"/>
            </w:tcBorders>
            <w:shd w:val="clear" w:color="auto" w:fill="auto"/>
            <w:vAlign w:val="center"/>
          </w:tcPr>
          <w:p w14:paraId="1D2D1D5D" w14:textId="6BF9DA39" w:rsidR="00FC489F" w:rsidRDefault="00FC489F" w:rsidP="00FC489F">
            <w:pPr>
              <w:jc w:val="right"/>
              <w:rPr>
                <w:rFonts w:ascii="Calibri" w:hAnsi="Calibri" w:cs="Calibri"/>
                <w:color w:val="000000"/>
                <w:sz w:val="16"/>
                <w:szCs w:val="16"/>
              </w:rPr>
            </w:pPr>
            <w:r>
              <w:rPr>
                <w:rFonts w:ascii="Calibri" w:hAnsi="Calibri" w:cs="Calibri"/>
                <w:color w:val="000000"/>
                <w:sz w:val="16"/>
                <w:szCs w:val="16"/>
              </w:rPr>
              <w:t>0</w:t>
            </w:r>
          </w:p>
        </w:tc>
      </w:tr>
      <w:tr w:rsidR="00FC489F" w14:paraId="1F74F32C" w14:textId="77777777" w:rsidTr="00274BF6">
        <w:trPr>
          <w:trHeight w:val="227"/>
        </w:trPr>
        <w:tc>
          <w:tcPr>
            <w:tcW w:w="1300" w:type="pct"/>
            <w:tcBorders>
              <w:left w:val="nil"/>
              <w:bottom w:val="single" w:sz="8" w:space="0" w:color="auto"/>
              <w:right w:val="nil"/>
            </w:tcBorders>
            <w:shd w:val="clear" w:color="auto" w:fill="auto"/>
            <w:noWrap/>
            <w:vAlign w:val="center"/>
          </w:tcPr>
          <w:p w14:paraId="12C06961" w14:textId="6E0C4FBD" w:rsidR="00FC489F" w:rsidRPr="00EC6326" w:rsidRDefault="00FC489F" w:rsidP="00FC489F">
            <w:pPr>
              <w:rPr>
                <w:rFonts w:ascii="Calibri" w:hAnsi="Calibri" w:cs="Calibri"/>
                <w:b/>
                <w:bCs/>
                <w:color w:val="000000"/>
                <w:sz w:val="16"/>
                <w:szCs w:val="16"/>
              </w:rPr>
            </w:pPr>
            <w:r>
              <w:rPr>
                <w:rFonts w:ascii="Calibri" w:hAnsi="Calibri" w:cs="Calibri"/>
                <w:color w:val="000000"/>
                <w:sz w:val="16"/>
                <w:szCs w:val="16"/>
              </w:rPr>
              <w:t>Depreciação Direito de Uso de Imóveis</w:t>
            </w:r>
          </w:p>
        </w:tc>
        <w:tc>
          <w:tcPr>
            <w:tcW w:w="752" w:type="pct"/>
            <w:tcBorders>
              <w:left w:val="nil"/>
              <w:bottom w:val="single" w:sz="8" w:space="0" w:color="auto"/>
              <w:right w:val="nil"/>
            </w:tcBorders>
            <w:shd w:val="clear" w:color="auto" w:fill="auto"/>
            <w:noWrap/>
            <w:vAlign w:val="center"/>
          </w:tcPr>
          <w:p w14:paraId="7A9763F5" w14:textId="41945EE1" w:rsidR="00FC489F" w:rsidRDefault="00FC489F" w:rsidP="00FC489F">
            <w:pPr>
              <w:jc w:val="right"/>
              <w:rPr>
                <w:rFonts w:ascii="Calibri" w:hAnsi="Calibri" w:cs="Calibri"/>
                <w:color w:val="000000"/>
                <w:sz w:val="16"/>
                <w:szCs w:val="16"/>
              </w:rPr>
            </w:pPr>
            <w:r>
              <w:rPr>
                <w:rFonts w:ascii="Calibri" w:hAnsi="Calibri" w:cs="Calibri"/>
                <w:color w:val="000000"/>
                <w:sz w:val="16"/>
                <w:szCs w:val="16"/>
              </w:rPr>
              <w:t>(34.556.527)</w:t>
            </w:r>
          </w:p>
        </w:tc>
        <w:tc>
          <w:tcPr>
            <w:tcW w:w="858" w:type="pct"/>
            <w:tcBorders>
              <w:left w:val="nil"/>
              <w:bottom w:val="single" w:sz="8" w:space="0" w:color="auto"/>
              <w:right w:val="nil"/>
            </w:tcBorders>
            <w:shd w:val="clear" w:color="auto" w:fill="auto"/>
            <w:noWrap/>
            <w:vAlign w:val="center"/>
          </w:tcPr>
          <w:p w14:paraId="1CE2B746" w14:textId="38402E95" w:rsidR="00FC489F" w:rsidRDefault="00FC489F" w:rsidP="00FC489F">
            <w:pPr>
              <w:jc w:val="right"/>
              <w:rPr>
                <w:rFonts w:ascii="Calibri" w:hAnsi="Calibri" w:cs="Calibri"/>
                <w:color w:val="000000"/>
                <w:sz w:val="16"/>
                <w:szCs w:val="16"/>
              </w:rPr>
            </w:pPr>
            <w:r>
              <w:rPr>
                <w:rFonts w:ascii="Calibri" w:hAnsi="Calibri" w:cs="Calibri"/>
                <w:color w:val="000000"/>
                <w:sz w:val="16"/>
                <w:szCs w:val="16"/>
              </w:rPr>
              <w:t>(774.508)</w:t>
            </w:r>
          </w:p>
        </w:tc>
        <w:tc>
          <w:tcPr>
            <w:tcW w:w="696" w:type="pct"/>
            <w:tcBorders>
              <w:left w:val="nil"/>
              <w:bottom w:val="single" w:sz="8" w:space="0" w:color="auto"/>
              <w:right w:val="nil"/>
            </w:tcBorders>
          </w:tcPr>
          <w:p w14:paraId="7971FB9A" w14:textId="4B4C23A5" w:rsidR="00FC489F" w:rsidRDefault="00FC489F" w:rsidP="00FC489F">
            <w:pPr>
              <w:jc w:val="right"/>
              <w:rPr>
                <w:rFonts w:ascii="Calibri" w:hAnsi="Calibri" w:cs="Calibri"/>
                <w:color w:val="000000"/>
                <w:sz w:val="16"/>
                <w:szCs w:val="16"/>
              </w:rPr>
            </w:pPr>
            <w:r>
              <w:rPr>
                <w:rFonts w:ascii="Calibri" w:hAnsi="Calibri" w:cs="Calibri"/>
                <w:color w:val="000000"/>
                <w:sz w:val="16"/>
                <w:szCs w:val="16"/>
              </w:rPr>
              <w:t>0</w:t>
            </w:r>
          </w:p>
        </w:tc>
        <w:tc>
          <w:tcPr>
            <w:tcW w:w="697" w:type="pct"/>
            <w:tcBorders>
              <w:left w:val="nil"/>
              <w:bottom w:val="single" w:sz="8" w:space="0" w:color="auto"/>
              <w:right w:val="nil"/>
            </w:tcBorders>
          </w:tcPr>
          <w:p w14:paraId="409DC947" w14:textId="7CB06AA8" w:rsidR="00FC489F" w:rsidRDefault="00FC489F" w:rsidP="00FC489F">
            <w:pPr>
              <w:jc w:val="right"/>
              <w:rPr>
                <w:rFonts w:ascii="Calibri" w:hAnsi="Calibri" w:cs="Calibri"/>
                <w:color w:val="000000"/>
                <w:sz w:val="16"/>
                <w:szCs w:val="16"/>
              </w:rPr>
            </w:pPr>
            <w:r>
              <w:rPr>
                <w:rFonts w:ascii="Calibri" w:hAnsi="Calibri" w:cs="Calibri"/>
                <w:color w:val="000000"/>
                <w:sz w:val="16"/>
                <w:szCs w:val="16"/>
              </w:rPr>
              <w:t>34.106.527</w:t>
            </w:r>
          </w:p>
        </w:tc>
        <w:tc>
          <w:tcPr>
            <w:tcW w:w="697" w:type="pct"/>
            <w:tcBorders>
              <w:left w:val="nil"/>
              <w:bottom w:val="single" w:sz="8" w:space="0" w:color="auto"/>
              <w:right w:val="nil"/>
            </w:tcBorders>
            <w:shd w:val="clear" w:color="auto" w:fill="auto"/>
            <w:vAlign w:val="center"/>
          </w:tcPr>
          <w:p w14:paraId="003F8243" w14:textId="390CF011" w:rsidR="00FC489F" w:rsidRDefault="00FC489F" w:rsidP="00FC489F">
            <w:pPr>
              <w:jc w:val="right"/>
              <w:rPr>
                <w:rFonts w:ascii="Calibri" w:hAnsi="Calibri" w:cs="Calibri"/>
                <w:color w:val="000000"/>
                <w:sz w:val="16"/>
                <w:szCs w:val="16"/>
              </w:rPr>
            </w:pPr>
            <w:r>
              <w:rPr>
                <w:rFonts w:ascii="Calibri" w:hAnsi="Calibri" w:cs="Calibri"/>
                <w:color w:val="000000"/>
                <w:sz w:val="16"/>
                <w:szCs w:val="16"/>
              </w:rPr>
              <w:t>(1.224.508)</w:t>
            </w:r>
          </w:p>
        </w:tc>
      </w:tr>
      <w:tr w:rsidR="00FC489F" w14:paraId="140F153F" w14:textId="77777777" w:rsidTr="00274BF6">
        <w:trPr>
          <w:trHeight w:val="227"/>
        </w:trPr>
        <w:tc>
          <w:tcPr>
            <w:tcW w:w="1300" w:type="pct"/>
            <w:tcBorders>
              <w:left w:val="nil"/>
              <w:bottom w:val="single" w:sz="8" w:space="0" w:color="auto"/>
              <w:right w:val="nil"/>
            </w:tcBorders>
            <w:shd w:val="clear" w:color="auto" w:fill="auto"/>
            <w:noWrap/>
            <w:vAlign w:val="center"/>
          </w:tcPr>
          <w:p w14:paraId="206C2AF8" w14:textId="312543DE" w:rsidR="00FC489F" w:rsidRPr="007C1A97" w:rsidRDefault="00FC489F" w:rsidP="00FC489F">
            <w:pPr>
              <w:rPr>
                <w:rFonts w:ascii="Calibri" w:hAnsi="Calibri" w:cs="Calibri"/>
                <w:b/>
                <w:bCs/>
                <w:color w:val="000000"/>
                <w:sz w:val="16"/>
                <w:szCs w:val="16"/>
              </w:rPr>
            </w:pPr>
            <w:r>
              <w:rPr>
                <w:rFonts w:ascii="Calibri" w:hAnsi="Calibri" w:cs="Calibri"/>
                <w:b/>
                <w:bCs/>
                <w:color w:val="000000"/>
                <w:sz w:val="16"/>
                <w:szCs w:val="16"/>
              </w:rPr>
              <w:t xml:space="preserve">Total </w:t>
            </w:r>
            <w:r w:rsidRPr="007C1A97">
              <w:rPr>
                <w:rFonts w:ascii="Calibri" w:hAnsi="Calibri" w:cs="Calibri"/>
                <w:b/>
                <w:bCs/>
                <w:color w:val="000000"/>
                <w:sz w:val="16"/>
                <w:szCs w:val="16"/>
              </w:rPr>
              <w:t>Depreciação Direito de Uso</w:t>
            </w:r>
          </w:p>
        </w:tc>
        <w:tc>
          <w:tcPr>
            <w:tcW w:w="752" w:type="pct"/>
            <w:tcBorders>
              <w:left w:val="nil"/>
              <w:bottom w:val="single" w:sz="8" w:space="0" w:color="auto"/>
              <w:right w:val="nil"/>
            </w:tcBorders>
            <w:shd w:val="clear" w:color="auto" w:fill="auto"/>
            <w:noWrap/>
            <w:vAlign w:val="center"/>
          </w:tcPr>
          <w:p w14:paraId="70B92D0E" w14:textId="09011CCD" w:rsidR="00FC489F" w:rsidRPr="007C1A97" w:rsidRDefault="00FC489F" w:rsidP="00FC489F">
            <w:pPr>
              <w:jc w:val="right"/>
              <w:rPr>
                <w:rFonts w:ascii="Calibri" w:hAnsi="Calibri" w:cs="Calibri"/>
                <w:b/>
                <w:bCs/>
                <w:color w:val="000000"/>
                <w:sz w:val="16"/>
                <w:szCs w:val="16"/>
              </w:rPr>
            </w:pPr>
            <w:r w:rsidRPr="007C1A97">
              <w:rPr>
                <w:rFonts w:ascii="Calibri" w:hAnsi="Calibri" w:cs="Calibri"/>
                <w:b/>
                <w:bCs/>
                <w:color w:val="000000"/>
                <w:sz w:val="16"/>
                <w:szCs w:val="16"/>
              </w:rPr>
              <w:t>(35.536.027)</w:t>
            </w:r>
          </w:p>
        </w:tc>
        <w:tc>
          <w:tcPr>
            <w:tcW w:w="858" w:type="pct"/>
            <w:tcBorders>
              <w:left w:val="nil"/>
              <w:bottom w:val="single" w:sz="8" w:space="0" w:color="auto"/>
              <w:right w:val="nil"/>
            </w:tcBorders>
            <w:shd w:val="clear" w:color="auto" w:fill="auto"/>
            <w:noWrap/>
            <w:vAlign w:val="center"/>
          </w:tcPr>
          <w:p w14:paraId="0B025E70" w14:textId="4C784EE3" w:rsidR="00FC489F" w:rsidRPr="007C1A97" w:rsidRDefault="00FC489F" w:rsidP="00FC489F">
            <w:pPr>
              <w:jc w:val="right"/>
              <w:rPr>
                <w:rFonts w:ascii="Calibri" w:hAnsi="Calibri" w:cs="Calibri"/>
                <w:b/>
                <w:bCs/>
                <w:color w:val="000000"/>
                <w:sz w:val="16"/>
                <w:szCs w:val="16"/>
              </w:rPr>
            </w:pPr>
            <w:r w:rsidRPr="007C1A97">
              <w:rPr>
                <w:rFonts w:ascii="Calibri" w:hAnsi="Calibri" w:cs="Calibri"/>
                <w:b/>
                <w:bCs/>
                <w:color w:val="000000"/>
                <w:sz w:val="16"/>
                <w:szCs w:val="16"/>
              </w:rPr>
              <w:t>(848.855)</w:t>
            </w:r>
          </w:p>
        </w:tc>
        <w:tc>
          <w:tcPr>
            <w:tcW w:w="696" w:type="pct"/>
            <w:tcBorders>
              <w:left w:val="nil"/>
              <w:bottom w:val="single" w:sz="8" w:space="0" w:color="auto"/>
              <w:right w:val="nil"/>
            </w:tcBorders>
          </w:tcPr>
          <w:p w14:paraId="16382E78" w14:textId="2B6C5A6F" w:rsidR="00FC489F" w:rsidRPr="007C1A97" w:rsidRDefault="00FC489F" w:rsidP="00FC489F">
            <w:pPr>
              <w:jc w:val="right"/>
              <w:rPr>
                <w:rFonts w:ascii="Calibri" w:hAnsi="Calibri" w:cs="Calibri"/>
                <w:b/>
                <w:bCs/>
                <w:color w:val="000000"/>
                <w:sz w:val="16"/>
                <w:szCs w:val="16"/>
              </w:rPr>
            </w:pPr>
            <w:r>
              <w:rPr>
                <w:rFonts w:ascii="Calibri" w:hAnsi="Calibri" w:cs="Calibri"/>
                <w:b/>
                <w:bCs/>
                <w:color w:val="000000"/>
                <w:sz w:val="16"/>
                <w:szCs w:val="16"/>
              </w:rPr>
              <w:t>0</w:t>
            </w:r>
          </w:p>
        </w:tc>
        <w:tc>
          <w:tcPr>
            <w:tcW w:w="697" w:type="pct"/>
            <w:tcBorders>
              <w:left w:val="nil"/>
              <w:bottom w:val="single" w:sz="8" w:space="0" w:color="auto"/>
              <w:right w:val="nil"/>
            </w:tcBorders>
          </w:tcPr>
          <w:p w14:paraId="74ED94F9" w14:textId="07D37C38" w:rsidR="00FC489F" w:rsidRPr="007C1A97" w:rsidRDefault="00FC489F" w:rsidP="00FC489F">
            <w:pPr>
              <w:jc w:val="right"/>
              <w:rPr>
                <w:rFonts w:ascii="Calibri" w:hAnsi="Calibri" w:cs="Calibri"/>
                <w:b/>
                <w:bCs/>
                <w:color w:val="000000"/>
                <w:sz w:val="16"/>
                <w:szCs w:val="16"/>
              </w:rPr>
            </w:pPr>
            <w:r>
              <w:rPr>
                <w:rFonts w:ascii="Calibri" w:hAnsi="Calibri" w:cs="Calibri"/>
                <w:b/>
                <w:bCs/>
                <w:color w:val="000000"/>
                <w:sz w:val="16"/>
                <w:szCs w:val="16"/>
              </w:rPr>
              <w:t>35.160.374</w:t>
            </w:r>
          </w:p>
        </w:tc>
        <w:tc>
          <w:tcPr>
            <w:tcW w:w="697" w:type="pct"/>
            <w:tcBorders>
              <w:left w:val="nil"/>
              <w:bottom w:val="single" w:sz="8" w:space="0" w:color="auto"/>
              <w:right w:val="nil"/>
            </w:tcBorders>
            <w:shd w:val="clear" w:color="auto" w:fill="auto"/>
            <w:vAlign w:val="center"/>
          </w:tcPr>
          <w:p w14:paraId="59790DB1" w14:textId="3E4992AB" w:rsidR="00FC489F" w:rsidRPr="007C1A97" w:rsidRDefault="00FC489F" w:rsidP="00FC489F">
            <w:pPr>
              <w:jc w:val="right"/>
              <w:rPr>
                <w:rFonts w:ascii="Calibri" w:hAnsi="Calibri" w:cs="Calibri"/>
                <w:b/>
                <w:bCs/>
                <w:color w:val="000000"/>
                <w:sz w:val="16"/>
                <w:szCs w:val="16"/>
              </w:rPr>
            </w:pPr>
            <w:r>
              <w:rPr>
                <w:rFonts w:ascii="Calibri" w:hAnsi="Calibri" w:cs="Calibri"/>
                <w:b/>
                <w:bCs/>
                <w:color w:val="000000"/>
                <w:sz w:val="16"/>
                <w:szCs w:val="16"/>
              </w:rPr>
              <w:t>(1.224.508)</w:t>
            </w:r>
          </w:p>
        </w:tc>
      </w:tr>
      <w:tr w:rsidR="00FC489F" w14:paraId="26C8E4F6" w14:textId="77777777" w:rsidTr="00274BF6">
        <w:trPr>
          <w:trHeight w:val="227"/>
        </w:trPr>
        <w:tc>
          <w:tcPr>
            <w:tcW w:w="1300" w:type="pct"/>
            <w:tcBorders>
              <w:top w:val="nil"/>
              <w:left w:val="nil"/>
              <w:bottom w:val="single" w:sz="8" w:space="0" w:color="auto"/>
              <w:right w:val="nil"/>
            </w:tcBorders>
            <w:shd w:val="clear" w:color="auto" w:fill="auto"/>
            <w:noWrap/>
            <w:vAlign w:val="center"/>
            <w:hideMark/>
          </w:tcPr>
          <w:p w14:paraId="14DF929A" w14:textId="67B1544F" w:rsidR="00FC489F" w:rsidRDefault="00FC489F" w:rsidP="00FC489F">
            <w:pPr>
              <w:rPr>
                <w:rFonts w:ascii="Calibri" w:hAnsi="Calibri" w:cs="Calibri"/>
                <w:b/>
                <w:bCs/>
                <w:color w:val="000000"/>
                <w:sz w:val="16"/>
                <w:szCs w:val="16"/>
              </w:rPr>
            </w:pPr>
            <w:r>
              <w:rPr>
                <w:rFonts w:ascii="Calibri" w:hAnsi="Calibri" w:cs="Calibri"/>
                <w:b/>
                <w:bCs/>
                <w:color w:val="000000"/>
                <w:sz w:val="16"/>
                <w:szCs w:val="16"/>
              </w:rPr>
              <w:t>TOTAL LÍQUIDO DIREITO DE USO</w:t>
            </w:r>
          </w:p>
        </w:tc>
        <w:tc>
          <w:tcPr>
            <w:tcW w:w="752" w:type="pct"/>
            <w:tcBorders>
              <w:top w:val="nil"/>
              <w:left w:val="nil"/>
              <w:bottom w:val="single" w:sz="8" w:space="0" w:color="auto"/>
              <w:right w:val="nil"/>
            </w:tcBorders>
            <w:shd w:val="clear" w:color="auto" w:fill="auto"/>
            <w:noWrap/>
            <w:vAlign w:val="center"/>
            <w:hideMark/>
          </w:tcPr>
          <w:p w14:paraId="6007D82A" w14:textId="7B870EFE" w:rsidR="00FC489F" w:rsidRDefault="00FC489F" w:rsidP="00FC489F">
            <w:pPr>
              <w:jc w:val="right"/>
              <w:rPr>
                <w:rFonts w:ascii="Calibri" w:hAnsi="Calibri" w:cs="Calibri"/>
                <w:b/>
                <w:bCs/>
                <w:color w:val="000000"/>
                <w:sz w:val="16"/>
                <w:szCs w:val="16"/>
              </w:rPr>
            </w:pPr>
            <w:r>
              <w:rPr>
                <w:rFonts w:ascii="Calibri" w:hAnsi="Calibri" w:cs="Calibri"/>
                <w:b/>
                <w:bCs/>
                <w:color w:val="000000"/>
                <w:sz w:val="16"/>
                <w:szCs w:val="16"/>
              </w:rPr>
              <w:t>21.671.300</w:t>
            </w:r>
          </w:p>
        </w:tc>
        <w:tc>
          <w:tcPr>
            <w:tcW w:w="858" w:type="pct"/>
            <w:tcBorders>
              <w:top w:val="nil"/>
              <w:left w:val="nil"/>
              <w:bottom w:val="single" w:sz="8" w:space="0" w:color="auto"/>
              <w:right w:val="nil"/>
            </w:tcBorders>
            <w:shd w:val="clear" w:color="auto" w:fill="auto"/>
            <w:noWrap/>
            <w:vAlign w:val="center"/>
            <w:hideMark/>
          </w:tcPr>
          <w:p w14:paraId="27FCA245" w14:textId="5136FCE8" w:rsidR="00FC489F" w:rsidRDefault="00FC489F" w:rsidP="00FC489F">
            <w:pPr>
              <w:jc w:val="right"/>
              <w:rPr>
                <w:rFonts w:ascii="Calibri" w:hAnsi="Calibri" w:cs="Calibri"/>
                <w:b/>
                <w:bCs/>
                <w:color w:val="000000"/>
                <w:sz w:val="16"/>
                <w:szCs w:val="16"/>
              </w:rPr>
            </w:pPr>
            <w:r>
              <w:rPr>
                <w:rFonts w:ascii="Calibri" w:hAnsi="Calibri" w:cs="Calibri"/>
                <w:b/>
                <w:bCs/>
                <w:color w:val="000000"/>
                <w:sz w:val="16"/>
                <w:szCs w:val="16"/>
              </w:rPr>
              <w:t>1.538.659</w:t>
            </w:r>
          </w:p>
        </w:tc>
        <w:tc>
          <w:tcPr>
            <w:tcW w:w="696" w:type="pct"/>
            <w:tcBorders>
              <w:top w:val="nil"/>
              <w:left w:val="nil"/>
              <w:bottom w:val="single" w:sz="8" w:space="0" w:color="auto"/>
              <w:right w:val="nil"/>
            </w:tcBorders>
          </w:tcPr>
          <w:p w14:paraId="455A6602" w14:textId="0ED77864" w:rsidR="00FC489F" w:rsidRDefault="00FC489F" w:rsidP="00FC489F">
            <w:pPr>
              <w:jc w:val="right"/>
              <w:rPr>
                <w:rFonts w:ascii="Calibri" w:hAnsi="Calibri" w:cs="Calibri"/>
                <w:b/>
                <w:bCs/>
                <w:color w:val="000000"/>
                <w:sz w:val="16"/>
                <w:szCs w:val="16"/>
              </w:rPr>
            </w:pPr>
            <w:r>
              <w:rPr>
                <w:rFonts w:ascii="Calibri" w:hAnsi="Calibri" w:cs="Calibri"/>
                <w:b/>
                <w:bCs/>
                <w:color w:val="000000"/>
                <w:sz w:val="16"/>
                <w:szCs w:val="16"/>
              </w:rPr>
              <w:t>(4.093.099)</w:t>
            </w:r>
          </w:p>
        </w:tc>
        <w:tc>
          <w:tcPr>
            <w:tcW w:w="697" w:type="pct"/>
            <w:tcBorders>
              <w:top w:val="nil"/>
              <w:left w:val="nil"/>
              <w:bottom w:val="single" w:sz="8" w:space="0" w:color="auto"/>
              <w:right w:val="nil"/>
            </w:tcBorders>
          </w:tcPr>
          <w:p w14:paraId="3388182B" w14:textId="5D283EB0" w:rsidR="00FC489F" w:rsidRDefault="00FC489F" w:rsidP="00FC489F">
            <w:pPr>
              <w:jc w:val="right"/>
              <w:rPr>
                <w:rFonts w:ascii="Calibri" w:hAnsi="Calibri" w:cs="Calibri"/>
                <w:b/>
                <w:bCs/>
                <w:color w:val="000000"/>
                <w:sz w:val="16"/>
                <w:szCs w:val="16"/>
              </w:rPr>
            </w:pPr>
            <w:r>
              <w:rPr>
                <w:rFonts w:ascii="Calibri" w:hAnsi="Calibri" w:cs="Calibri"/>
                <w:b/>
                <w:bCs/>
                <w:color w:val="000000"/>
                <w:sz w:val="16"/>
                <w:szCs w:val="16"/>
              </w:rPr>
              <w:t>(6.385.760)</w:t>
            </w:r>
          </w:p>
        </w:tc>
        <w:tc>
          <w:tcPr>
            <w:tcW w:w="697" w:type="pct"/>
            <w:tcBorders>
              <w:top w:val="nil"/>
              <w:left w:val="nil"/>
              <w:bottom w:val="single" w:sz="8" w:space="0" w:color="auto"/>
              <w:right w:val="nil"/>
            </w:tcBorders>
            <w:shd w:val="clear" w:color="auto" w:fill="auto"/>
            <w:vAlign w:val="center"/>
            <w:hideMark/>
          </w:tcPr>
          <w:p w14:paraId="21E9F0D5" w14:textId="2B10DF56" w:rsidR="00FC489F" w:rsidRDefault="00FC489F" w:rsidP="00FC489F">
            <w:pPr>
              <w:jc w:val="right"/>
              <w:rPr>
                <w:rFonts w:ascii="Calibri" w:hAnsi="Calibri" w:cs="Calibri"/>
                <w:b/>
                <w:bCs/>
                <w:color w:val="000000"/>
                <w:sz w:val="16"/>
                <w:szCs w:val="16"/>
              </w:rPr>
            </w:pPr>
            <w:r>
              <w:rPr>
                <w:rFonts w:ascii="Calibri" w:hAnsi="Calibri" w:cs="Calibri"/>
                <w:b/>
                <w:bCs/>
                <w:color w:val="000000"/>
                <w:sz w:val="16"/>
                <w:szCs w:val="16"/>
              </w:rPr>
              <w:t>12.731.099</w:t>
            </w:r>
          </w:p>
        </w:tc>
      </w:tr>
    </w:tbl>
    <w:p w14:paraId="73986DD8" w14:textId="7E13A662" w:rsidR="00554B7B" w:rsidRPr="00554B7B" w:rsidRDefault="00F77F85" w:rsidP="00937ED9">
      <w:pPr>
        <w:spacing w:before="240" w:after="120"/>
        <w:ind w:right="57"/>
        <w:jc w:val="both"/>
        <w:rPr>
          <w:rFonts w:ascii="Calibri" w:hAnsi="Calibri" w:cs="Calibri"/>
          <w:sz w:val="22"/>
          <w:szCs w:val="22"/>
        </w:rPr>
      </w:pPr>
      <w:r w:rsidRPr="00FC489F">
        <w:rPr>
          <w:rFonts w:ascii="Calibri" w:hAnsi="Calibri" w:cs="Calibri"/>
          <w:sz w:val="22"/>
          <w:szCs w:val="22"/>
        </w:rPr>
        <w:lastRenderedPageBreak/>
        <w:t>As o</w:t>
      </w:r>
      <w:r w:rsidR="009A20A2" w:rsidRPr="00FC489F">
        <w:rPr>
          <w:rFonts w:ascii="Calibri" w:hAnsi="Calibri" w:cs="Calibri"/>
          <w:sz w:val="22"/>
          <w:szCs w:val="22"/>
        </w:rPr>
        <w:t xml:space="preserve">brigações contratuais a pagar referente a contratos de locação de veículos e imóveis classificados como contratos de arrendamentos como base na vigência do contrato, </w:t>
      </w:r>
      <w:r w:rsidR="001D1EA1">
        <w:rPr>
          <w:rFonts w:ascii="Calibri" w:hAnsi="Calibri" w:cs="Calibri"/>
          <w:sz w:val="22"/>
          <w:szCs w:val="22"/>
        </w:rPr>
        <w:t xml:space="preserve">bem como os juros a transcorrer decorrentes da operação, </w:t>
      </w:r>
      <w:r w:rsidR="009A20A2" w:rsidRPr="00FC489F">
        <w:rPr>
          <w:rFonts w:ascii="Calibri" w:hAnsi="Calibri" w:cs="Calibri"/>
          <w:sz w:val="22"/>
          <w:szCs w:val="22"/>
        </w:rPr>
        <w:t xml:space="preserve">em conformidade com o </w:t>
      </w:r>
      <w:r w:rsidR="00633924" w:rsidRPr="00FC489F">
        <w:rPr>
          <w:rFonts w:ascii="Calibri" w:hAnsi="Calibri" w:cs="Calibri"/>
          <w:sz w:val="22"/>
          <w:szCs w:val="22"/>
        </w:rPr>
        <w:t>C</w:t>
      </w:r>
      <w:r w:rsidR="009A20A2" w:rsidRPr="00FC489F">
        <w:rPr>
          <w:rFonts w:ascii="Calibri" w:hAnsi="Calibri" w:cs="Calibri"/>
          <w:sz w:val="22"/>
          <w:szCs w:val="22"/>
        </w:rPr>
        <w:t>PC 06 (R2)</w:t>
      </w:r>
      <w:r w:rsidR="001D1EA1">
        <w:rPr>
          <w:rFonts w:ascii="Calibri" w:hAnsi="Calibri" w:cs="Calibri"/>
          <w:sz w:val="22"/>
          <w:szCs w:val="22"/>
        </w:rPr>
        <w:t>,</w:t>
      </w:r>
      <w:r w:rsidR="00633924" w:rsidRPr="00FC489F">
        <w:rPr>
          <w:rFonts w:ascii="Calibri" w:hAnsi="Calibri" w:cs="Calibri"/>
          <w:sz w:val="22"/>
          <w:szCs w:val="22"/>
        </w:rPr>
        <w:t xml:space="preserve"> apresenta</w:t>
      </w:r>
      <w:r w:rsidR="00FC489F" w:rsidRPr="00FC489F">
        <w:rPr>
          <w:rFonts w:ascii="Calibri" w:hAnsi="Calibri" w:cs="Calibri"/>
          <w:sz w:val="22"/>
          <w:szCs w:val="22"/>
        </w:rPr>
        <w:t>ra</w:t>
      </w:r>
      <w:r w:rsidR="00633924" w:rsidRPr="00FC489F">
        <w:rPr>
          <w:rFonts w:ascii="Calibri" w:hAnsi="Calibri" w:cs="Calibri"/>
          <w:sz w:val="22"/>
          <w:szCs w:val="22"/>
        </w:rPr>
        <w:t xml:space="preserve">m a seguinte movimentação </w:t>
      </w:r>
      <w:r w:rsidR="00FC489F" w:rsidRPr="00FC489F">
        <w:rPr>
          <w:rFonts w:ascii="Calibri" w:hAnsi="Calibri" w:cs="Calibri"/>
          <w:sz w:val="22"/>
          <w:szCs w:val="22"/>
        </w:rPr>
        <w:t xml:space="preserve">até </w:t>
      </w:r>
      <w:r w:rsidR="00761A71" w:rsidRPr="00FC489F">
        <w:rPr>
          <w:rFonts w:ascii="Calibri" w:hAnsi="Calibri" w:cs="Calibri"/>
          <w:sz w:val="22"/>
          <w:szCs w:val="22"/>
        </w:rPr>
        <w:t xml:space="preserve">o </w:t>
      </w:r>
      <w:r w:rsidR="00FC489F" w:rsidRPr="00FC489F">
        <w:rPr>
          <w:rFonts w:ascii="Calibri" w:hAnsi="Calibri" w:cs="Calibri"/>
          <w:sz w:val="22"/>
          <w:szCs w:val="22"/>
        </w:rPr>
        <w:t>2</w:t>
      </w:r>
      <w:r w:rsidR="00FE4D59" w:rsidRPr="00FC489F">
        <w:rPr>
          <w:rFonts w:ascii="Calibri" w:hAnsi="Calibri" w:cs="Calibri"/>
          <w:sz w:val="22"/>
          <w:szCs w:val="22"/>
        </w:rPr>
        <w:t>º trimestre de 2022</w:t>
      </w:r>
      <w:r w:rsidR="00633924" w:rsidRPr="00FC489F">
        <w:rPr>
          <w:rFonts w:ascii="Calibri" w:hAnsi="Calibri" w:cs="Calibri"/>
          <w:sz w:val="22"/>
          <w:szCs w:val="22"/>
        </w:rPr>
        <w:t>:</w:t>
      </w:r>
    </w:p>
    <w:tbl>
      <w:tblPr>
        <w:tblW w:w="5000" w:type="pct"/>
        <w:tblCellMar>
          <w:left w:w="70" w:type="dxa"/>
          <w:right w:w="70" w:type="dxa"/>
        </w:tblCellMar>
        <w:tblLook w:val="04A0" w:firstRow="1" w:lastRow="0" w:firstColumn="1" w:lastColumn="0" w:noHBand="0" w:noVBand="1"/>
      </w:tblPr>
      <w:tblGrid>
        <w:gridCol w:w="3395"/>
        <w:gridCol w:w="1446"/>
        <w:gridCol w:w="1738"/>
        <w:gridCol w:w="1392"/>
        <w:gridCol w:w="1250"/>
        <w:gridCol w:w="1246"/>
      </w:tblGrid>
      <w:tr w:rsidR="00554B7B" w14:paraId="3218C907" w14:textId="77777777" w:rsidTr="00274BF6">
        <w:trPr>
          <w:trHeight w:hRule="exact" w:val="542"/>
        </w:trPr>
        <w:tc>
          <w:tcPr>
            <w:tcW w:w="1622" w:type="pct"/>
            <w:tcBorders>
              <w:top w:val="nil"/>
              <w:left w:val="nil"/>
              <w:bottom w:val="single" w:sz="8" w:space="0" w:color="auto"/>
              <w:right w:val="nil"/>
            </w:tcBorders>
            <w:shd w:val="clear" w:color="auto" w:fill="auto"/>
            <w:noWrap/>
            <w:vAlign w:val="bottom"/>
            <w:hideMark/>
          </w:tcPr>
          <w:p w14:paraId="17F6D7BB" w14:textId="77777777" w:rsidR="00554B7B" w:rsidRDefault="00554B7B" w:rsidP="00937ED9">
            <w:pPr>
              <w:spacing w:after="120"/>
              <w:rPr>
                <w:rFonts w:ascii="Calibri" w:hAnsi="Calibri" w:cs="Calibri"/>
                <w:b/>
                <w:bCs/>
                <w:color w:val="000000"/>
                <w:sz w:val="16"/>
                <w:szCs w:val="16"/>
              </w:rPr>
            </w:pPr>
            <w:r>
              <w:rPr>
                <w:rFonts w:ascii="Calibri" w:hAnsi="Calibri" w:cs="Calibri"/>
                <w:b/>
                <w:bCs/>
                <w:color w:val="000000"/>
                <w:sz w:val="16"/>
                <w:szCs w:val="16"/>
              </w:rPr>
              <w:t>PASSIVO DE ARRENDAMENTO</w:t>
            </w:r>
          </w:p>
        </w:tc>
        <w:tc>
          <w:tcPr>
            <w:tcW w:w="691" w:type="pct"/>
            <w:tcBorders>
              <w:top w:val="nil"/>
              <w:left w:val="nil"/>
              <w:bottom w:val="single" w:sz="8" w:space="0" w:color="auto"/>
              <w:right w:val="nil"/>
            </w:tcBorders>
            <w:shd w:val="clear" w:color="auto" w:fill="auto"/>
            <w:vAlign w:val="bottom"/>
            <w:hideMark/>
          </w:tcPr>
          <w:p w14:paraId="73BECEDD" w14:textId="2212E3C2" w:rsidR="00554B7B" w:rsidRDefault="00554B7B" w:rsidP="00FE4D59">
            <w:pPr>
              <w:spacing w:after="120"/>
              <w:jc w:val="right"/>
              <w:rPr>
                <w:rFonts w:ascii="Calibri" w:hAnsi="Calibri" w:cs="Calibri"/>
                <w:b/>
                <w:bCs/>
                <w:color w:val="000000"/>
                <w:sz w:val="16"/>
                <w:szCs w:val="16"/>
              </w:rPr>
            </w:pPr>
            <w:r>
              <w:rPr>
                <w:rFonts w:ascii="Calibri" w:hAnsi="Calibri" w:cs="Calibri"/>
                <w:b/>
                <w:bCs/>
                <w:color w:val="000000"/>
                <w:sz w:val="16"/>
                <w:szCs w:val="16"/>
              </w:rPr>
              <w:t>SALDO EM 31/12/202</w:t>
            </w:r>
            <w:r w:rsidR="00FE4D59">
              <w:rPr>
                <w:rFonts w:ascii="Calibri" w:hAnsi="Calibri" w:cs="Calibri"/>
                <w:b/>
                <w:bCs/>
                <w:color w:val="000000"/>
                <w:sz w:val="16"/>
                <w:szCs w:val="16"/>
              </w:rPr>
              <w:t>1</w:t>
            </w:r>
          </w:p>
        </w:tc>
        <w:tc>
          <w:tcPr>
            <w:tcW w:w="830" w:type="pct"/>
            <w:tcBorders>
              <w:top w:val="nil"/>
              <w:left w:val="nil"/>
              <w:bottom w:val="single" w:sz="8" w:space="0" w:color="auto"/>
              <w:right w:val="nil"/>
            </w:tcBorders>
            <w:shd w:val="clear" w:color="auto" w:fill="auto"/>
            <w:vAlign w:val="bottom"/>
            <w:hideMark/>
          </w:tcPr>
          <w:p w14:paraId="7A12DB62" w14:textId="2848D608" w:rsidR="00554B7B" w:rsidRDefault="000F13E3" w:rsidP="00FE4D59">
            <w:pPr>
              <w:spacing w:after="120"/>
              <w:jc w:val="right"/>
              <w:rPr>
                <w:rFonts w:ascii="Calibri" w:hAnsi="Calibri" w:cs="Calibri"/>
                <w:b/>
                <w:bCs/>
                <w:color w:val="000000"/>
                <w:sz w:val="16"/>
                <w:szCs w:val="16"/>
              </w:rPr>
            </w:pPr>
            <w:r>
              <w:rPr>
                <w:rFonts w:ascii="Calibri" w:hAnsi="Calibri" w:cs="Calibri"/>
                <w:b/>
                <w:bCs/>
                <w:color w:val="000000"/>
                <w:sz w:val="16"/>
                <w:szCs w:val="16"/>
              </w:rPr>
              <w:t>ENTRADAS</w:t>
            </w:r>
          </w:p>
        </w:tc>
        <w:tc>
          <w:tcPr>
            <w:tcW w:w="665" w:type="pct"/>
            <w:tcBorders>
              <w:top w:val="nil"/>
              <w:left w:val="nil"/>
              <w:bottom w:val="single" w:sz="8" w:space="0" w:color="auto"/>
              <w:right w:val="nil"/>
            </w:tcBorders>
            <w:shd w:val="clear" w:color="auto" w:fill="auto"/>
            <w:vAlign w:val="bottom"/>
            <w:hideMark/>
          </w:tcPr>
          <w:p w14:paraId="40773C68" w14:textId="550B2F4E" w:rsidR="00554B7B" w:rsidRDefault="000F13E3" w:rsidP="00C6385D">
            <w:pPr>
              <w:spacing w:after="120"/>
              <w:jc w:val="right"/>
              <w:rPr>
                <w:rFonts w:ascii="Calibri" w:hAnsi="Calibri" w:cs="Calibri"/>
                <w:b/>
                <w:bCs/>
                <w:color w:val="000000"/>
                <w:sz w:val="16"/>
                <w:szCs w:val="16"/>
              </w:rPr>
            </w:pPr>
            <w:r>
              <w:rPr>
                <w:rFonts w:ascii="Calibri" w:hAnsi="Calibri" w:cs="Calibri"/>
                <w:b/>
                <w:bCs/>
                <w:color w:val="000000"/>
                <w:sz w:val="16"/>
                <w:szCs w:val="16"/>
              </w:rPr>
              <w:t>AJUSTES</w:t>
            </w:r>
            <w:r w:rsidR="00C6385D">
              <w:rPr>
                <w:rFonts w:ascii="Calibri" w:hAnsi="Calibri" w:cs="Calibri"/>
                <w:b/>
                <w:bCs/>
                <w:color w:val="000000"/>
                <w:sz w:val="16"/>
                <w:szCs w:val="16"/>
              </w:rPr>
              <w:t xml:space="preserve"> / TRANSFERÊNCIAS</w:t>
            </w:r>
            <w:r w:rsidR="00554B7B">
              <w:rPr>
                <w:rFonts w:ascii="Calibri" w:hAnsi="Calibri" w:cs="Calibri"/>
                <w:b/>
                <w:bCs/>
                <w:color w:val="000000"/>
                <w:sz w:val="16"/>
                <w:szCs w:val="16"/>
              </w:rPr>
              <w:t xml:space="preserve"> </w:t>
            </w:r>
          </w:p>
        </w:tc>
        <w:tc>
          <w:tcPr>
            <w:tcW w:w="597" w:type="pct"/>
            <w:tcBorders>
              <w:top w:val="nil"/>
              <w:left w:val="nil"/>
              <w:bottom w:val="single" w:sz="8" w:space="0" w:color="auto"/>
              <w:right w:val="nil"/>
            </w:tcBorders>
            <w:shd w:val="clear" w:color="auto" w:fill="auto"/>
            <w:vAlign w:val="bottom"/>
            <w:hideMark/>
          </w:tcPr>
          <w:p w14:paraId="39553AB9" w14:textId="77777777" w:rsidR="00554B7B" w:rsidRDefault="00554B7B" w:rsidP="00FE4D59">
            <w:pPr>
              <w:spacing w:after="120"/>
              <w:jc w:val="right"/>
              <w:rPr>
                <w:rFonts w:ascii="Calibri" w:hAnsi="Calibri" w:cs="Calibri"/>
                <w:b/>
                <w:bCs/>
                <w:color w:val="000000"/>
                <w:sz w:val="16"/>
                <w:szCs w:val="16"/>
              </w:rPr>
            </w:pPr>
            <w:r>
              <w:rPr>
                <w:rFonts w:ascii="Calibri" w:hAnsi="Calibri" w:cs="Calibri"/>
                <w:b/>
                <w:bCs/>
                <w:color w:val="000000"/>
                <w:sz w:val="16"/>
                <w:szCs w:val="16"/>
              </w:rPr>
              <w:t>PAGAMENTOS EFETUADOS</w:t>
            </w:r>
          </w:p>
        </w:tc>
        <w:tc>
          <w:tcPr>
            <w:tcW w:w="595" w:type="pct"/>
            <w:tcBorders>
              <w:top w:val="nil"/>
              <w:left w:val="nil"/>
              <w:bottom w:val="single" w:sz="8" w:space="0" w:color="auto"/>
              <w:right w:val="nil"/>
            </w:tcBorders>
            <w:shd w:val="clear" w:color="auto" w:fill="auto"/>
            <w:vAlign w:val="bottom"/>
            <w:hideMark/>
          </w:tcPr>
          <w:p w14:paraId="15BA95FD" w14:textId="48284702" w:rsidR="00554B7B" w:rsidRDefault="00554B7B" w:rsidP="00FE4D59">
            <w:pPr>
              <w:spacing w:after="120"/>
              <w:jc w:val="right"/>
              <w:rPr>
                <w:rFonts w:ascii="Calibri" w:hAnsi="Calibri" w:cs="Calibri"/>
                <w:b/>
                <w:bCs/>
                <w:color w:val="000000"/>
                <w:sz w:val="16"/>
                <w:szCs w:val="16"/>
              </w:rPr>
            </w:pPr>
            <w:r>
              <w:rPr>
                <w:rFonts w:ascii="Calibri" w:hAnsi="Calibri" w:cs="Calibri"/>
                <w:b/>
                <w:bCs/>
                <w:color w:val="000000"/>
                <w:sz w:val="16"/>
                <w:szCs w:val="16"/>
              </w:rPr>
              <w:t>SALDO EM 3</w:t>
            </w:r>
            <w:r w:rsidR="000F13E3">
              <w:rPr>
                <w:rFonts w:ascii="Calibri" w:hAnsi="Calibri" w:cs="Calibri"/>
                <w:b/>
                <w:bCs/>
                <w:color w:val="000000"/>
                <w:sz w:val="16"/>
                <w:szCs w:val="16"/>
              </w:rPr>
              <w:t>0</w:t>
            </w:r>
            <w:r>
              <w:rPr>
                <w:rFonts w:ascii="Calibri" w:hAnsi="Calibri" w:cs="Calibri"/>
                <w:b/>
                <w:bCs/>
                <w:color w:val="000000"/>
                <w:sz w:val="16"/>
                <w:szCs w:val="16"/>
              </w:rPr>
              <w:t>/</w:t>
            </w:r>
            <w:r w:rsidR="007701F3">
              <w:rPr>
                <w:rFonts w:ascii="Calibri" w:hAnsi="Calibri" w:cs="Calibri"/>
                <w:b/>
                <w:bCs/>
                <w:color w:val="000000"/>
                <w:sz w:val="16"/>
                <w:szCs w:val="16"/>
              </w:rPr>
              <w:t>0</w:t>
            </w:r>
            <w:r w:rsidR="000F13E3">
              <w:rPr>
                <w:rFonts w:ascii="Calibri" w:hAnsi="Calibri" w:cs="Calibri"/>
                <w:b/>
                <w:bCs/>
                <w:color w:val="000000"/>
                <w:sz w:val="16"/>
                <w:szCs w:val="16"/>
              </w:rPr>
              <w:t>6</w:t>
            </w:r>
            <w:r>
              <w:rPr>
                <w:rFonts w:ascii="Calibri" w:hAnsi="Calibri" w:cs="Calibri"/>
                <w:b/>
                <w:bCs/>
                <w:color w:val="000000"/>
                <w:sz w:val="16"/>
                <w:szCs w:val="16"/>
              </w:rPr>
              <w:t>/202</w:t>
            </w:r>
            <w:r w:rsidR="007701F3">
              <w:rPr>
                <w:rFonts w:ascii="Calibri" w:hAnsi="Calibri" w:cs="Calibri"/>
                <w:b/>
                <w:bCs/>
                <w:color w:val="000000"/>
                <w:sz w:val="16"/>
                <w:szCs w:val="16"/>
              </w:rPr>
              <w:t>2</w:t>
            </w:r>
          </w:p>
        </w:tc>
      </w:tr>
      <w:tr w:rsidR="00554B7B" w14:paraId="4E8DFAD9" w14:textId="77777777" w:rsidTr="00621A14">
        <w:trPr>
          <w:trHeight w:hRule="exact" w:val="227"/>
        </w:trPr>
        <w:tc>
          <w:tcPr>
            <w:tcW w:w="1622" w:type="pct"/>
            <w:tcBorders>
              <w:top w:val="nil"/>
              <w:left w:val="nil"/>
              <w:bottom w:val="nil"/>
              <w:right w:val="nil"/>
            </w:tcBorders>
            <w:shd w:val="clear" w:color="auto" w:fill="auto"/>
            <w:noWrap/>
            <w:vAlign w:val="center"/>
            <w:hideMark/>
          </w:tcPr>
          <w:p w14:paraId="7BE4DB45" w14:textId="77777777" w:rsidR="00554B7B" w:rsidRDefault="00554B7B" w:rsidP="00937ED9">
            <w:pPr>
              <w:spacing w:after="120"/>
              <w:rPr>
                <w:rFonts w:ascii="Calibri" w:hAnsi="Calibri" w:cs="Calibri"/>
                <w:color w:val="000000"/>
                <w:sz w:val="16"/>
                <w:szCs w:val="16"/>
              </w:rPr>
            </w:pPr>
            <w:r>
              <w:rPr>
                <w:rFonts w:ascii="Calibri" w:hAnsi="Calibri" w:cs="Calibri"/>
                <w:color w:val="000000"/>
                <w:sz w:val="16"/>
                <w:szCs w:val="16"/>
              </w:rPr>
              <w:t xml:space="preserve">Passivo de Arrendamento de Veículos </w:t>
            </w:r>
          </w:p>
        </w:tc>
        <w:tc>
          <w:tcPr>
            <w:tcW w:w="691" w:type="pct"/>
            <w:tcBorders>
              <w:top w:val="nil"/>
              <w:left w:val="nil"/>
              <w:bottom w:val="nil"/>
              <w:right w:val="nil"/>
            </w:tcBorders>
            <w:shd w:val="clear" w:color="auto" w:fill="auto"/>
            <w:noWrap/>
            <w:vAlign w:val="center"/>
            <w:hideMark/>
          </w:tcPr>
          <w:p w14:paraId="15BCDC15" w14:textId="27509EE7" w:rsidR="00554B7B" w:rsidRDefault="00FE4D59" w:rsidP="00FE4D59">
            <w:pPr>
              <w:spacing w:after="120"/>
              <w:jc w:val="right"/>
              <w:rPr>
                <w:rFonts w:ascii="Calibri" w:hAnsi="Calibri" w:cs="Calibri"/>
                <w:color w:val="000000"/>
                <w:sz w:val="16"/>
                <w:szCs w:val="16"/>
              </w:rPr>
            </w:pPr>
            <w:r>
              <w:rPr>
                <w:rFonts w:ascii="Calibri" w:hAnsi="Calibri" w:cs="Calibri"/>
                <w:color w:val="000000"/>
                <w:sz w:val="16"/>
                <w:szCs w:val="16"/>
              </w:rPr>
              <w:t>1.721.300</w:t>
            </w:r>
          </w:p>
        </w:tc>
        <w:tc>
          <w:tcPr>
            <w:tcW w:w="830" w:type="pct"/>
            <w:tcBorders>
              <w:top w:val="nil"/>
              <w:left w:val="nil"/>
              <w:bottom w:val="nil"/>
              <w:right w:val="nil"/>
            </w:tcBorders>
            <w:shd w:val="clear" w:color="auto" w:fill="auto"/>
            <w:vAlign w:val="center"/>
            <w:hideMark/>
          </w:tcPr>
          <w:p w14:paraId="0953C868" w14:textId="7280FE0B" w:rsidR="00554B7B" w:rsidRDefault="00FE4D59" w:rsidP="00FE4D59">
            <w:pPr>
              <w:spacing w:after="120"/>
              <w:jc w:val="right"/>
              <w:rPr>
                <w:rFonts w:ascii="Calibri" w:hAnsi="Calibri" w:cs="Calibri"/>
                <w:color w:val="000000"/>
                <w:sz w:val="16"/>
                <w:szCs w:val="16"/>
              </w:rPr>
            </w:pPr>
            <w:r>
              <w:rPr>
                <w:rFonts w:ascii="Calibri" w:hAnsi="Calibri" w:cs="Calibri"/>
                <w:color w:val="000000"/>
                <w:sz w:val="16"/>
                <w:szCs w:val="16"/>
              </w:rPr>
              <w:t>740.561</w:t>
            </w:r>
          </w:p>
        </w:tc>
        <w:tc>
          <w:tcPr>
            <w:tcW w:w="665" w:type="pct"/>
            <w:tcBorders>
              <w:top w:val="nil"/>
              <w:left w:val="nil"/>
              <w:bottom w:val="nil"/>
              <w:right w:val="nil"/>
            </w:tcBorders>
            <w:shd w:val="clear" w:color="auto" w:fill="auto"/>
            <w:noWrap/>
            <w:vAlign w:val="center"/>
            <w:hideMark/>
          </w:tcPr>
          <w:p w14:paraId="6E3BE8CA" w14:textId="4A9136DC" w:rsidR="00554B7B" w:rsidRDefault="0063559F" w:rsidP="00FE4D59">
            <w:pPr>
              <w:spacing w:after="120"/>
              <w:jc w:val="right"/>
              <w:rPr>
                <w:rFonts w:ascii="Calibri" w:hAnsi="Calibri" w:cs="Calibri"/>
                <w:color w:val="000000"/>
                <w:sz w:val="16"/>
                <w:szCs w:val="16"/>
              </w:rPr>
            </w:pPr>
            <w:r>
              <w:rPr>
                <w:rFonts w:ascii="Calibri" w:hAnsi="Calibri" w:cs="Calibri"/>
                <w:color w:val="000000"/>
                <w:sz w:val="16"/>
                <w:szCs w:val="16"/>
              </w:rPr>
              <w:t>(2.387.514)</w:t>
            </w:r>
          </w:p>
        </w:tc>
        <w:tc>
          <w:tcPr>
            <w:tcW w:w="597" w:type="pct"/>
            <w:tcBorders>
              <w:top w:val="nil"/>
              <w:left w:val="nil"/>
              <w:bottom w:val="nil"/>
              <w:right w:val="nil"/>
            </w:tcBorders>
            <w:shd w:val="clear" w:color="auto" w:fill="auto"/>
            <w:noWrap/>
            <w:vAlign w:val="center"/>
            <w:hideMark/>
          </w:tcPr>
          <w:p w14:paraId="0B5E7144" w14:textId="7ACD14C3" w:rsidR="00554B7B" w:rsidRDefault="00226A99" w:rsidP="00FE4D59">
            <w:pPr>
              <w:spacing w:after="120"/>
              <w:jc w:val="right"/>
              <w:rPr>
                <w:rFonts w:ascii="Calibri" w:hAnsi="Calibri" w:cs="Calibri"/>
                <w:color w:val="000000"/>
                <w:sz w:val="16"/>
                <w:szCs w:val="16"/>
              </w:rPr>
            </w:pPr>
            <w:r>
              <w:rPr>
                <w:rFonts w:ascii="Calibri" w:hAnsi="Calibri" w:cs="Calibri"/>
                <w:color w:val="000000"/>
                <w:sz w:val="16"/>
                <w:szCs w:val="16"/>
              </w:rPr>
              <w:t>(</w:t>
            </w:r>
            <w:r w:rsidR="007701F3">
              <w:rPr>
                <w:rFonts w:ascii="Calibri" w:hAnsi="Calibri" w:cs="Calibri"/>
                <w:color w:val="000000"/>
                <w:sz w:val="16"/>
                <w:szCs w:val="16"/>
              </w:rPr>
              <w:t>74.347</w:t>
            </w:r>
            <w:r w:rsidR="00554B7B">
              <w:rPr>
                <w:rFonts w:ascii="Calibri" w:hAnsi="Calibri" w:cs="Calibri"/>
                <w:color w:val="000000"/>
                <w:sz w:val="16"/>
                <w:szCs w:val="16"/>
              </w:rPr>
              <w:t>)</w:t>
            </w:r>
          </w:p>
        </w:tc>
        <w:tc>
          <w:tcPr>
            <w:tcW w:w="595" w:type="pct"/>
            <w:tcBorders>
              <w:top w:val="nil"/>
              <w:left w:val="nil"/>
              <w:bottom w:val="nil"/>
              <w:right w:val="nil"/>
            </w:tcBorders>
            <w:shd w:val="clear" w:color="auto" w:fill="auto"/>
            <w:noWrap/>
            <w:vAlign w:val="center"/>
            <w:hideMark/>
          </w:tcPr>
          <w:p w14:paraId="412BF620" w14:textId="3A75E050" w:rsidR="00554B7B" w:rsidRDefault="00C6385D" w:rsidP="00FE4D59">
            <w:pPr>
              <w:spacing w:after="120"/>
              <w:jc w:val="right"/>
              <w:rPr>
                <w:rFonts w:ascii="Calibri" w:hAnsi="Calibri" w:cs="Calibri"/>
                <w:color w:val="000000"/>
                <w:sz w:val="16"/>
                <w:szCs w:val="16"/>
              </w:rPr>
            </w:pPr>
            <w:r>
              <w:rPr>
                <w:rFonts w:ascii="Calibri" w:hAnsi="Calibri" w:cs="Calibri"/>
                <w:color w:val="000000"/>
                <w:sz w:val="16"/>
                <w:szCs w:val="16"/>
              </w:rPr>
              <w:t>0</w:t>
            </w:r>
          </w:p>
        </w:tc>
      </w:tr>
      <w:tr w:rsidR="00554B7B" w14:paraId="311D8129" w14:textId="77777777" w:rsidTr="00621A14">
        <w:trPr>
          <w:trHeight w:hRule="exact" w:val="227"/>
        </w:trPr>
        <w:tc>
          <w:tcPr>
            <w:tcW w:w="1622" w:type="pct"/>
            <w:tcBorders>
              <w:top w:val="nil"/>
              <w:left w:val="nil"/>
              <w:bottom w:val="single" w:sz="8" w:space="0" w:color="auto"/>
              <w:right w:val="nil"/>
            </w:tcBorders>
            <w:shd w:val="clear" w:color="auto" w:fill="auto"/>
            <w:noWrap/>
            <w:vAlign w:val="center"/>
            <w:hideMark/>
          </w:tcPr>
          <w:p w14:paraId="37DD2CC7" w14:textId="77777777" w:rsidR="00554B7B" w:rsidRDefault="00554B7B" w:rsidP="00937ED9">
            <w:pPr>
              <w:spacing w:after="120"/>
              <w:rPr>
                <w:rFonts w:ascii="Calibri" w:hAnsi="Calibri" w:cs="Calibri"/>
                <w:color w:val="000000"/>
                <w:sz w:val="16"/>
                <w:szCs w:val="16"/>
              </w:rPr>
            </w:pPr>
            <w:r>
              <w:rPr>
                <w:rFonts w:ascii="Calibri" w:hAnsi="Calibri" w:cs="Calibri"/>
                <w:color w:val="000000"/>
                <w:sz w:val="16"/>
                <w:szCs w:val="16"/>
              </w:rPr>
              <w:t>Passivo de Arrendamento de Imóveis</w:t>
            </w:r>
          </w:p>
        </w:tc>
        <w:tc>
          <w:tcPr>
            <w:tcW w:w="691" w:type="pct"/>
            <w:tcBorders>
              <w:top w:val="nil"/>
              <w:left w:val="nil"/>
              <w:bottom w:val="single" w:sz="8" w:space="0" w:color="auto"/>
              <w:right w:val="nil"/>
            </w:tcBorders>
            <w:shd w:val="clear" w:color="auto" w:fill="auto"/>
            <w:noWrap/>
            <w:vAlign w:val="center"/>
            <w:hideMark/>
          </w:tcPr>
          <w:p w14:paraId="3B0B8EE2" w14:textId="70F2F07A" w:rsidR="00554B7B" w:rsidRDefault="00FE4D59" w:rsidP="00FE4D59">
            <w:pPr>
              <w:spacing w:after="120"/>
              <w:jc w:val="right"/>
              <w:rPr>
                <w:rFonts w:ascii="Calibri" w:hAnsi="Calibri" w:cs="Calibri"/>
                <w:color w:val="000000"/>
                <w:sz w:val="16"/>
                <w:szCs w:val="16"/>
              </w:rPr>
            </w:pPr>
            <w:r>
              <w:rPr>
                <w:rFonts w:ascii="Calibri" w:hAnsi="Calibri" w:cs="Calibri"/>
                <w:color w:val="000000"/>
                <w:sz w:val="16"/>
                <w:szCs w:val="16"/>
              </w:rPr>
              <w:t>19.950.000</w:t>
            </w:r>
          </w:p>
        </w:tc>
        <w:tc>
          <w:tcPr>
            <w:tcW w:w="830" w:type="pct"/>
            <w:tcBorders>
              <w:top w:val="nil"/>
              <w:left w:val="nil"/>
              <w:bottom w:val="single" w:sz="8" w:space="0" w:color="auto"/>
              <w:right w:val="nil"/>
            </w:tcBorders>
            <w:shd w:val="clear" w:color="auto" w:fill="auto"/>
            <w:vAlign w:val="center"/>
            <w:hideMark/>
          </w:tcPr>
          <w:p w14:paraId="45753D9B" w14:textId="407A2DAC" w:rsidR="00554B7B" w:rsidRDefault="007701F3" w:rsidP="00FE4D59">
            <w:pPr>
              <w:spacing w:after="120"/>
              <w:jc w:val="right"/>
              <w:rPr>
                <w:rFonts w:ascii="Calibri" w:hAnsi="Calibri" w:cs="Calibri"/>
                <w:color w:val="000000"/>
                <w:sz w:val="16"/>
                <w:szCs w:val="16"/>
              </w:rPr>
            </w:pPr>
            <w:r>
              <w:rPr>
                <w:rFonts w:ascii="Calibri" w:hAnsi="Calibri" w:cs="Calibri"/>
                <w:color w:val="000000"/>
                <w:sz w:val="16"/>
                <w:szCs w:val="16"/>
              </w:rPr>
              <w:t>0</w:t>
            </w:r>
          </w:p>
        </w:tc>
        <w:tc>
          <w:tcPr>
            <w:tcW w:w="665" w:type="pct"/>
            <w:tcBorders>
              <w:top w:val="nil"/>
              <w:left w:val="nil"/>
              <w:bottom w:val="single" w:sz="8" w:space="0" w:color="auto"/>
              <w:right w:val="nil"/>
            </w:tcBorders>
            <w:shd w:val="clear" w:color="auto" w:fill="auto"/>
            <w:noWrap/>
            <w:vAlign w:val="center"/>
            <w:hideMark/>
          </w:tcPr>
          <w:p w14:paraId="3DC9446B" w14:textId="77777777" w:rsidR="00554B7B" w:rsidRDefault="00554B7B" w:rsidP="00FE4D59">
            <w:pPr>
              <w:spacing w:after="120"/>
              <w:jc w:val="right"/>
              <w:rPr>
                <w:rFonts w:ascii="Calibri" w:hAnsi="Calibri" w:cs="Calibri"/>
                <w:color w:val="000000"/>
                <w:sz w:val="16"/>
                <w:szCs w:val="16"/>
              </w:rPr>
            </w:pPr>
            <w:r>
              <w:rPr>
                <w:rFonts w:ascii="Calibri" w:hAnsi="Calibri" w:cs="Calibri"/>
                <w:color w:val="000000"/>
                <w:sz w:val="16"/>
                <w:szCs w:val="16"/>
              </w:rPr>
              <w:t>0</w:t>
            </w:r>
          </w:p>
        </w:tc>
        <w:tc>
          <w:tcPr>
            <w:tcW w:w="597" w:type="pct"/>
            <w:tcBorders>
              <w:top w:val="nil"/>
              <w:left w:val="nil"/>
              <w:bottom w:val="single" w:sz="8" w:space="0" w:color="auto"/>
              <w:right w:val="nil"/>
            </w:tcBorders>
            <w:shd w:val="clear" w:color="auto" w:fill="auto"/>
            <w:noWrap/>
            <w:vAlign w:val="center"/>
            <w:hideMark/>
          </w:tcPr>
          <w:p w14:paraId="6D527FEE" w14:textId="742CC4E5" w:rsidR="00554B7B" w:rsidRDefault="00554B7B" w:rsidP="00FE4D59">
            <w:pPr>
              <w:spacing w:after="120"/>
              <w:jc w:val="right"/>
              <w:rPr>
                <w:rFonts w:ascii="Calibri" w:hAnsi="Calibri" w:cs="Calibri"/>
                <w:color w:val="000000"/>
                <w:sz w:val="16"/>
                <w:szCs w:val="16"/>
              </w:rPr>
            </w:pPr>
            <w:r>
              <w:rPr>
                <w:rFonts w:ascii="Calibri" w:hAnsi="Calibri" w:cs="Calibri"/>
                <w:color w:val="000000"/>
                <w:sz w:val="16"/>
                <w:szCs w:val="16"/>
              </w:rPr>
              <w:t>(</w:t>
            </w:r>
            <w:r w:rsidR="0063559F">
              <w:rPr>
                <w:rFonts w:ascii="Calibri" w:hAnsi="Calibri" w:cs="Calibri"/>
                <w:color w:val="000000"/>
                <w:sz w:val="16"/>
                <w:szCs w:val="16"/>
              </w:rPr>
              <w:t>1.</w:t>
            </w:r>
            <w:r w:rsidR="007701F3">
              <w:rPr>
                <w:rFonts w:ascii="Calibri" w:hAnsi="Calibri" w:cs="Calibri"/>
                <w:color w:val="000000"/>
                <w:sz w:val="16"/>
                <w:szCs w:val="16"/>
              </w:rPr>
              <w:t>7</w:t>
            </w:r>
            <w:r w:rsidR="0063559F">
              <w:rPr>
                <w:rFonts w:ascii="Calibri" w:hAnsi="Calibri" w:cs="Calibri"/>
                <w:color w:val="000000"/>
                <w:sz w:val="16"/>
                <w:szCs w:val="16"/>
              </w:rPr>
              <w:t>5</w:t>
            </w:r>
            <w:r w:rsidR="007701F3">
              <w:rPr>
                <w:rFonts w:ascii="Calibri" w:hAnsi="Calibri" w:cs="Calibri"/>
                <w:color w:val="000000"/>
                <w:sz w:val="16"/>
                <w:szCs w:val="16"/>
              </w:rPr>
              <w:t>0.000</w:t>
            </w:r>
            <w:r>
              <w:rPr>
                <w:rFonts w:ascii="Calibri" w:hAnsi="Calibri" w:cs="Calibri"/>
                <w:color w:val="000000"/>
                <w:sz w:val="16"/>
                <w:szCs w:val="16"/>
              </w:rPr>
              <w:t>)</w:t>
            </w:r>
          </w:p>
        </w:tc>
        <w:tc>
          <w:tcPr>
            <w:tcW w:w="595" w:type="pct"/>
            <w:tcBorders>
              <w:top w:val="nil"/>
              <w:left w:val="nil"/>
              <w:bottom w:val="single" w:sz="8" w:space="0" w:color="auto"/>
              <w:right w:val="nil"/>
            </w:tcBorders>
            <w:shd w:val="clear" w:color="auto" w:fill="auto"/>
            <w:noWrap/>
            <w:vAlign w:val="center"/>
            <w:hideMark/>
          </w:tcPr>
          <w:p w14:paraId="1102BD1B" w14:textId="79A5514A" w:rsidR="00554B7B" w:rsidRDefault="00226A99" w:rsidP="00FE4D59">
            <w:pPr>
              <w:spacing w:after="120"/>
              <w:jc w:val="right"/>
              <w:rPr>
                <w:rFonts w:ascii="Calibri" w:hAnsi="Calibri" w:cs="Calibri"/>
                <w:color w:val="000000"/>
                <w:sz w:val="16"/>
                <w:szCs w:val="16"/>
              </w:rPr>
            </w:pPr>
            <w:r>
              <w:rPr>
                <w:rFonts w:ascii="Calibri" w:hAnsi="Calibri" w:cs="Calibri"/>
                <w:color w:val="000000"/>
                <w:sz w:val="16"/>
                <w:szCs w:val="16"/>
              </w:rPr>
              <w:t>1</w:t>
            </w:r>
            <w:r w:rsidR="0063559F">
              <w:rPr>
                <w:rFonts w:ascii="Calibri" w:hAnsi="Calibri" w:cs="Calibri"/>
                <w:color w:val="000000"/>
                <w:sz w:val="16"/>
                <w:szCs w:val="16"/>
              </w:rPr>
              <w:t>8</w:t>
            </w:r>
            <w:r>
              <w:rPr>
                <w:rFonts w:ascii="Calibri" w:hAnsi="Calibri" w:cs="Calibri"/>
                <w:color w:val="000000"/>
                <w:sz w:val="16"/>
                <w:szCs w:val="16"/>
              </w:rPr>
              <w:t>.</w:t>
            </w:r>
            <w:r w:rsidR="007701F3">
              <w:rPr>
                <w:rFonts w:ascii="Calibri" w:hAnsi="Calibri" w:cs="Calibri"/>
                <w:color w:val="000000"/>
                <w:sz w:val="16"/>
                <w:szCs w:val="16"/>
              </w:rPr>
              <w:t>2</w:t>
            </w:r>
            <w:r w:rsidR="0063559F">
              <w:rPr>
                <w:rFonts w:ascii="Calibri" w:hAnsi="Calibri" w:cs="Calibri"/>
                <w:color w:val="000000"/>
                <w:sz w:val="16"/>
                <w:szCs w:val="16"/>
              </w:rPr>
              <w:t>0</w:t>
            </w:r>
            <w:r>
              <w:rPr>
                <w:rFonts w:ascii="Calibri" w:hAnsi="Calibri" w:cs="Calibri"/>
                <w:color w:val="000000"/>
                <w:sz w:val="16"/>
                <w:szCs w:val="16"/>
              </w:rPr>
              <w:t>0.000</w:t>
            </w:r>
          </w:p>
        </w:tc>
      </w:tr>
      <w:tr w:rsidR="00554B7B" w14:paraId="10A2EEC2" w14:textId="77777777" w:rsidTr="00621A14">
        <w:trPr>
          <w:trHeight w:hRule="exact" w:val="227"/>
        </w:trPr>
        <w:tc>
          <w:tcPr>
            <w:tcW w:w="1622" w:type="pct"/>
            <w:tcBorders>
              <w:top w:val="nil"/>
              <w:left w:val="nil"/>
              <w:bottom w:val="single" w:sz="8" w:space="0" w:color="auto"/>
              <w:right w:val="nil"/>
            </w:tcBorders>
            <w:shd w:val="clear" w:color="auto" w:fill="auto"/>
            <w:noWrap/>
            <w:vAlign w:val="center"/>
            <w:hideMark/>
          </w:tcPr>
          <w:p w14:paraId="53F0DF41" w14:textId="77777777" w:rsidR="00554B7B" w:rsidRDefault="00554B7B" w:rsidP="00937ED9">
            <w:pPr>
              <w:spacing w:after="120"/>
              <w:rPr>
                <w:rFonts w:ascii="Calibri" w:hAnsi="Calibri" w:cs="Calibri"/>
                <w:b/>
                <w:bCs/>
                <w:color w:val="000000"/>
                <w:sz w:val="16"/>
                <w:szCs w:val="16"/>
              </w:rPr>
            </w:pPr>
            <w:r>
              <w:rPr>
                <w:rFonts w:ascii="Calibri" w:hAnsi="Calibri" w:cs="Calibri"/>
                <w:b/>
                <w:bCs/>
                <w:color w:val="000000"/>
                <w:sz w:val="16"/>
                <w:szCs w:val="16"/>
              </w:rPr>
              <w:t>TOTAL DE PASSIVOS DE ARRENDAMENTOS</w:t>
            </w:r>
          </w:p>
        </w:tc>
        <w:tc>
          <w:tcPr>
            <w:tcW w:w="691" w:type="pct"/>
            <w:tcBorders>
              <w:top w:val="nil"/>
              <w:left w:val="nil"/>
              <w:bottom w:val="single" w:sz="8" w:space="0" w:color="auto"/>
              <w:right w:val="nil"/>
            </w:tcBorders>
            <w:shd w:val="clear" w:color="auto" w:fill="auto"/>
            <w:noWrap/>
            <w:vAlign w:val="center"/>
            <w:hideMark/>
          </w:tcPr>
          <w:p w14:paraId="5AB1A6E4" w14:textId="07638F7A" w:rsidR="00554B7B" w:rsidRDefault="00FE4D59" w:rsidP="00FE4D59">
            <w:pPr>
              <w:spacing w:after="120"/>
              <w:jc w:val="right"/>
              <w:rPr>
                <w:rFonts w:ascii="Calibri" w:hAnsi="Calibri" w:cs="Calibri"/>
                <w:b/>
                <w:bCs/>
                <w:color w:val="000000"/>
                <w:sz w:val="16"/>
                <w:szCs w:val="16"/>
              </w:rPr>
            </w:pPr>
            <w:r>
              <w:rPr>
                <w:rFonts w:ascii="Calibri" w:hAnsi="Calibri" w:cs="Calibri"/>
                <w:b/>
                <w:bCs/>
                <w:color w:val="000000"/>
                <w:sz w:val="16"/>
                <w:szCs w:val="16"/>
              </w:rPr>
              <w:t>21.671.300</w:t>
            </w:r>
          </w:p>
        </w:tc>
        <w:tc>
          <w:tcPr>
            <w:tcW w:w="830" w:type="pct"/>
            <w:tcBorders>
              <w:top w:val="nil"/>
              <w:left w:val="nil"/>
              <w:bottom w:val="single" w:sz="8" w:space="0" w:color="auto"/>
              <w:right w:val="nil"/>
            </w:tcBorders>
            <w:shd w:val="clear" w:color="auto" w:fill="auto"/>
            <w:noWrap/>
            <w:vAlign w:val="center"/>
            <w:hideMark/>
          </w:tcPr>
          <w:p w14:paraId="6C5C5058" w14:textId="4167EBCF" w:rsidR="00554B7B" w:rsidRDefault="007701F3" w:rsidP="00FE4D59">
            <w:pPr>
              <w:spacing w:after="120"/>
              <w:jc w:val="right"/>
              <w:rPr>
                <w:rFonts w:ascii="Calibri" w:hAnsi="Calibri" w:cs="Calibri"/>
                <w:b/>
                <w:bCs/>
                <w:color w:val="000000"/>
                <w:sz w:val="16"/>
                <w:szCs w:val="16"/>
              </w:rPr>
            </w:pPr>
            <w:r>
              <w:rPr>
                <w:rFonts w:ascii="Calibri" w:hAnsi="Calibri" w:cs="Calibri"/>
                <w:b/>
                <w:bCs/>
                <w:color w:val="000000"/>
                <w:sz w:val="16"/>
                <w:szCs w:val="16"/>
              </w:rPr>
              <w:t>740.561</w:t>
            </w:r>
          </w:p>
        </w:tc>
        <w:tc>
          <w:tcPr>
            <w:tcW w:w="665" w:type="pct"/>
            <w:tcBorders>
              <w:top w:val="nil"/>
              <w:left w:val="nil"/>
              <w:bottom w:val="single" w:sz="8" w:space="0" w:color="auto"/>
              <w:right w:val="nil"/>
            </w:tcBorders>
            <w:shd w:val="clear" w:color="auto" w:fill="auto"/>
            <w:noWrap/>
            <w:vAlign w:val="center"/>
            <w:hideMark/>
          </w:tcPr>
          <w:p w14:paraId="2C831FCE" w14:textId="1DBCE403" w:rsidR="00554B7B" w:rsidRDefault="0063559F" w:rsidP="00FE4D59">
            <w:pPr>
              <w:spacing w:after="120"/>
              <w:jc w:val="right"/>
              <w:rPr>
                <w:rFonts w:ascii="Calibri" w:hAnsi="Calibri" w:cs="Calibri"/>
                <w:b/>
                <w:bCs/>
                <w:color w:val="000000"/>
                <w:sz w:val="16"/>
                <w:szCs w:val="16"/>
              </w:rPr>
            </w:pPr>
            <w:r>
              <w:rPr>
                <w:rFonts w:ascii="Calibri" w:hAnsi="Calibri" w:cs="Calibri"/>
                <w:b/>
                <w:bCs/>
                <w:color w:val="000000"/>
                <w:sz w:val="16"/>
                <w:szCs w:val="16"/>
              </w:rPr>
              <w:t>(2.387.514)</w:t>
            </w:r>
          </w:p>
        </w:tc>
        <w:tc>
          <w:tcPr>
            <w:tcW w:w="597" w:type="pct"/>
            <w:tcBorders>
              <w:top w:val="nil"/>
              <w:left w:val="nil"/>
              <w:bottom w:val="single" w:sz="8" w:space="0" w:color="auto"/>
              <w:right w:val="nil"/>
            </w:tcBorders>
            <w:shd w:val="clear" w:color="auto" w:fill="auto"/>
            <w:noWrap/>
            <w:vAlign w:val="center"/>
            <w:hideMark/>
          </w:tcPr>
          <w:p w14:paraId="3D67E19A" w14:textId="4D008EA0" w:rsidR="00554B7B" w:rsidRDefault="00554B7B" w:rsidP="00FE4D59">
            <w:pPr>
              <w:spacing w:after="120"/>
              <w:jc w:val="right"/>
              <w:rPr>
                <w:rFonts w:ascii="Calibri" w:hAnsi="Calibri" w:cs="Calibri"/>
                <w:b/>
                <w:bCs/>
                <w:color w:val="000000"/>
                <w:sz w:val="16"/>
                <w:szCs w:val="16"/>
              </w:rPr>
            </w:pPr>
            <w:r>
              <w:rPr>
                <w:rFonts w:ascii="Calibri" w:hAnsi="Calibri" w:cs="Calibri"/>
                <w:b/>
                <w:bCs/>
                <w:color w:val="000000"/>
                <w:sz w:val="16"/>
                <w:szCs w:val="16"/>
              </w:rPr>
              <w:t>(</w:t>
            </w:r>
            <w:r w:rsidR="0063559F">
              <w:rPr>
                <w:rFonts w:ascii="Calibri" w:hAnsi="Calibri" w:cs="Calibri"/>
                <w:b/>
                <w:bCs/>
                <w:color w:val="000000"/>
                <w:sz w:val="16"/>
                <w:szCs w:val="16"/>
              </w:rPr>
              <w:t>1.824.347</w:t>
            </w:r>
            <w:r>
              <w:rPr>
                <w:rFonts w:ascii="Calibri" w:hAnsi="Calibri" w:cs="Calibri"/>
                <w:b/>
                <w:bCs/>
                <w:color w:val="000000"/>
                <w:sz w:val="16"/>
                <w:szCs w:val="16"/>
              </w:rPr>
              <w:t>)</w:t>
            </w:r>
          </w:p>
        </w:tc>
        <w:tc>
          <w:tcPr>
            <w:tcW w:w="595" w:type="pct"/>
            <w:tcBorders>
              <w:top w:val="nil"/>
              <w:left w:val="nil"/>
              <w:bottom w:val="single" w:sz="8" w:space="0" w:color="auto"/>
              <w:right w:val="nil"/>
            </w:tcBorders>
            <w:shd w:val="clear" w:color="auto" w:fill="auto"/>
            <w:noWrap/>
            <w:vAlign w:val="center"/>
            <w:hideMark/>
          </w:tcPr>
          <w:p w14:paraId="55469A86" w14:textId="1DB9ADE5" w:rsidR="00554B7B" w:rsidRDefault="001A2044" w:rsidP="00FE4D59">
            <w:pPr>
              <w:spacing w:after="120"/>
              <w:jc w:val="right"/>
              <w:rPr>
                <w:rFonts w:ascii="Calibri" w:hAnsi="Calibri" w:cs="Calibri"/>
                <w:b/>
                <w:bCs/>
                <w:color w:val="000000"/>
                <w:sz w:val="16"/>
                <w:szCs w:val="16"/>
              </w:rPr>
            </w:pPr>
            <w:r>
              <w:rPr>
                <w:rFonts w:ascii="Calibri" w:hAnsi="Calibri" w:cs="Calibri"/>
                <w:b/>
                <w:bCs/>
                <w:color w:val="000000"/>
                <w:sz w:val="16"/>
                <w:szCs w:val="16"/>
              </w:rPr>
              <w:t>18.200</w:t>
            </w:r>
            <w:r w:rsidR="00226A99">
              <w:rPr>
                <w:rFonts w:ascii="Calibri" w:hAnsi="Calibri" w:cs="Calibri"/>
                <w:b/>
                <w:bCs/>
                <w:color w:val="000000"/>
                <w:sz w:val="16"/>
                <w:szCs w:val="16"/>
              </w:rPr>
              <w:t>.</w:t>
            </w:r>
            <w:r>
              <w:rPr>
                <w:rFonts w:ascii="Calibri" w:hAnsi="Calibri" w:cs="Calibri"/>
                <w:b/>
                <w:bCs/>
                <w:color w:val="000000"/>
                <w:sz w:val="16"/>
                <w:szCs w:val="16"/>
              </w:rPr>
              <w:t>000</w:t>
            </w:r>
          </w:p>
        </w:tc>
      </w:tr>
      <w:tr w:rsidR="00621A14" w14:paraId="270D4A9D" w14:textId="77777777" w:rsidTr="00621A14">
        <w:trPr>
          <w:trHeight w:hRule="exact" w:val="227"/>
        </w:trPr>
        <w:tc>
          <w:tcPr>
            <w:tcW w:w="1622" w:type="pct"/>
            <w:tcBorders>
              <w:top w:val="nil"/>
              <w:left w:val="nil"/>
              <w:bottom w:val="single" w:sz="8" w:space="0" w:color="auto"/>
              <w:right w:val="nil"/>
            </w:tcBorders>
            <w:shd w:val="clear" w:color="auto" w:fill="auto"/>
            <w:noWrap/>
            <w:vAlign w:val="center"/>
          </w:tcPr>
          <w:p w14:paraId="487FF672" w14:textId="0D62A0DC" w:rsidR="00621A14" w:rsidRPr="001A2044" w:rsidRDefault="00621A14" w:rsidP="00621A14">
            <w:pPr>
              <w:spacing w:after="120"/>
              <w:rPr>
                <w:rFonts w:ascii="Calibri" w:hAnsi="Calibri" w:cs="Calibri"/>
                <w:color w:val="000000"/>
                <w:sz w:val="16"/>
                <w:szCs w:val="16"/>
              </w:rPr>
            </w:pPr>
            <w:r w:rsidRPr="001A2044">
              <w:rPr>
                <w:rFonts w:ascii="Calibri" w:hAnsi="Calibri" w:cs="Calibri"/>
                <w:color w:val="000000"/>
                <w:sz w:val="16"/>
                <w:szCs w:val="16"/>
              </w:rPr>
              <w:t>Passivo de Arrendamento Circulante</w:t>
            </w:r>
          </w:p>
        </w:tc>
        <w:tc>
          <w:tcPr>
            <w:tcW w:w="691" w:type="pct"/>
            <w:tcBorders>
              <w:top w:val="nil"/>
              <w:left w:val="nil"/>
              <w:bottom w:val="single" w:sz="8" w:space="0" w:color="auto"/>
              <w:right w:val="nil"/>
            </w:tcBorders>
            <w:shd w:val="clear" w:color="auto" w:fill="auto"/>
            <w:noWrap/>
            <w:vAlign w:val="center"/>
          </w:tcPr>
          <w:p w14:paraId="701E56D7" w14:textId="22EB1FD4" w:rsidR="00621A14" w:rsidRPr="001A2044" w:rsidRDefault="00621A14" w:rsidP="00621A14">
            <w:pPr>
              <w:spacing w:after="120"/>
              <w:jc w:val="right"/>
              <w:rPr>
                <w:rFonts w:ascii="Calibri" w:hAnsi="Calibri" w:cs="Calibri"/>
                <w:color w:val="000000"/>
                <w:sz w:val="16"/>
                <w:szCs w:val="16"/>
              </w:rPr>
            </w:pPr>
            <w:r w:rsidRPr="001A2044">
              <w:rPr>
                <w:rFonts w:ascii="Calibri" w:hAnsi="Calibri" w:cs="Calibri"/>
                <w:color w:val="000000"/>
                <w:sz w:val="16"/>
                <w:szCs w:val="16"/>
              </w:rPr>
              <w:t>4.721.400</w:t>
            </w:r>
          </w:p>
        </w:tc>
        <w:tc>
          <w:tcPr>
            <w:tcW w:w="830" w:type="pct"/>
            <w:tcBorders>
              <w:top w:val="nil"/>
              <w:left w:val="nil"/>
              <w:bottom w:val="single" w:sz="8" w:space="0" w:color="auto"/>
              <w:right w:val="nil"/>
            </w:tcBorders>
            <w:shd w:val="clear" w:color="auto" w:fill="auto"/>
            <w:noWrap/>
            <w:vAlign w:val="center"/>
          </w:tcPr>
          <w:p w14:paraId="56F677BB" w14:textId="77777777" w:rsidR="00621A14" w:rsidRPr="001A2044" w:rsidRDefault="00621A14" w:rsidP="00621A14">
            <w:pPr>
              <w:spacing w:after="120"/>
              <w:jc w:val="right"/>
              <w:rPr>
                <w:rFonts w:ascii="Calibri" w:hAnsi="Calibri" w:cs="Calibri"/>
                <w:color w:val="000000"/>
                <w:sz w:val="16"/>
                <w:szCs w:val="16"/>
              </w:rPr>
            </w:pPr>
          </w:p>
        </w:tc>
        <w:tc>
          <w:tcPr>
            <w:tcW w:w="665" w:type="pct"/>
            <w:tcBorders>
              <w:top w:val="nil"/>
              <w:left w:val="nil"/>
              <w:bottom w:val="single" w:sz="8" w:space="0" w:color="auto"/>
              <w:right w:val="nil"/>
            </w:tcBorders>
            <w:shd w:val="clear" w:color="auto" w:fill="auto"/>
            <w:noWrap/>
            <w:vAlign w:val="center"/>
          </w:tcPr>
          <w:p w14:paraId="485C2410" w14:textId="77777777" w:rsidR="00621A14" w:rsidRPr="001A2044" w:rsidRDefault="00621A14" w:rsidP="00621A14">
            <w:pPr>
              <w:spacing w:after="120"/>
              <w:jc w:val="right"/>
              <w:rPr>
                <w:rFonts w:ascii="Calibri" w:hAnsi="Calibri" w:cs="Calibri"/>
                <w:color w:val="000000"/>
                <w:sz w:val="16"/>
                <w:szCs w:val="16"/>
              </w:rPr>
            </w:pPr>
          </w:p>
        </w:tc>
        <w:tc>
          <w:tcPr>
            <w:tcW w:w="597" w:type="pct"/>
            <w:tcBorders>
              <w:top w:val="nil"/>
              <w:left w:val="nil"/>
              <w:bottom w:val="single" w:sz="8" w:space="0" w:color="auto"/>
              <w:right w:val="nil"/>
            </w:tcBorders>
            <w:shd w:val="clear" w:color="auto" w:fill="auto"/>
            <w:noWrap/>
            <w:vAlign w:val="center"/>
          </w:tcPr>
          <w:p w14:paraId="11E05F91" w14:textId="77777777" w:rsidR="00621A14" w:rsidRPr="001A2044" w:rsidRDefault="00621A14" w:rsidP="00621A14">
            <w:pPr>
              <w:spacing w:after="120"/>
              <w:jc w:val="right"/>
              <w:rPr>
                <w:rFonts w:ascii="Calibri" w:hAnsi="Calibri" w:cs="Calibri"/>
                <w:color w:val="000000"/>
                <w:sz w:val="16"/>
                <w:szCs w:val="16"/>
              </w:rPr>
            </w:pPr>
          </w:p>
        </w:tc>
        <w:tc>
          <w:tcPr>
            <w:tcW w:w="595" w:type="pct"/>
            <w:tcBorders>
              <w:top w:val="nil"/>
              <w:left w:val="nil"/>
              <w:bottom w:val="single" w:sz="8" w:space="0" w:color="auto"/>
              <w:right w:val="nil"/>
            </w:tcBorders>
            <w:shd w:val="clear" w:color="auto" w:fill="auto"/>
            <w:noWrap/>
            <w:vAlign w:val="center"/>
          </w:tcPr>
          <w:p w14:paraId="67BF0AC6" w14:textId="764D3DEC" w:rsidR="00621A14" w:rsidRPr="001A2044" w:rsidRDefault="001A2044" w:rsidP="00621A14">
            <w:pPr>
              <w:spacing w:after="120"/>
              <w:jc w:val="right"/>
              <w:rPr>
                <w:rFonts w:ascii="Calibri" w:hAnsi="Calibri" w:cs="Calibri"/>
                <w:color w:val="000000"/>
                <w:sz w:val="16"/>
                <w:szCs w:val="16"/>
              </w:rPr>
            </w:pPr>
            <w:r w:rsidRPr="001A2044">
              <w:rPr>
                <w:rFonts w:ascii="Calibri" w:hAnsi="Calibri" w:cs="Calibri"/>
                <w:color w:val="000000"/>
                <w:sz w:val="16"/>
                <w:szCs w:val="16"/>
              </w:rPr>
              <w:t>4.200.000</w:t>
            </w:r>
          </w:p>
        </w:tc>
      </w:tr>
      <w:tr w:rsidR="00621A14" w14:paraId="1D3E7909" w14:textId="77777777" w:rsidTr="00621A14">
        <w:trPr>
          <w:trHeight w:hRule="exact" w:val="227"/>
        </w:trPr>
        <w:tc>
          <w:tcPr>
            <w:tcW w:w="1622" w:type="pct"/>
            <w:tcBorders>
              <w:top w:val="nil"/>
              <w:left w:val="nil"/>
              <w:bottom w:val="single" w:sz="8" w:space="0" w:color="auto"/>
              <w:right w:val="nil"/>
            </w:tcBorders>
            <w:shd w:val="clear" w:color="auto" w:fill="auto"/>
            <w:noWrap/>
            <w:vAlign w:val="center"/>
          </w:tcPr>
          <w:p w14:paraId="0FD80B21" w14:textId="02F0719D" w:rsidR="00621A14" w:rsidRPr="001A2044" w:rsidRDefault="00621A14" w:rsidP="00621A14">
            <w:pPr>
              <w:spacing w:after="120"/>
              <w:rPr>
                <w:rFonts w:ascii="Calibri" w:hAnsi="Calibri" w:cs="Calibri"/>
                <w:color w:val="000000"/>
                <w:sz w:val="16"/>
                <w:szCs w:val="16"/>
              </w:rPr>
            </w:pPr>
            <w:r w:rsidRPr="001A2044">
              <w:rPr>
                <w:rFonts w:ascii="Calibri" w:hAnsi="Calibri" w:cs="Calibri"/>
                <w:color w:val="000000"/>
                <w:sz w:val="16"/>
                <w:szCs w:val="16"/>
              </w:rPr>
              <w:t>Passivo de Arrendamento Não Circulante</w:t>
            </w:r>
          </w:p>
        </w:tc>
        <w:tc>
          <w:tcPr>
            <w:tcW w:w="691" w:type="pct"/>
            <w:tcBorders>
              <w:top w:val="nil"/>
              <w:left w:val="nil"/>
              <w:bottom w:val="single" w:sz="8" w:space="0" w:color="auto"/>
              <w:right w:val="nil"/>
            </w:tcBorders>
            <w:shd w:val="clear" w:color="auto" w:fill="auto"/>
            <w:noWrap/>
            <w:vAlign w:val="center"/>
          </w:tcPr>
          <w:p w14:paraId="6E2FBD90" w14:textId="3130D1BF" w:rsidR="00621A14" w:rsidRPr="001A2044" w:rsidRDefault="00621A14" w:rsidP="00621A14">
            <w:pPr>
              <w:spacing w:after="120"/>
              <w:jc w:val="right"/>
              <w:rPr>
                <w:rFonts w:ascii="Calibri" w:hAnsi="Calibri" w:cs="Calibri"/>
                <w:color w:val="000000"/>
                <w:sz w:val="16"/>
                <w:szCs w:val="16"/>
              </w:rPr>
            </w:pPr>
            <w:r w:rsidRPr="001A2044">
              <w:rPr>
                <w:rFonts w:ascii="Calibri" w:hAnsi="Calibri" w:cs="Calibri"/>
                <w:color w:val="000000"/>
                <w:sz w:val="16"/>
                <w:szCs w:val="16"/>
              </w:rPr>
              <w:t>16.949.900</w:t>
            </w:r>
          </w:p>
        </w:tc>
        <w:tc>
          <w:tcPr>
            <w:tcW w:w="830" w:type="pct"/>
            <w:tcBorders>
              <w:top w:val="nil"/>
              <w:left w:val="nil"/>
              <w:bottom w:val="single" w:sz="8" w:space="0" w:color="auto"/>
              <w:right w:val="nil"/>
            </w:tcBorders>
            <w:shd w:val="clear" w:color="auto" w:fill="auto"/>
            <w:noWrap/>
            <w:vAlign w:val="center"/>
          </w:tcPr>
          <w:p w14:paraId="38882F94" w14:textId="77777777" w:rsidR="00621A14" w:rsidRPr="001A2044" w:rsidRDefault="00621A14" w:rsidP="00621A14">
            <w:pPr>
              <w:spacing w:after="120"/>
              <w:jc w:val="right"/>
              <w:rPr>
                <w:rFonts w:ascii="Calibri" w:hAnsi="Calibri" w:cs="Calibri"/>
                <w:color w:val="000000"/>
                <w:sz w:val="16"/>
                <w:szCs w:val="16"/>
              </w:rPr>
            </w:pPr>
          </w:p>
        </w:tc>
        <w:tc>
          <w:tcPr>
            <w:tcW w:w="665" w:type="pct"/>
            <w:tcBorders>
              <w:top w:val="nil"/>
              <w:left w:val="nil"/>
              <w:bottom w:val="single" w:sz="8" w:space="0" w:color="auto"/>
              <w:right w:val="nil"/>
            </w:tcBorders>
            <w:shd w:val="clear" w:color="auto" w:fill="auto"/>
            <w:noWrap/>
            <w:vAlign w:val="center"/>
          </w:tcPr>
          <w:p w14:paraId="5B961AC1" w14:textId="77777777" w:rsidR="00621A14" w:rsidRPr="001A2044" w:rsidRDefault="00621A14" w:rsidP="00621A14">
            <w:pPr>
              <w:spacing w:after="120"/>
              <w:jc w:val="right"/>
              <w:rPr>
                <w:rFonts w:ascii="Calibri" w:hAnsi="Calibri" w:cs="Calibri"/>
                <w:color w:val="000000"/>
                <w:sz w:val="16"/>
                <w:szCs w:val="16"/>
              </w:rPr>
            </w:pPr>
          </w:p>
        </w:tc>
        <w:tc>
          <w:tcPr>
            <w:tcW w:w="597" w:type="pct"/>
            <w:tcBorders>
              <w:top w:val="nil"/>
              <w:left w:val="nil"/>
              <w:bottom w:val="single" w:sz="8" w:space="0" w:color="auto"/>
              <w:right w:val="nil"/>
            </w:tcBorders>
            <w:shd w:val="clear" w:color="auto" w:fill="auto"/>
            <w:noWrap/>
            <w:vAlign w:val="center"/>
          </w:tcPr>
          <w:p w14:paraId="288D3DB9" w14:textId="77777777" w:rsidR="00621A14" w:rsidRPr="001A2044" w:rsidRDefault="00621A14" w:rsidP="00621A14">
            <w:pPr>
              <w:spacing w:after="120"/>
              <w:jc w:val="right"/>
              <w:rPr>
                <w:rFonts w:ascii="Calibri" w:hAnsi="Calibri" w:cs="Calibri"/>
                <w:color w:val="000000"/>
                <w:sz w:val="16"/>
                <w:szCs w:val="16"/>
              </w:rPr>
            </w:pPr>
          </w:p>
        </w:tc>
        <w:tc>
          <w:tcPr>
            <w:tcW w:w="595" w:type="pct"/>
            <w:tcBorders>
              <w:top w:val="nil"/>
              <w:left w:val="nil"/>
              <w:bottom w:val="single" w:sz="8" w:space="0" w:color="auto"/>
              <w:right w:val="nil"/>
            </w:tcBorders>
            <w:shd w:val="clear" w:color="auto" w:fill="auto"/>
            <w:noWrap/>
            <w:vAlign w:val="center"/>
          </w:tcPr>
          <w:p w14:paraId="4D85B35B" w14:textId="56961FE4" w:rsidR="00621A14" w:rsidRPr="001A2044" w:rsidRDefault="001A2044" w:rsidP="00621A14">
            <w:pPr>
              <w:spacing w:after="120"/>
              <w:jc w:val="right"/>
              <w:rPr>
                <w:rFonts w:ascii="Calibri" w:hAnsi="Calibri" w:cs="Calibri"/>
                <w:color w:val="000000"/>
                <w:sz w:val="16"/>
                <w:szCs w:val="16"/>
              </w:rPr>
            </w:pPr>
            <w:r w:rsidRPr="001A2044">
              <w:rPr>
                <w:rFonts w:ascii="Calibri" w:hAnsi="Calibri" w:cs="Calibri"/>
                <w:color w:val="000000"/>
                <w:sz w:val="16"/>
                <w:szCs w:val="16"/>
              </w:rPr>
              <w:t>14.000.000</w:t>
            </w:r>
          </w:p>
        </w:tc>
      </w:tr>
      <w:tr w:rsidR="00621A14" w14:paraId="5FAEE3E2" w14:textId="77777777" w:rsidTr="00621A14">
        <w:trPr>
          <w:trHeight w:hRule="exact" w:val="227"/>
        </w:trPr>
        <w:tc>
          <w:tcPr>
            <w:tcW w:w="1622" w:type="pct"/>
            <w:tcBorders>
              <w:top w:val="nil"/>
              <w:left w:val="nil"/>
              <w:bottom w:val="single" w:sz="8" w:space="0" w:color="auto"/>
              <w:right w:val="nil"/>
            </w:tcBorders>
            <w:shd w:val="clear" w:color="auto" w:fill="auto"/>
            <w:noWrap/>
            <w:vAlign w:val="center"/>
          </w:tcPr>
          <w:p w14:paraId="1C60128E" w14:textId="5C7898E3" w:rsidR="00621A14" w:rsidRDefault="00621A14" w:rsidP="00621A14">
            <w:pPr>
              <w:spacing w:after="120"/>
              <w:rPr>
                <w:rFonts w:ascii="Calibri" w:hAnsi="Calibri" w:cs="Calibri"/>
                <w:b/>
                <w:bCs/>
                <w:color w:val="000000"/>
                <w:sz w:val="16"/>
                <w:szCs w:val="16"/>
              </w:rPr>
            </w:pPr>
            <w:r>
              <w:rPr>
                <w:rFonts w:ascii="Calibri" w:hAnsi="Calibri" w:cs="Calibri"/>
                <w:b/>
                <w:bCs/>
                <w:color w:val="000000"/>
                <w:sz w:val="16"/>
                <w:szCs w:val="16"/>
              </w:rPr>
              <w:t>JUROS A TRANSCORRER (REDUTORA)</w:t>
            </w:r>
          </w:p>
        </w:tc>
        <w:tc>
          <w:tcPr>
            <w:tcW w:w="691" w:type="pct"/>
            <w:tcBorders>
              <w:top w:val="nil"/>
              <w:left w:val="nil"/>
              <w:bottom w:val="single" w:sz="8" w:space="0" w:color="auto"/>
              <w:right w:val="nil"/>
            </w:tcBorders>
            <w:shd w:val="clear" w:color="auto" w:fill="auto"/>
            <w:noWrap/>
            <w:vAlign w:val="center"/>
          </w:tcPr>
          <w:p w14:paraId="2CB49F70" w14:textId="38EB5C09" w:rsidR="00621A14" w:rsidRDefault="00621A14" w:rsidP="00621A14">
            <w:pPr>
              <w:spacing w:after="120"/>
              <w:jc w:val="right"/>
              <w:rPr>
                <w:rFonts w:ascii="Calibri" w:hAnsi="Calibri" w:cs="Calibri"/>
                <w:b/>
                <w:bCs/>
                <w:color w:val="000000"/>
                <w:sz w:val="16"/>
                <w:szCs w:val="16"/>
              </w:rPr>
            </w:pPr>
            <w:r>
              <w:rPr>
                <w:rFonts w:ascii="Calibri" w:hAnsi="Calibri" w:cs="Calibri"/>
                <w:b/>
                <w:bCs/>
                <w:color w:val="000000"/>
                <w:sz w:val="16"/>
                <w:szCs w:val="16"/>
              </w:rPr>
              <w:t>0</w:t>
            </w:r>
          </w:p>
        </w:tc>
        <w:tc>
          <w:tcPr>
            <w:tcW w:w="830" w:type="pct"/>
            <w:tcBorders>
              <w:top w:val="nil"/>
              <w:left w:val="nil"/>
              <w:bottom w:val="single" w:sz="8" w:space="0" w:color="auto"/>
              <w:right w:val="nil"/>
            </w:tcBorders>
            <w:shd w:val="clear" w:color="auto" w:fill="auto"/>
            <w:noWrap/>
            <w:vAlign w:val="center"/>
          </w:tcPr>
          <w:p w14:paraId="28555AF7" w14:textId="11B673DD" w:rsidR="00621A14" w:rsidRDefault="0063559F" w:rsidP="00621A14">
            <w:pPr>
              <w:spacing w:after="120"/>
              <w:jc w:val="right"/>
              <w:rPr>
                <w:rFonts w:ascii="Calibri" w:hAnsi="Calibri" w:cs="Calibri"/>
                <w:b/>
                <w:bCs/>
                <w:color w:val="000000"/>
                <w:sz w:val="16"/>
                <w:szCs w:val="16"/>
              </w:rPr>
            </w:pPr>
            <w:r>
              <w:rPr>
                <w:rFonts w:ascii="Calibri" w:hAnsi="Calibri" w:cs="Calibri"/>
                <w:b/>
                <w:bCs/>
                <w:color w:val="000000"/>
                <w:sz w:val="16"/>
                <w:szCs w:val="16"/>
              </w:rPr>
              <w:t>(697.604)</w:t>
            </w:r>
          </w:p>
        </w:tc>
        <w:tc>
          <w:tcPr>
            <w:tcW w:w="665" w:type="pct"/>
            <w:tcBorders>
              <w:top w:val="nil"/>
              <w:left w:val="nil"/>
              <w:bottom w:val="single" w:sz="8" w:space="0" w:color="auto"/>
              <w:right w:val="nil"/>
            </w:tcBorders>
            <w:shd w:val="clear" w:color="auto" w:fill="auto"/>
            <w:noWrap/>
            <w:vAlign w:val="center"/>
          </w:tcPr>
          <w:p w14:paraId="6D8F6FF3" w14:textId="01DBBB93" w:rsidR="00621A14" w:rsidRDefault="001A2044" w:rsidP="00621A14">
            <w:pPr>
              <w:spacing w:after="120"/>
              <w:jc w:val="right"/>
              <w:rPr>
                <w:rFonts w:ascii="Calibri" w:hAnsi="Calibri" w:cs="Calibri"/>
                <w:b/>
                <w:bCs/>
                <w:color w:val="000000"/>
                <w:sz w:val="16"/>
                <w:szCs w:val="16"/>
              </w:rPr>
            </w:pPr>
            <w:r>
              <w:rPr>
                <w:rFonts w:ascii="Calibri" w:hAnsi="Calibri" w:cs="Calibri"/>
                <w:b/>
                <w:bCs/>
                <w:color w:val="000000"/>
                <w:sz w:val="16"/>
                <w:szCs w:val="16"/>
              </w:rPr>
              <w:t>(3.904.490)</w:t>
            </w:r>
          </w:p>
        </w:tc>
        <w:tc>
          <w:tcPr>
            <w:tcW w:w="597" w:type="pct"/>
            <w:tcBorders>
              <w:top w:val="nil"/>
              <w:left w:val="nil"/>
              <w:bottom w:val="single" w:sz="8" w:space="0" w:color="auto"/>
              <w:right w:val="nil"/>
            </w:tcBorders>
            <w:shd w:val="clear" w:color="auto" w:fill="auto"/>
            <w:noWrap/>
            <w:vAlign w:val="center"/>
          </w:tcPr>
          <w:p w14:paraId="32C69C4A" w14:textId="568D930A" w:rsidR="00621A14" w:rsidRDefault="001A2044" w:rsidP="00621A14">
            <w:pPr>
              <w:spacing w:after="120"/>
              <w:jc w:val="right"/>
              <w:rPr>
                <w:rFonts w:ascii="Calibri" w:hAnsi="Calibri" w:cs="Calibri"/>
                <w:b/>
                <w:bCs/>
                <w:color w:val="000000"/>
                <w:sz w:val="16"/>
                <w:szCs w:val="16"/>
              </w:rPr>
            </w:pPr>
            <w:r>
              <w:rPr>
                <w:rFonts w:ascii="Calibri" w:hAnsi="Calibri" w:cs="Calibri"/>
                <w:b/>
                <w:bCs/>
                <w:color w:val="000000"/>
                <w:sz w:val="16"/>
                <w:szCs w:val="16"/>
              </w:rPr>
              <w:t>357.701</w:t>
            </w:r>
          </w:p>
        </w:tc>
        <w:tc>
          <w:tcPr>
            <w:tcW w:w="595" w:type="pct"/>
            <w:tcBorders>
              <w:top w:val="nil"/>
              <w:left w:val="nil"/>
              <w:bottom w:val="single" w:sz="8" w:space="0" w:color="auto"/>
              <w:right w:val="nil"/>
            </w:tcBorders>
            <w:shd w:val="clear" w:color="auto" w:fill="auto"/>
            <w:noWrap/>
            <w:vAlign w:val="center"/>
          </w:tcPr>
          <w:p w14:paraId="086682A7" w14:textId="7AC14301" w:rsidR="00621A14" w:rsidRDefault="001A2044" w:rsidP="00621A14">
            <w:pPr>
              <w:spacing w:after="120"/>
              <w:jc w:val="right"/>
              <w:rPr>
                <w:rFonts w:ascii="Calibri" w:hAnsi="Calibri" w:cs="Calibri"/>
                <w:b/>
                <w:bCs/>
                <w:color w:val="000000"/>
                <w:sz w:val="16"/>
                <w:szCs w:val="16"/>
              </w:rPr>
            </w:pPr>
            <w:r>
              <w:rPr>
                <w:rFonts w:ascii="Calibri" w:hAnsi="Calibri" w:cs="Calibri"/>
                <w:b/>
                <w:bCs/>
                <w:color w:val="000000"/>
                <w:sz w:val="16"/>
                <w:szCs w:val="16"/>
              </w:rPr>
              <w:t>(4.244.393)</w:t>
            </w:r>
          </w:p>
        </w:tc>
      </w:tr>
      <w:tr w:rsidR="00621A14" w14:paraId="64484661" w14:textId="77777777" w:rsidTr="00621A14">
        <w:trPr>
          <w:trHeight w:hRule="exact" w:val="227"/>
        </w:trPr>
        <w:tc>
          <w:tcPr>
            <w:tcW w:w="1622" w:type="pct"/>
            <w:tcBorders>
              <w:top w:val="nil"/>
              <w:left w:val="nil"/>
              <w:bottom w:val="single" w:sz="8" w:space="0" w:color="auto"/>
              <w:right w:val="nil"/>
            </w:tcBorders>
            <w:shd w:val="clear" w:color="auto" w:fill="auto"/>
            <w:noWrap/>
            <w:vAlign w:val="center"/>
          </w:tcPr>
          <w:p w14:paraId="6E7BD2BE" w14:textId="2D222B85" w:rsidR="00621A14" w:rsidRPr="00621A14" w:rsidRDefault="00621A14" w:rsidP="00621A14">
            <w:pPr>
              <w:spacing w:after="120"/>
              <w:rPr>
                <w:rFonts w:ascii="Calibri" w:hAnsi="Calibri" w:cs="Calibri"/>
                <w:color w:val="000000"/>
                <w:sz w:val="16"/>
                <w:szCs w:val="16"/>
              </w:rPr>
            </w:pPr>
            <w:r w:rsidRPr="00621A14">
              <w:rPr>
                <w:rFonts w:ascii="Calibri" w:hAnsi="Calibri" w:cs="Calibri"/>
                <w:color w:val="000000"/>
                <w:sz w:val="16"/>
                <w:szCs w:val="16"/>
              </w:rPr>
              <w:t>Juros a Transcorrer Circulante</w:t>
            </w:r>
          </w:p>
        </w:tc>
        <w:tc>
          <w:tcPr>
            <w:tcW w:w="691" w:type="pct"/>
            <w:tcBorders>
              <w:top w:val="nil"/>
              <w:left w:val="nil"/>
              <w:bottom w:val="single" w:sz="8" w:space="0" w:color="auto"/>
              <w:right w:val="nil"/>
            </w:tcBorders>
            <w:shd w:val="clear" w:color="auto" w:fill="auto"/>
            <w:noWrap/>
            <w:vAlign w:val="center"/>
          </w:tcPr>
          <w:p w14:paraId="1F50C553" w14:textId="3836A255" w:rsidR="00621A14" w:rsidRPr="00621A14" w:rsidRDefault="00621A14" w:rsidP="00621A14">
            <w:pPr>
              <w:spacing w:after="120"/>
              <w:jc w:val="right"/>
              <w:rPr>
                <w:rFonts w:ascii="Calibri" w:hAnsi="Calibri" w:cs="Calibri"/>
                <w:color w:val="000000"/>
                <w:sz w:val="16"/>
                <w:szCs w:val="16"/>
              </w:rPr>
            </w:pPr>
            <w:r w:rsidRPr="00621A14">
              <w:rPr>
                <w:rFonts w:ascii="Calibri" w:hAnsi="Calibri" w:cs="Calibri"/>
                <w:color w:val="000000"/>
                <w:sz w:val="16"/>
                <w:szCs w:val="16"/>
              </w:rPr>
              <w:t>0</w:t>
            </w:r>
          </w:p>
        </w:tc>
        <w:tc>
          <w:tcPr>
            <w:tcW w:w="830" w:type="pct"/>
            <w:tcBorders>
              <w:top w:val="nil"/>
              <w:left w:val="nil"/>
              <w:bottom w:val="single" w:sz="8" w:space="0" w:color="auto"/>
              <w:right w:val="nil"/>
            </w:tcBorders>
            <w:shd w:val="clear" w:color="auto" w:fill="auto"/>
            <w:noWrap/>
            <w:vAlign w:val="center"/>
          </w:tcPr>
          <w:p w14:paraId="78AED631" w14:textId="5CC8D9C9" w:rsidR="00621A14" w:rsidRPr="00621A14" w:rsidRDefault="00621A14" w:rsidP="00621A14">
            <w:pPr>
              <w:spacing w:after="120"/>
              <w:jc w:val="right"/>
              <w:rPr>
                <w:rFonts w:ascii="Calibri" w:hAnsi="Calibri" w:cs="Calibri"/>
                <w:color w:val="000000"/>
                <w:sz w:val="16"/>
                <w:szCs w:val="16"/>
              </w:rPr>
            </w:pPr>
            <w:r>
              <w:rPr>
                <w:rFonts w:ascii="Calibri" w:hAnsi="Calibri" w:cs="Calibri"/>
                <w:color w:val="000000"/>
                <w:sz w:val="16"/>
                <w:szCs w:val="16"/>
              </w:rPr>
              <w:t>(</w:t>
            </w:r>
            <w:r w:rsidR="0063559F">
              <w:rPr>
                <w:rFonts w:ascii="Calibri" w:hAnsi="Calibri" w:cs="Calibri"/>
                <w:color w:val="000000"/>
                <w:sz w:val="16"/>
                <w:szCs w:val="16"/>
              </w:rPr>
              <w:t>157.478)</w:t>
            </w:r>
          </w:p>
        </w:tc>
        <w:tc>
          <w:tcPr>
            <w:tcW w:w="665" w:type="pct"/>
            <w:tcBorders>
              <w:top w:val="nil"/>
              <w:left w:val="nil"/>
              <w:bottom w:val="single" w:sz="8" w:space="0" w:color="auto"/>
              <w:right w:val="nil"/>
            </w:tcBorders>
            <w:shd w:val="clear" w:color="auto" w:fill="auto"/>
            <w:noWrap/>
            <w:vAlign w:val="center"/>
          </w:tcPr>
          <w:p w14:paraId="665C1C38" w14:textId="447E6C15" w:rsidR="00621A14" w:rsidRPr="00621A14" w:rsidRDefault="00621A14" w:rsidP="00621A14">
            <w:pPr>
              <w:spacing w:after="120"/>
              <w:jc w:val="right"/>
              <w:rPr>
                <w:rFonts w:ascii="Calibri" w:hAnsi="Calibri" w:cs="Calibri"/>
                <w:color w:val="000000"/>
                <w:sz w:val="16"/>
                <w:szCs w:val="16"/>
              </w:rPr>
            </w:pPr>
            <w:r>
              <w:rPr>
                <w:rFonts w:ascii="Calibri" w:hAnsi="Calibri" w:cs="Calibri"/>
                <w:color w:val="000000"/>
                <w:sz w:val="16"/>
                <w:szCs w:val="16"/>
              </w:rPr>
              <w:t>(</w:t>
            </w:r>
            <w:r w:rsidR="001A2044">
              <w:rPr>
                <w:rFonts w:ascii="Calibri" w:hAnsi="Calibri" w:cs="Calibri"/>
                <w:color w:val="000000"/>
                <w:sz w:val="16"/>
                <w:szCs w:val="16"/>
              </w:rPr>
              <w:t>1.179.699</w:t>
            </w:r>
            <w:r>
              <w:rPr>
                <w:rFonts w:ascii="Calibri" w:hAnsi="Calibri" w:cs="Calibri"/>
                <w:color w:val="000000"/>
                <w:sz w:val="16"/>
                <w:szCs w:val="16"/>
              </w:rPr>
              <w:t>)</w:t>
            </w:r>
          </w:p>
        </w:tc>
        <w:tc>
          <w:tcPr>
            <w:tcW w:w="597" w:type="pct"/>
            <w:tcBorders>
              <w:top w:val="nil"/>
              <w:left w:val="nil"/>
              <w:bottom w:val="single" w:sz="8" w:space="0" w:color="auto"/>
              <w:right w:val="nil"/>
            </w:tcBorders>
            <w:shd w:val="clear" w:color="auto" w:fill="auto"/>
            <w:noWrap/>
            <w:vAlign w:val="center"/>
          </w:tcPr>
          <w:p w14:paraId="76B38B73" w14:textId="3AC17688" w:rsidR="00621A14" w:rsidRPr="00621A14" w:rsidRDefault="00C6385D" w:rsidP="00621A14">
            <w:pPr>
              <w:spacing w:after="120"/>
              <w:jc w:val="right"/>
              <w:rPr>
                <w:rFonts w:ascii="Calibri" w:hAnsi="Calibri" w:cs="Calibri"/>
                <w:color w:val="000000"/>
                <w:sz w:val="16"/>
                <w:szCs w:val="16"/>
              </w:rPr>
            </w:pPr>
            <w:r>
              <w:rPr>
                <w:rFonts w:ascii="Calibri" w:hAnsi="Calibri" w:cs="Calibri"/>
                <w:color w:val="000000"/>
                <w:sz w:val="16"/>
                <w:szCs w:val="16"/>
              </w:rPr>
              <w:t>357.701</w:t>
            </w:r>
          </w:p>
        </w:tc>
        <w:tc>
          <w:tcPr>
            <w:tcW w:w="595" w:type="pct"/>
            <w:tcBorders>
              <w:top w:val="nil"/>
              <w:left w:val="nil"/>
              <w:bottom w:val="single" w:sz="8" w:space="0" w:color="auto"/>
              <w:right w:val="nil"/>
            </w:tcBorders>
            <w:shd w:val="clear" w:color="auto" w:fill="auto"/>
            <w:noWrap/>
            <w:vAlign w:val="center"/>
          </w:tcPr>
          <w:p w14:paraId="60F9A553" w14:textId="5FD48F5F" w:rsidR="00621A14" w:rsidRPr="00621A14" w:rsidRDefault="001A2044" w:rsidP="00621A14">
            <w:pPr>
              <w:spacing w:after="120"/>
              <w:jc w:val="right"/>
              <w:rPr>
                <w:rFonts w:ascii="Calibri" w:hAnsi="Calibri" w:cs="Calibri"/>
                <w:color w:val="000000"/>
                <w:sz w:val="16"/>
                <w:szCs w:val="16"/>
              </w:rPr>
            </w:pPr>
            <w:r>
              <w:rPr>
                <w:rFonts w:ascii="Calibri" w:hAnsi="Calibri" w:cs="Calibri"/>
                <w:color w:val="000000"/>
                <w:sz w:val="16"/>
                <w:szCs w:val="16"/>
              </w:rPr>
              <w:t>(979.475)</w:t>
            </w:r>
          </w:p>
        </w:tc>
      </w:tr>
      <w:tr w:rsidR="00621A14" w14:paraId="5FB38814" w14:textId="77777777" w:rsidTr="00621A14">
        <w:trPr>
          <w:trHeight w:hRule="exact" w:val="227"/>
        </w:trPr>
        <w:tc>
          <w:tcPr>
            <w:tcW w:w="1622" w:type="pct"/>
            <w:tcBorders>
              <w:top w:val="nil"/>
              <w:left w:val="nil"/>
              <w:bottom w:val="single" w:sz="8" w:space="0" w:color="auto"/>
              <w:right w:val="nil"/>
            </w:tcBorders>
            <w:shd w:val="clear" w:color="auto" w:fill="auto"/>
            <w:noWrap/>
            <w:vAlign w:val="center"/>
          </w:tcPr>
          <w:p w14:paraId="5B8B7EF6" w14:textId="3BC101A0" w:rsidR="00621A14" w:rsidRPr="00621A14" w:rsidRDefault="00621A14" w:rsidP="00621A14">
            <w:pPr>
              <w:spacing w:after="120"/>
              <w:rPr>
                <w:rFonts w:ascii="Calibri" w:hAnsi="Calibri" w:cs="Calibri"/>
                <w:color w:val="000000"/>
                <w:sz w:val="16"/>
                <w:szCs w:val="16"/>
              </w:rPr>
            </w:pPr>
            <w:r w:rsidRPr="00621A14">
              <w:rPr>
                <w:rFonts w:ascii="Calibri" w:hAnsi="Calibri" w:cs="Calibri"/>
                <w:color w:val="000000"/>
                <w:sz w:val="16"/>
                <w:szCs w:val="16"/>
              </w:rPr>
              <w:t>Juros a Transcorrer Não Circulante</w:t>
            </w:r>
          </w:p>
        </w:tc>
        <w:tc>
          <w:tcPr>
            <w:tcW w:w="691" w:type="pct"/>
            <w:tcBorders>
              <w:top w:val="nil"/>
              <w:left w:val="nil"/>
              <w:bottom w:val="single" w:sz="8" w:space="0" w:color="auto"/>
              <w:right w:val="nil"/>
            </w:tcBorders>
            <w:shd w:val="clear" w:color="auto" w:fill="auto"/>
            <w:noWrap/>
            <w:vAlign w:val="center"/>
          </w:tcPr>
          <w:p w14:paraId="119283BA" w14:textId="22FE6149" w:rsidR="00621A14" w:rsidRPr="00621A14" w:rsidRDefault="00621A14" w:rsidP="00621A14">
            <w:pPr>
              <w:spacing w:after="120"/>
              <w:jc w:val="right"/>
              <w:rPr>
                <w:rFonts w:ascii="Calibri" w:hAnsi="Calibri" w:cs="Calibri"/>
                <w:color w:val="000000"/>
                <w:sz w:val="16"/>
                <w:szCs w:val="16"/>
              </w:rPr>
            </w:pPr>
            <w:r w:rsidRPr="00621A14">
              <w:rPr>
                <w:rFonts w:ascii="Calibri" w:hAnsi="Calibri" w:cs="Calibri"/>
                <w:color w:val="000000"/>
                <w:sz w:val="16"/>
                <w:szCs w:val="16"/>
              </w:rPr>
              <w:t>0</w:t>
            </w:r>
          </w:p>
        </w:tc>
        <w:tc>
          <w:tcPr>
            <w:tcW w:w="830" w:type="pct"/>
            <w:tcBorders>
              <w:top w:val="nil"/>
              <w:left w:val="nil"/>
              <w:bottom w:val="single" w:sz="8" w:space="0" w:color="auto"/>
              <w:right w:val="nil"/>
            </w:tcBorders>
            <w:shd w:val="clear" w:color="auto" w:fill="auto"/>
            <w:noWrap/>
            <w:vAlign w:val="center"/>
          </w:tcPr>
          <w:p w14:paraId="3CD440AD" w14:textId="6C945B89" w:rsidR="00621A14" w:rsidRPr="00621A14" w:rsidRDefault="0063559F" w:rsidP="00621A14">
            <w:pPr>
              <w:spacing w:after="120"/>
              <w:jc w:val="right"/>
              <w:rPr>
                <w:rFonts w:ascii="Calibri" w:hAnsi="Calibri" w:cs="Calibri"/>
                <w:color w:val="000000"/>
                <w:sz w:val="16"/>
                <w:szCs w:val="16"/>
              </w:rPr>
            </w:pPr>
            <w:r>
              <w:rPr>
                <w:rFonts w:ascii="Calibri" w:hAnsi="Calibri" w:cs="Calibri"/>
                <w:color w:val="000000"/>
                <w:sz w:val="16"/>
                <w:szCs w:val="16"/>
              </w:rPr>
              <w:t>(540.127)</w:t>
            </w:r>
          </w:p>
        </w:tc>
        <w:tc>
          <w:tcPr>
            <w:tcW w:w="665" w:type="pct"/>
            <w:tcBorders>
              <w:top w:val="nil"/>
              <w:left w:val="nil"/>
              <w:bottom w:val="single" w:sz="8" w:space="0" w:color="auto"/>
              <w:right w:val="nil"/>
            </w:tcBorders>
            <w:shd w:val="clear" w:color="auto" w:fill="auto"/>
            <w:noWrap/>
            <w:vAlign w:val="center"/>
          </w:tcPr>
          <w:p w14:paraId="35C1F8FA" w14:textId="039A4F1D" w:rsidR="00621A14" w:rsidRPr="00621A14" w:rsidRDefault="00621A14" w:rsidP="00621A14">
            <w:pPr>
              <w:spacing w:after="120"/>
              <w:jc w:val="right"/>
              <w:rPr>
                <w:rFonts w:ascii="Calibri" w:hAnsi="Calibri" w:cs="Calibri"/>
                <w:color w:val="000000"/>
                <w:sz w:val="16"/>
                <w:szCs w:val="16"/>
              </w:rPr>
            </w:pPr>
            <w:r>
              <w:rPr>
                <w:rFonts w:ascii="Calibri" w:hAnsi="Calibri" w:cs="Calibri"/>
                <w:color w:val="000000"/>
                <w:sz w:val="16"/>
                <w:szCs w:val="16"/>
              </w:rPr>
              <w:t>(</w:t>
            </w:r>
            <w:r w:rsidR="001A2044">
              <w:rPr>
                <w:rFonts w:ascii="Calibri" w:hAnsi="Calibri" w:cs="Calibri"/>
                <w:color w:val="000000"/>
                <w:sz w:val="16"/>
                <w:szCs w:val="16"/>
              </w:rPr>
              <w:t>2.724.791</w:t>
            </w:r>
            <w:r>
              <w:rPr>
                <w:rFonts w:ascii="Calibri" w:hAnsi="Calibri" w:cs="Calibri"/>
                <w:color w:val="000000"/>
                <w:sz w:val="16"/>
                <w:szCs w:val="16"/>
              </w:rPr>
              <w:t>)</w:t>
            </w:r>
          </w:p>
        </w:tc>
        <w:tc>
          <w:tcPr>
            <w:tcW w:w="597" w:type="pct"/>
            <w:tcBorders>
              <w:top w:val="nil"/>
              <w:left w:val="nil"/>
              <w:bottom w:val="single" w:sz="8" w:space="0" w:color="auto"/>
              <w:right w:val="nil"/>
            </w:tcBorders>
            <w:shd w:val="clear" w:color="auto" w:fill="auto"/>
            <w:noWrap/>
            <w:vAlign w:val="center"/>
          </w:tcPr>
          <w:p w14:paraId="6D795746" w14:textId="63346F07" w:rsidR="00621A14" w:rsidRPr="00621A14" w:rsidRDefault="001A2044" w:rsidP="00621A14">
            <w:pPr>
              <w:spacing w:after="120"/>
              <w:jc w:val="right"/>
              <w:rPr>
                <w:rFonts w:ascii="Calibri" w:hAnsi="Calibri" w:cs="Calibri"/>
                <w:color w:val="000000"/>
                <w:sz w:val="16"/>
                <w:szCs w:val="16"/>
              </w:rPr>
            </w:pPr>
            <w:r>
              <w:rPr>
                <w:rFonts w:ascii="Calibri" w:hAnsi="Calibri" w:cs="Calibri"/>
                <w:color w:val="000000"/>
                <w:sz w:val="16"/>
                <w:szCs w:val="16"/>
              </w:rPr>
              <w:t>0</w:t>
            </w:r>
          </w:p>
        </w:tc>
        <w:tc>
          <w:tcPr>
            <w:tcW w:w="595" w:type="pct"/>
            <w:tcBorders>
              <w:top w:val="nil"/>
              <w:left w:val="nil"/>
              <w:bottom w:val="single" w:sz="8" w:space="0" w:color="auto"/>
              <w:right w:val="nil"/>
            </w:tcBorders>
            <w:shd w:val="clear" w:color="auto" w:fill="auto"/>
            <w:noWrap/>
            <w:vAlign w:val="center"/>
          </w:tcPr>
          <w:p w14:paraId="63160B11" w14:textId="62560A35" w:rsidR="00621A14" w:rsidRPr="00621A14" w:rsidRDefault="001A2044" w:rsidP="00621A14">
            <w:pPr>
              <w:spacing w:after="120"/>
              <w:jc w:val="right"/>
              <w:rPr>
                <w:rFonts w:ascii="Calibri" w:hAnsi="Calibri" w:cs="Calibri"/>
                <w:color w:val="000000"/>
                <w:sz w:val="16"/>
                <w:szCs w:val="16"/>
              </w:rPr>
            </w:pPr>
            <w:r>
              <w:rPr>
                <w:rFonts w:ascii="Calibri" w:hAnsi="Calibri" w:cs="Calibri"/>
                <w:color w:val="000000"/>
                <w:sz w:val="16"/>
                <w:szCs w:val="16"/>
              </w:rPr>
              <w:t>(3.264.918)</w:t>
            </w:r>
          </w:p>
        </w:tc>
      </w:tr>
      <w:tr w:rsidR="0063559F" w14:paraId="02B55AF3" w14:textId="77777777" w:rsidTr="00621A14">
        <w:trPr>
          <w:trHeight w:hRule="exact" w:val="227"/>
        </w:trPr>
        <w:tc>
          <w:tcPr>
            <w:tcW w:w="1622" w:type="pct"/>
            <w:tcBorders>
              <w:top w:val="nil"/>
              <w:left w:val="nil"/>
              <w:bottom w:val="single" w:sz="8" w:space="0" w:color="auto"/>
              <w:right w:val="nil"/>
            </w:tcBorders>
            <w:shd w:val="clear" w:color="auto" w:fill="auto"/>
            <w:noWrap/>
            <w:vAlign w:val="center"/>
          </w:tcPr>
          <w:p w14:paraId="0D5ECBDE" w14:textId="786C75DA" w:rsidR="0063559F" w:rsidRDefault="0063559F" w:rsidP="0063559F">
            <w:pPr>
              <w:spacing w:after="120"/>
              <w:rPr>
                <w:rFonts w:ascii="Calibri" w:hAnsi="Calibri" w:cs="Calibri"/>
                <w:b/>
                <w:bCs/>
                <w:color w:val="000000"/>
                <w:sz w:val="16"/>
                <w:szCs w:val="16"/>
              </w:rPr>
            </w:pPr>
            <w:r>
              <w:rPr>
                <w:rFonts w:ascii="Calibri" w:hAnsi="Calibri" w:cs="Calibri"/>
                <w:b/>
                <w:bCs/>
                <w:color w:val="000000"/>
                <w:sz w:val="16"/>
                <w:szCs w:val="16"/>
              </w:rPr>
              <w:t>Passivo de Arrendamento Líquido Circulante</w:t>
            </w:r>
          </w:p>
        </w:tc>
        <w:tc>
          <w:tcPr>
            <w:tcW w:w="691" w:type="pct"/>
            <w:tcBorders>
              <w:top w:val="nil"/>
              <w:left w:val="nil"/>
              <w:bottom w:val="single" w:sz="8" w:space="0" w:color="auto"/>
              <w:right w:val="nil"/>
            </w:tcBorders>
            <w:shd w:val="clear" w:color="auto" w:fill="auto"/>
            <w:noWrap/>
            <w:vAlign w:val="center"/>
          </w:tcPr>
          <w:p w14:paraId="08BFB2EF" w14:textId="73F226B3" w:rsidR="0063559F" w:rsidRDefault="0063559F" w:rsidP="0063559F">
            <w:pPr>
              <w:spacing w:after="120"/>
              <w:jc w:val="right"/>
              <w:rPr>
                <w:rFonts w:ascii="Calibri" w:hAnsi="Calibri" w:cs="Calibri"/>
                <w:b/>
                <w:bCs/>
                <w:color w:val="000000"/>
                <w:sz w:val="16"/>
                <w:szCs w:val="16"/>
              </w:rPr>
            </w:pPr>
            <w:r>
              <w:rPr>
                <w:rFonts w:ascii="Calibri" w:hAnsi="Calibri" w:cs="Calibri"/>
                <w:b/>
                <w:bCs/>
                <w:color w:val="000000"/>
                <w:sz w:val="16"/>
                <w:szCs w:val="16"/>
              </w:rPr>
              <w:t>4.721.400</w:t>
            </w:r>
          </w:p>
        </w:tc>
        <w:tc>
          <w:tcPr>
            <w:tcW w:w="830" w:type="pct"/>
            <w:tcBorders>
              <w:top w:val="nil"/>
              <w:left w:val="nil"/>
              <w:bottom w:val="single" w:sz="8" w:space="0" w:color="auto"/>
              <w:right w:val="nil"/>
            </w:tcBorders>
            <w:shd w:val="clear" w:color="auto" w:fill="auto"/>
            <w:noWrap/>
            <w:vAlign w:val="center"/>
          </w:tcPr>
          <w:p w14:paraId="3D401F8A" w14:textId="77777777" w:rsidR="0063559F" w:rsidRDefault="0063559F" w:rsidP="0063559F">
            <w:pPr>
              <w:spacing w:after="120"/>
              <w:jc w:val="right"/>
              <w:rPr>
                <w:rFonts w:ascii="Calibri" w:hAnsi="Calibri" w:cs="Calibri"/>
                <w:b/>
                <w:bCs/>
                <w:color w:val="000000"/>
                <w:sz w:val="16"/>
                <w:szCs w:val="16"/>
              </w:rPr>
            </w:pPr>
          </w:p>
        </w:tc>
        <w:tc>
          <w:tcPr>
            <w:tcW w:w="665" w:type="pct"/>
            <w:tcBorders>
              <w:top w:val="nil"/>
              <w:left w:val="nil"/>
              <w:bottom w:val="single" w:sz="8" w:space="0" w:color="auto"/>
              <w:right w:val="nil"/>
            </w:tcBorders>
            <w:shd w:val="clear" w:color="auto" w:fill="auto"/>
            <w:noWrap/>
            <w:vAlign w:val="center"/>
          </w:tcPr>
          <w:p w14:paraId="6006CB1F" w14:textId="77777777" w:rsidR="0063559F" w:rsidRDefault="0063559F" w:rsidP="0063559F">
            <w:pPr>
              <w:spacing w:after="120"/>
              <w:jc w:val="right"/>
              <w:rPr>
                <w:rFonts w:ascii="Calibri" w:hAnsi="Calibri" w:cs="Calibri"/>
                <w:b/>
                <w:bCs/>
                <w:color w:val="000000"/>
                <w:sz w:val="16"/>
                <w:szCs w:val="16"/>
              </w:rPr>
            </w:pPr>
          </w:p>
        </w:tc>
        <w:tc>
          <w:tcPr>
            <w:tcW w:w="597" w:type="pct"/>
            <w:tcBorders>
              <w:top w:val="nil"/>
              <w:left w:val="nil"/>
              <w:bottom w:val="single" w:sz="8" w:space="0" w:color="auto"/>
              <w:right w:val="nil"/>
            </w:tcBorders>
            <w:shd w:val="clear" w:color="auto" w:fill="auto"/>
            <w:noWrap/>
            <w:vAlign w:val="center"/>
          </w:tcPr>
          <w:p w14:paraId="7FAB43DE" w14:textId="77777777" w:rsidR="0063559F" w:rsidRDefault="0063559F" w:rsidP="0063559F">
            <w:pPr>
              <w:spacing w:after="120"/>
              <w:jc w:val="right"/>
              <w:rPr>
                <w:rFonts w:ascii="Calibri" w:hAnsi="Calibri" w:cs="Calibri"/>
                <w:b/>
                <w:bCs/>
                <w:color w:val="000000"/>
                <w:sz w:val="16"/>
                <w:szCs w:val="16"/>
              </w:rPr>
            </w:pPr>
          </w:p>
        </w:tc>
        <w:tc>
          <w:tcPr>
            <w:tcW w:w="595" w:type="pct"/>
            <w:tcBorders>
              <w:top w:val="nil"/>
              <w:left w:val="nil"/>
              <w:bottom w:val="single" w:sz="8" w:space="0" w:color="auto"/>
              <w:right w:val="nil"/>
            </w:tcBorders>
            <w:shd w:val="clear" w:color="auto" w:fill="auto"/>
            <w:noWrap/>
            <w:vAlign w:val="center"/>
          </w:tcPr>
          <w:p w14:paraId="68579328" w14:textId="161B74BA" w:rsidR="0063559F" w:rsidRDefault="001A2044" w:rsidP="0063559F">
            <w:pPr>
              <w:spacing w:after="120"/>
              <w:jc w:val="right"/>
              <w:rPr>
                <w:rFonts w:ascii="Calibri" w:hAnsi="Calibri" w:cs="Calibri"/>
                <w:b/>
                <w:bCs/>
                <w:color w:val="000000"/>
                <w:sz w:val="16"/>
                <w:szCs w:val="16"/>
              </w:rPr>
            </w:pPr>
            <w:r>
              <w:rPr>
                <w:rFonts w:ascii="Calibri" w:hAnsi="Calibri" w:cs="Calibri"/>
                <w:b/>
                <w:bCs/>
                <w:color w:val="000000"/>
                <w:sz w:val="16"/>
                <w:szCs w:val="16"/>
              </w:rPr>
              <w:t>3.220.525</w:t>
            </w:r>
          </w:p>
        </w:tc>
      </w:tr>
      <w:tr w:rsidR="0063559F" w14:paraId="3FB7FAC8" w14:textId="77777777" w:rsidTr="00621A14">
        <w:trPr>
          <w:trHeight w:hRule="exact" w:val="227"/>
        </w:trPr>
        <w:tc>
          <w:tcPr>
            <w:tcW w:w="1622" w:type="pct"/>
            <w:tcBorders>
              <w:top w:val="nil"/>
              <w:left w:val="nil"/>
              <w:bottom w:val="single" w:sz="8" w:space="0" w:color="auto"/>
              <w:right w:val="nil"/>
            </w:tcBorders>
            <w:shd w:val="clear" w:color="auto" w:fill="auto"/>
            <w:noWrap/>
            <w:vAlign w:val="center"/>
            <w:hideMark/>
          </w:tcPr>
          <w:p w14:paraId="55AE476A" w14:textId="0AF62738" w:rsidR="0063559F" w:rsidRDefault="0063559F" w:rsidP="0063559F">
            <w:pPr>
              <w:spacing w:after="120"/>
              <w:rPr>
                <w:rFonts w:ascii="Calibri" w:hAnsi="Calibri" w:cs="Calibri"/>
                <w:b/>
                <w:bCs/>
                <w:color w:val="000000"/>
                <w:sz w:val="16"/>
                <w:szCs w:val="16"/>
              </w:rPr>
            </w:pPr>
            <w:r>
              <w:rPr>
                <w:rFonts w:ascii="Calibri" w:hAnsi="Calibri" w:cs="Calibri"/>
                <w:b/>
                <w:bCs/>
                <w:color w:val="000000"/>
                <w:sz w:val="16"/>
                <w:szCs w:val="16"/>
              </w:rPr>
              <w:t>Passivo de Arrendamento Líquido Não Circulante</w:t>
            </w:r>
          </w:p>
        </w:tc>
        <w:tc>
          <w:tcPr>
            <w:tcW w:w="691" w:type="pct"/>
            <w:tcBorders>
              <w:top w:val="nil"/>
              <w:left w:val="nil"/>
              <w:bottom w:val="single" w:sz="8" w:space="0" w:color="auto"/>
              <w:right w:val="nil"/>
            </w:tcBorders>
            <w:shd w:val="clear" w:color="auto" w:fill="auto"/>
            <w:noWrap/>
            <w:vAlign w:val="center"/>
            <w:hideMark/>
          </w:tcPr>
          <w:p w14:paraId="19F69D87" w14:textId="027A6206" w:rsidR="0063559F" w:rsidRDefault="0063559F" w:rsidP="0063559F">
            <w:pPr>
              <w:spacing w:after="120"/>
              <w:jc w:val="right"/>
              <w:rPr>
                <w:rFonts w:ascii="Calibri" w:hAnsi="Calibri" w:cs="Calibri"/>
                <w:b/>
                <w:bCs/>
                <w:color w:val="000000"/>
                <w:sz w:val="16"/>
                <w:szCs w:val="16"/>
              </w:rPr>
            </w:pPr>
            <w:r>
              <w:rPr>
                <w:rFonts w:ascii="Calibri" w:hAnsi="Calibri" w:cs="Calibri"/>
                <w:b/>
                <w:bCs/>
                <w:color w:val="000000"/>
                <w:sz w:val="16"/>
                <w:szCs w:val="16"/>
              </w:rPr>
              <w:t>16.949.900</w:t>
            </w:r>
          </w:p>
        </w:tc>
        <w:tc>
          <w:tcPr>
            <w:tcW w:w="830" w:type="pct"/>
            <w:tcBorders>
              <w:top w:val="nil"/>
              <w:left w:val="nil"/>
              <w:bottom w:val="single" w:sz="8" w:space="0" w:color="auto"/>
              <w:right w:val="nil"/>
            </w:tcBorders>
            <w:shd w:val="clear" w:color="auto" w:fill="auto"/>
            <w:vAlign w:val="center"/>
            <w:hideMark/>
          </w:tcPr>
          <w:p w14:paraId="25060CBA" w14:textId="77777777" w:rsidR="0063559F" w:rsidRDefault="0063559F" w:rsidP="0063559F">
            <w:pPr>
              <w:spacing w:after="120"/>
              <w:jc w:val="right"/>
              <w:rPr>
                <w:rFonts w:ascii="Calibri" w:hAnsi="Calibri" w:cs="Calibri"/>
                <w:b/>
                <w:bCs/>
                <w:color w:val="000000"/>
                <w:sz w:val="16"/>
                <w:szCs w:val="16"/>
              </w:rPr>
            </w:pPr>
            <w:r>
              <w:rPr>
                <w:rFonts w:ascii="Calibri" w:hAnsi="Calibri" w:cs="Calibri"/>
                <w:b/>
                <w:bCs/>
                <w:color w:val="000000"/>
                <w:sz w:val="16"/>
                <w:szCs w:val="16"/>
              </w:rPr>
              <w:t> </w:t>
            </w:r>
          </w:p>
        </w:tc>
        <w:tc>
          <w:tcPr>
            <w:tcW w:w="665" w:type="pct"/>
            <w:tcBorders>
              <w:top w:val="nil"/>
              <w:left w:val="nil"/>
              <w:bottom w:val="single" w:sz="8" w:space="0" w:color="auto"/>
              <w:right w:val="nil"/>
            </w:tcBorders>
            <w:shd w:val="clear" w:color="auto" w:fill="auto"/>
            <w:noWrap/>
            <w:vAlign w:val="center"/>
            <w:hideMark/>
          </w:tcPr>
          <w:p w14:paraId="7422F663" w14:textId="77777777" w:rsidR="0063559F" w:rsidRDefault="0063559F" w:rsidP="0063559F">
            <w:pPr>
              <w:spacing w:after="120"/>
              <w:jc w:val="right"/>
              <w:rPr>
                <w:rFonts w:ascii="Calibri" w:hAnsi="Calibri" w:cs="Calibri"/>
                <w:b/>
                <w:bCs/>
                <w:color w:val="000000"/>
                <w:sz w:val="16"/>
                <w:szCs w:val="16"/>
              </w:rPr>
            </w:pPr>
            <w:r>
              <w:rPr>
                <w:rFonts w:ascii="Calibri" w:hAnsi="Calibri" w:cs="Calibri"/>
                <w:b/>
                <w:bCs/>
                <w:color w:val="000000"/>
                <w:sz w:val="16"/>
                <w:szCs w:val="16"/>
              </w:rPr>
              <w:t> </w:t>
            </w:r>
          </w:p>
        </w:tc>
        <w:tc>
          <w:tcPr>
            <w:tcW w:w="597" w:type="pct"/>
            <w:tcBorders>
              <w:top w:val="nil"/>
              <w:left w:val="nil"/>
              <w:bottom w:val="single" w:sz="8" w:space="0" w:color="auto"/>
              <w:right w:val="nil"/>
            </w:tcBorders>
            <w:shd w:val="clear" w:color="auto" w:fill="auto"/>
            <w:noWrap/>
            <w:vAlign w:val="center"/>
            <w:hideMark/>
          </w:tcPr>
          <w:p w14:paraId="7C53245B" w14:textId="77777777" w:rsidR="0063559F" w:rsidRDefault="0063559F" w:rsidP="0063559F">
            <w:pPr>
              <w:spacing w:after="120"/>
              <w:jc w:val="right"/>
              <w:rPr>
                <w:rFonts w:ascii="Calibri" w:hAnsi="Calibri" w:cs="Calibri"/>
                <w:b/>
                <w:bCs/>
                <w:color w:val="000000"/>
                <w:sz w:val="16"/>
                <w:szCs w:val="16"/>
              </w:rPr>
            </w:pPr>
            <w:r>
              <w:rPr>
                <w:rFonts w:ascii="Calibri" w:hAnsi="Calibri" w:cs="Calibri"/>
                <w:b/>
                <w:bCs/>
                <w:color w:val="000000"/>
                <w:sz w:val="16"/>
                <w:szCs w:val="16"/>
              </w:rPr>
              <w:t> </w:t>
            </w:r>
          </w:p>
        </w:tc>
        <w:tc>
          <w:tcPr>
            <w:tcW w:w="595" w:type="pct"/>
            <w:tcBorders>
              <w:top w:val="nil"/>
              <w:left w:val="nil"/>
              <w:bottom w:val="single" w:sz="8" w:space="0" w:color="auto"/>
              <w:right w:val="nil"/>
            </w:tcBorders>
            <w:shd w:val="clear" w:color="auto" w:fill="auto"/>
            <w:noWrap/>
            <w:vAlign w:val="center"/>
            <w:hideMark/>
          </w:tcPr>
          <w:p w14:paraId="1CA6A295" w14:textId="01B815B3" w:rsidR="0063559F" w:rsidRDefault="001A2044" w:rsidP="0063559F">
            <w:pPr>
              <w:spacing w:after="120"/>
              <w:jc w:val="right"/>
              <w:rPr>
                <w:rFonts w:ascii="Calibri" w:hAnsi="Calibri" w:cs="Calibri"/>
                <w:b/>
                <w:bCs/>
                <w:color w:val="000000"/>
                <w:sz w:val="16"/>
                <w:szCs w:val="16"/>
              </w:rPr>
            </w:pPr>
            <w:r>
              <w:rPr>
                <w:rFonts w:ascii="Calibri" w:hAnsi="Calibri" w:cs="Calibri"/>
                <w:b/>
                <w:bCs/>
                <w:color w:val="000000"/>
                <w:sz w:val="16"/>
                <w:szCs w:val="16"/>
              </w:rPr>
              <w:t>10.735.082</w:t>
            </w:r>
          </w:p>
        </w:tc>
      </w:tr>
      <w:tr w:rsidR="0063559F" w14:paraId="77B77A48" w14:textId="77777777" w:rsidTr="00621A14">
        <w:trPr>
          <w:trHeight w:hRule="exact" w:val="227"/>
        </w:trPr>
        <w:tc>
          <w:tcPr>
            <w:tcW w:w="1622" w:type="pct"/>
            <w:tcBorders>
              <w:top w:val="nil"/>
              <w:left w:val="nil"/>
              <w:bottom w:val="single" w:sz="8" w:space="0" w:color="auto"/>
              <w:right w:val="nil"/>
            </w:tcBorders>
            <w:shd w:val="clear" w:color="auto" w:fill="auto"/>
            <w:noWrap/>
            <w:vAlign w:val="center"/>
            <w:hideMark/>
          </w:tcPr>
          <w:p w14:paraId="101C9D88" w14:textId="5E47DC77" w:rsidR="0063559F" w:rsidRDefault="0063559F" w:rsidP="0063559F">
            <w:pPr>
              <w:spacing w:after="120"/>
              <w:rPr>
                <w:rFonts w:ascii="Calibri" w:hAnsi="Calibri" w:cs="Calibri"/>
                <w:b/>
                <w:bCs/>
                <w:color w:val="000000"/>
                <w:sz w:val="16"/>
                <w:szCs w:val="16"/>
              </w:rPr>
            </w:pPr>
            <w:r>
              <w:rPr>
                <w:rFonts w:ascii="Calibri" w:hAnsi="Calibri" w:cs="Calibri"/>
                <w:b/>
                <w:bCs/>
                <w:color w:val="000000"/>
                <w:sz w:val="16"/>
                <w:szCs w:val="16"/>
              </w:rPr>
              <w:t>PASSIVO DE ARRENDAMENTO LÍQUIDO TOTAL</w:t>
            </w:r>
          </w:p>
        </w:tc>
        <w:tc>
          <w:tcPr>
            <w:tcW w:w="691" w:type="pct"/>
            <w:tcBorders>
              <w:top w:val="nil"/>
              <w:left w:val="nil"/>
              <w:bottom w:val="single" w:sz="8" w:space="0" w:color="auto"/>
              <w:right w:val="nil"/>
            </w:tcBorders>
            <w:shd w:val="clear" w:color="auto" w:fill="auto"/>
            <w:noWrap/>
            <w:vAlign w:val="center"/>
            <w:hideMark/>
          </w:tcPr>
          <w:p w14:paraId="34D419D6" w14:textId="4A271C28" w:rsidR="0063559F" w:rsidRDefault="0063559F" w:rsidP="0063559F">
            <w:pPr>
              <w:spacing w:after="120"/>
              <w:jc w:val="right"/>
              <w:rPr>
                <w:rFonts w:ascii="Calibri" w:hAnsi="Calibri" w:cs="Calibri"/>
                <w:b/>
                <w:bCs/>
                <w:color w:val="000000"/>
                <w:sz w:val="16"/>
                <w:szCs w:val="16"/>
              </w:rPr>
            </w:pPr>
            <w:r>
              <w:rPr>
                <w:rFonts w:ascii="Calibri" w:hAnsi="Calibri" w:cs="Calibri"/>
                <w:b/>
                <w:bCs/>
                <w:color w:val="000000"/>
                <w:sz w:val="16"/>
                <w:szCs w:val="16"/>
              </w:rPr>
              <w:t>21.671.300</w:t>
            </w:r>
          </w:p>
        </w:tc>
        <w:tc>
          <w:tcPr>
            <w:tcW w:w="830" w:type="pct"/>
            <w:tcBorders>
              <w:top w:val="nil"/>
              <w:left w:val="nil"/>
              <w:bottom w:val="single" w:sz="8" w:space="0" w:color="auto"/>
              <w:right w:val="nil"/>
            </w:tcBorders>
            <w:shd w:val="clear" w:color="auto" w:fill="auto"/>
            <w:vAlign w:val="center"/>
            <w:hideMark/>
          </w:tcPr>
          <w:p w14:paraId="47EFFFC2" w14:textId="165EEC2B" w:rsidR="0063559F" w:rsidRDefault="001A2044" w:rsidP="0063559F">
            <w:pPr>
              <w:spacing w:after="120"/>
              <w:jc w:val="right"/>
              <w:rPr>
                <w:rFonts w:ascii="Calibri" w:hAnsi="Calibri" w:cs="Calibri"/>
                <w:b/>
                <w:bCs/>
                <w:color w:val="000000"/>
                <w:sz w:val="16"/>
                <w:szCs w:val="16"/>
              </w:rPr>
            </w:pPr>
            <w:r>
              <w:rPr>
                <w:rFonts w:ascii="Calibri" w:hAnsi="Calibri" w:cs="Calibri"/>
                <w:b/>
                <w:bCs/>
                <w:color w:val="000000"/>
                <w:sz w:val="16"/>
                <w:szCs w:val="16"/>
              </w:rPr>
              <w:t>42.957</w:t>
            </w:r>
            <w:r w:rsidR="0063559F">
              <w:rPr>
                <w:rFonts w:ascii="Calibri" w:hAnsi="Calibri" w:cs="Calibri"/>
                <w:b/>
                <w:bCs/>
                <w:color w:val="000000"/>
                <w:sz w:val="16"/>
                <w:szCs w:val="16"/>
              </w:rPr>
              <w:t> </w:t>
            </w:r>
          </w:p>
        </w:tc>
        <w:tc>
          <w:tcPr>
            <w:tcW w:w="665" w:type="pct"/>
            <w:tcBorders>
              <w:top w:val="nil"/>
              <w:left w:val="nil"/>
              <w:bottom w:val="single" w:sz="8" w:space="0" w:color="auto"/>
              <w:right w:val="nil"/>
            </w:tcBorders>
            <w:shd w:val="clear" w:color="auto" w:fill="auto"/>
            <w:noWrap/>
            <w:vAlign w:val="center"/>
            <w:hideMark/>
          </w:tcPr>
          <w:p w14:paraId="5D338739" w14:textId="5194FDF3" w:rsidR="0063559F" w:rsidRDefault="001A2044" w:rsidP="0063559F">
            <w:pPr>
              <w:spacing w:after="120"/>
              <w:jc w:val="right"/>
              <w:rPr>
                <w:rFonts w:ascii="Calibri" w:hAnsi="Calibri" w:cs="Calibri"/>
                <w:b/>
                <w:bCs/>
                <w:color w:val="000000"/>
                <w:sz w:val="16"/>
                <w:szCs w:val="16"/>
              </w:rPr>
            </w:pPr>
            <w:r>
              <w:rPr>
                <w:rFonts w:ascii="Calibri" w:hAnsi="Calibri" w:cs="Calibri"/>
                <w:b/>
                <w:bCs/>
                <w:color w:val="000000"/>
                <w:sz w:val="16"/>
                <w:szCs w:val="16"/>
              </w:rPr>
              <w:t>(6.292.004)</w:t>
            </w:r>
            <w:r w:rsidR="0063559F">
              <w:rPr>
                <w:rFonts w:ascii="Calibri" w:hAnsi="Calibri" w:cs="Calibri"/>
                <w:b/>
                <w:bCs/>
                <w:color w:val="000000"/>
                <w:sz w:val="16"/>
                <w:szCs w:val="16"/>
              </w:rPr>
              <w:t> </w:t>
            </w:r>
          </w:p>
        </w:tc>
        <w:tc>
          <w:tcPr>
            <w:tcW w:w="597" w:type="pct"/>
            <w:tcBorders>
              <w:top w:val="nil"/>
              <w:left w:val="nil"/>
              <w:bottom w:val="single" w:sz="8" w:space="0" w:color="auto"/>
              <w:right w:val="nil"/>
            </w:tcBorders>
            <w:shd w:val="clear" w:color="auto" w:fill="auto"/>
            <w:noWrap/>
            <w:vAlign w:val="center"/>
            <w:hideMark/>
          </w:tcPr>
          <w:p w14:paraId="1CD77611" w14:textId="6066A2EB" w:rsidR="0063559F" w:rsidRDefault="001A2044" w:rsidP="0063559F">
            <w:pPr>
              <w:spacing w:after="120"/>
              <w:jc w:val="right"/>
              <w:rPr>
                <w:rFonts w:ascii="Calibri" w:hAnsi="Calibri" w:cs="Calibri"/>
                <w:b/>
                <w:bCs/>
                <w:color w:val="000000"/>
                <w:sz w:val="16"/>
                <w:szCs w:val="16"/>
              </w:rPr>
            </w:pPr>
            <w:r>
              <w:rPr>
                <w:rFonts w:ascii="Calibri" w:hAnsi="Calibri" w:cs="Calibri"/>
                <w:b/>
                <w:bCs/>
                <w:color w:val="000000"/>
                <w:sz w:val="16"/>
                <w:szCs w:val="16"/>
              </w:rPr>
              <w:t>(1.466.646)</w:t>
            </w:r>
            <w:r w:rsidR="0063559F">
              <w:rPr>
                <w:rFonts w:ascii="Calibri" w:hAnsi="Calibri" w:cs="Calibri"/>
                <w:b/>
                <w:bCs/>
                <w:color w:val="000000"/>
                <w:sz w:val="16"/>
                <w:szCs w:val="16"/>
              </w:rPr>
              <w:t> </w:t>
            </w:r>
          </w:p>
        </w:tc>
        <w:tc>
          <w:tcPr>
            <w:tcW w:w="595" w:type="pct"/>
            <w:tcBorders>
              <w:top w:val="nil"/>
              <w:left w:val="nil"/>
              <w:bottom w:val="single" w:sz="8" w:space="0" w:color="auto"/>
              <w:right w:val="nil"/>
            </w:tcBorders>
            <w:shd w:val="clear" w:color="auto" w:fill="auto"/>
            <w:noWrap/>
            <w:vAlign w:val="center"/>
            <w:hideMark/>
          </w:tcPr>
          <w:p w14:paraId="10D93448" w14:textId="00215221" w:rsidR="0063559F" w:rsidRDefault="0063559F" w:rsidP="0063559F">
            <w:pPr>
              <w:spacing w:after="120"/>
              <w:jc w:val="right"/>
              <w:rPr>
                <w:rFonts w:ascii="Calibri" w:hAnsi="Calibri" w:cs="Calibri"/>
                <w:b/>
                <w:bCs/>
                <w:color w:val="000000"/>
                <w:sz w:val="16"/>
                <w:szCs w:val="16"/>
              </w:rPr>
            </w:pPr>
            <w:r>
              <w:rPr>
                <w:rFonts w:ascii="Calibri" w:hAnsi="Calibri" w:cs="Calibri"/>
                <w:b/>
                <w:bCs/>
                <w:color w:val="000000"/>
                <w:sz w:val="16"/>
                <w:szCs w:val="16"/>
              </w:rPr>
              <w:t>1</w:t>
            </w:r>
            <w:r w:rsidR="001A2044">
              <w:rPr>
                <w:rFonts w:ascii="Calibri" w:hAnsi="Calibri" w:cs="Calibri"/>
                <w:b/>
                <w:bCs/>
                <w:color w:val="000000"/>
                <w:sz w:val="16"/>
                <w:szCs w:val="16"/>
              </w:rPr>
              <w:t>3.955.607</w:t>
            </w:r>
          </w:p>
        </w:tc>
      </w:tr>
    </w:tbl>
    <w:p w14:paraId="227EEFBC" w14:textId="2601CF2A" w:rsidR="00F40821" w:rsidRPr="002E2B5B" w:rsidRDefault="00D22F5E" w:rsidP="000B3A75">
      <w:pPr>
        <w:pStyle w:val="Ttulo4"/>
        <w:spacing w:before="120" w:after="120" w:line="240" w:lineRule="auto"/>
        <w:jc w:val="left"/>
        <w:rPr>
          <w:rFonts w:ascii="Calibri" w:hAnsi="Calibri" w:cs="Calibri"/>
          <w:bCs w:val="0"/>
          <w:sz w:val="22"/>
          <w:szCs w:val="22"/>
        </w:rPr>
      </w:pPr>
      <w:r w:rsidRPr="002E2B5B">
        <w:rPr>
          <w:rFonts w:ascii="Calibri" w:hAnsi="Calibri" w:cs="Calibri"/>
          <w:bCs w:val="0"/>
          <w:sz w:val="22"/>
          <w:szCs w:val="22"/>
        </w:rPr>
        <w:t>NOTA 1</w:t>
      </w:r>
      <w:r w:rsidR="001A1B68">
        <w:rPr>
          <w:rFonts w:ascii="Calibri" w:hAnsi="Calibri" w:cs="Calibri"/>
          <w:bCs w:val="0"/>
          <w:sz w:val="22"/>
          <w:szCs w:val="22"/>
        </w:rPr>
        <w:t>6</w:t>
      </w:r>
      <w:r w:rsidR="00F40821" w:rsidRPr="002E2B5B">
        <w:rPr>
          <w:rFonts w:ascii="Calibri" w:hAnsi="Calibri" w:cs="Calibri"/>
          <w:bCs w:val="0"/>
          <w:sz w:val="22"/>
          <w:szCs w:val="22"/>
        </w:rPr>
        <w:t xml:space="preserve"> - PATRIMÔNIO LÍQUIDO </w:t>
      </w:r>
    </w:p>
    <w:p w14:paraId="29706E20" w14:textId="77777777" w:rsidR="00CE32D4" w:rsidRPr="002E2B5B" w:rsidRDefault="00997B3F" w:rsidP="00937ED9">
      <w:pPr>
        <w:numPr>
          <w:ilvl w:val="0"/>
          <w:numId w:val="7"/>
        </w:numPr>
        <w:spacing w:after="120"/>
        <w:ind w:left="284" w:right="-142" w:hanging="284"/>
        <w:rPr>
          <w:rFonts w:ascii="Calibri" w:hAnsi="Calibri" w:cs="Calibri"/>
          <w:b/>
          <w:sz w:val="22"/>
          <w:szCs w:val="22"/>
        </w:rPr>
      </w:pPr>
      <w:r w:rsidRPr="002E2B5B">
        <w:rPr>
          <w:rFonts w:ascii="Calibri" w:hAnsi="Calibri" w:cs="Calibri"/>
          <w:b/>
          <w:sz w:val="22"/>
          <w:szCs w:val="22"/>
        </w:rPr>
        <w:t xml:space="preserve">Capital Social </w:t>
      </w:r>
    </w:p>
    <w:p w14:paraId="598D713E" w14:textId="0EF21D26" w:rsidR="009F59D9" w:rsidRPr="002D2F93" w:rsidRDefault="000C5384" w:rsidP="002D2F93">
      <w:pPr>
        <w:spacing w:before="120" w:after="120"/>
        <w:ind w:right="57"/>
        <w:jc w:val="both"/>
        <w:rPr>
          <w:rFonts w:ascii="Calibri" w:hAnsi="Calibri" w:cs="Calibri"/>
          <w:sz w:val="22"/>
          <w:szCs w:val="22"/>
        </w:rPr>
      </w:pPr>
      <w:r w:rsidRPr="000C5384">
        <w:rPr>
          <w:rFonts w:ascii="Calibri" w:hAnsi="Calibri" w:cs="Calibri"/>
          <w:sz w:val="22"/>
          <w:szCs w:val="22"/>
        </w:rPr>
        <w:t xml:space="preserve">O Capital Social, após a integralização de capital, </w:t>
      </w:r>
      <w:r w:rsidR="00BD58D3">
        <w:rPr>
          <w:rFonts w:ascii="Calibri" w:hAnsi="Calibri" w:cs="Calibri"/>
          <w:sz w:val="22"/>
          <w:szCs w:val="22"/>
        </w:rPr>
        <w:t>c</w:t>
      </w:r>
      <w:r w:rsidRPr="000C5384">
        <w:rPr>
          <w:rFonts w:ascii="Calibri" w:hAnsi="Calibri" w:cs="Calibri"/>
          <w:sz w:val="22"/>
          <w:szCs w:val="22"/>
        </w:rPr>
        <w:t xml:space="preserve">onforme Ata da </w:t>
      </w:r>
      <w:r w:rsidR="00BD58D3">
        <w:rPr>
          <w:rFonts w:ascii="Calibri" w:hAnsi="Calibri" w:cs="Calibri"/>
          <w:sz w:val="22"/>
          <w:szCs w:val="22"/>
        </w:rPr>
        <w:t>34</w:t>
      </w:r>
      <w:r w:rsidRPr="000C5384">
        <w:rPr>
          <w:rFonts w:ascii="Calibri" w:hAnsi="Calibri" w:cs="Calibri"/>
          <w:sz w:val="22"/>
          <w:szCs w:val="22"/>
        </w:rPr>
        <w:t>ª Assembleia Geral Extraordinária de 2</w:t>
      </w:r>
      <w:r w:rsidR="00BD58D3">
        <w:rPr>
          <w:rFonts w:ascii="Calibri" w:hAnsi="Calibri" w:cs="Calibri"/>
          <w:sz w:val="22"/>
          <w:szCs w:val="22"/>
        </w:rPr>
        <w:t>7</w:t>
      </w:r>
      <w:r w:rsidRPr="000C5384">
        <w:rPr>
          <w:rFonts w:ascii="Calibri" w:hAnsi="Calibri" w:cs="Calibri"/>
          <w:sz w:val="22"/>
          <w:szCs w:val="22"/>
        </w:rPr>
        <w:t xml:space="preserve"> de a</w:t>
      </w:r>
      <w:r w:rsidR="00BD58D3">
        <w:rPr>
          <w:rFonts w:ascii="Calibri" w:hAnsi="Calibri" w:cs="Calibri"/>
          <w:sz w:val="22"/>
          <w:szCs w:val="22"/>
        </w:rPr>
        <w:t xml:space="preserve">bril </w:t>
      </w:r>
      <w:r w:rsidRPr="000C5384">
        <w:rPr>
          <w:rFonts w:ascii="Calibri" w:hAnsi="Calibri" w:cs="Calibri"/>
          <w:sz w:val="22"/>
          <w:szCs w:val="22"/>
        </w:rPr>
        <w:t>de 20</w:t>
      </w:r>
      <w:r w:rsidR="00BD58D3">
        <w:rPr>
          <w:rFonts w:ascii="Calibri" w:hAnsi="Calibri" w:cs="Calibri"/>
          <w:sz w:val="22"/>
          <w:szCs w:val="22"/>
        </w:rPr>
        <w:t>22</w:t>
      </w:r>
      <w:r w:rsidRPr="000C5384">
        <w:rPr>
          <w:rFonts w:ascii="Calibri" w:hAnsi="Calibri" w:cs="Calibri"/>
          <w:sz w:val="22"/>
          <w:szCs w:val="22"/>
        </w:rPr>
        <w:t>, totaliza R$ 2</w:t>
      </w:r>
      <w:r w:rsidR="00BD58D3">
        <w:rPr>
          <w:rFonts w:ascii="Calibri" w:hAnsi="Calibri" w:cs="Calibri"/>
          <w:sz w:val="22"/>
          <w:szCs w:val="22"/>
        </w:rPr>
        <w:t>3,5</w:t>
      </w:r>
      <w:r w:rsidR="003111E3">
        <w:rPr>
          <w:rFonts w:ascii="Calibri" w:hAnsi="Calibri" w:cs="Calibri"/>
          <w:sz w:val="22"/>
          <w:szCs w:val="22"/>
        </w:rPr>
        <w:t>2</w:t>
      </w:r>
      <w:r w:rsidRPr="000C5384">
        <w:rPr>
          <w:rFonts w:ascii="Calibri" w:hAnsi="Calibri" w:cs="Calibri"/>
          <w:sz w:val="22"/>
          <w:szCs w:val="22"/>
        </w:rPr>
        <w:t xml:space="preserve"> bilhões e é composto de 8.090.009 ações ordinárias, sem valor nominal, no qual a União é detentora de 100% dessas ações.</w:t>
      </w:r>
    </w:p>
    <w:p w14:paraId="165EC195" w14:textId="50403BA2" w:rsidR="00A05C0D" w:rsidRPr="00A05C0D" w:rsidRDefault="00A05C0D" w:rsidP="00A05C0D">
      <w:pPr>
        <w:numPr>
          <w:ilvl w:val="0"/>
          <w:numId w:val="7"/>
        </w:numPr>
        <w:spacing w:after="120"/>
        <w:ind w:left="284" w:right="-142" w:hanging="284"/>
        <w:rPr>
          <w:rFonts w:ascii="Calibri" w:hAnsi="Calibri" w:cs="Calibri"/>
          <w:b/>
          <w:bCs/>
          <w:sz w:val="22"/>
          <w:szCs w:val="22"/>
        </w:rPr>
      </w:pPr>
      <w:r w:rsidRPr="00A05C0D">
        <w:rPr>
          <w:rFonts w:ascii="Calibri" w:hAnsi="Calibri" w:cs="Calibri"/>
          <w:b/>
          <w:bCs/>
          <w:sz w:val="22"/>
          <w:szCs w:val="22"/>
        </w:rPr>
        <w:t xml:space="preserve">Adiantamento para Futuro Aumento de Capital – AFAC </w:t>
      </w:r>
    </w:p>
    <w:p w14:paraId="2D92F14E" w14:textId="00B121E4" w:rsidR="000C5384" w:rsidRDefault="000C5384" w:rsidP="00A05C0D">
      <w:pPr>
        <w:spacing w:after="120"/>
        <w:ind w:right="57"/>
        <w:jc w:val="both"/>
        <w:rPr>
          <w:rFonts w:ascii="Calibri" w:hAnsi="Calibri" w:cs="Calibri"/>
          <w:sz w:val="22"/>
          <w:szCs w:val="22"/>
        </w:rPr>
      </w:pPr>
      <w:r w:rsidRPr="000C5384">
        <w:rPr>
          <w:rFonts w:ascii="Calibri" w:hAnsi="Calibri" w:cs="Calibri"/>
          <w:sz w:val="22"/>
          <w:szCs w:val="22"/>
        </w:rPr>
        <w:t>Os Adiantamentos para futuros aumentos de capital são compostos de recursos, oriundos do Orçamento Geral da União, nos exercícios de 20</w:t>
      </w:r>
      <w:r w:rsidR="00BD58D3">
        <w:rPr>
          <w:rFonts w:ascii="Calibri" w:hAnsi="Calibri" w:cs="Calibri"/>
          <w:sz w:val="22"/>
          <w:szCs w:val="22"/>
        </w:rPr>
        <w:t>2</w:t>
      </w:r>
      <w:r w:rsidRPr="000C5384">
        <w:rPr>
          <w:rFonts w:ascii="Calibri" w:hAnsi="Calibri" w:cs="Calibri"/>
          <w:sz w:val="22"/>
          <w:szCs w:val="22"/>
        </w:rPr>
        <w:t>1 a 202</w:t>
      </w:r>
      <w:r>
        <w:rPr>
          <w:rFonts w:ascii="Calibri" w:hAnsi="Calibri" w:cs="Calibri"/>
          <w:sz w:val="22"/>
          <w:szCs w:val="22"/>
        </w:rPr>
        <w:t>2</w:t>
      </w:r>
      <w:r w:rsidRPr="000C5384">
        <w:rPr>
          <w:rFonts w:ascii="Calibri" w:hAnsi="Calibri" w:cs="Calibri"/>
          <w:sz w:val="22"/>
          <w:szCs w:val="22"/>
        </w:rPr>
        <w:t xml:space="preserve">, na categoria Investimento, e sua utilização destinou-se à construção das Ferrovias Norte-Sul EF-151, Extensão Sul, Ferrovia Integração Oeste-Leste EF-334 (FIOL) e Ferrovia Integração Centro-Oeste EF-354 (FICO). </w:t>
      </w:r>
    </w:p>
    <w:p w14:paraId="312E38ED" w14:textId="23707DB3" w:rsidR="00A05C0D" w:rsidRPr="002E2B5B" w:rsidRDefault="00A05C0D" w:rsidP="00A05C0D">
      <w:pPr>
        <w:spacing w:after="120"/>
        <w:ind w:right="57"/>
        <w:jc w:val="both"/>
        <w:rPr>
          <w:rFonts w:ascii="Calibri" w:hAnsi="Calibri" w:cs="Calibri"/>
          <w:sz w:val="22"/>
          <w:szCs w:val="22"/>
        </w:rPr>
      </w:pPr>
      <w:r w:rsidRPr="002E2B5B">
        <w:rPr>
          <w:rFonts w:ascii="Calibri" w:hAnsi="Calibri" w:cs="Calibri"/>
          <w:sz w:val="22"/>
          <w:szCs w:val="22"/>
        </w:rPr>
        <w:t>Conforme o Decreto nº 8.945 de 27 de dezembro de 2016, a atualização monetária pela taxa SELIC não incide mais sobre os valores aportados a partir de 01 de janeiro de 2017</w:t>
      </w:r>
      <w:r>
        <w:rPr>
          <w:rFonts w:ascii="Calibri" w:hAnsi="Calibri" w:cs="Calibri"/>
          <w:sz w:val="22"/>
          <w:szCs w:val="22"/>
        </w:rPr>
        <w:t xml:space="preserve">. </w:t>
      </w:r>
    </w:p>
    <w:p w14:paraId="554AA48D" w14:textId="3EDC2C06" w:rsidR="00A05C0D" w:rsidRDefault="00A05C0D" w:rsidP="00A05C0D">
      <w:pPr>
        <w:spacing w:after="120"/>
        <w:jc w:val="both"/>
        <w:rPr>
          <w:rFonts w:ascii="Calibri" w:hAnsi="Calibri" w:cs="Calibri"/>
          <w:sz w:val="22"/>
          <w:szCs w:val="22"/>
        </w:rPr>
      </w:pPr>
      <w:r w:rsidRPr="002E2B5B">
        <w:rPr>
          <w:rFonts w:ascii="Calibri" w:hAnsi="Calibri" w:cs="Calibri"/>
          <w:sz w:val="22"/>
          <w:szCs w:val="22"/>
        </w:rPr>
        <w:t>A movimentação de AFAC</w:t>
      </w:r>
      <w:r>
        <w:rPr>
          <w:rFonts w:ascii="Calibri" w:hAnsi="Calibri" w:cs="Calibri"/>
          <w:sz w:val="22"/>
          <w:szCs w:val="22"/>
        </w:rPr>
        <w:t>,</w:t>
      </w:r>
      <w:r w:rsidRPr="002E2B5B">
        <w:rPr>
          <w:rFonts w:ascii="Calibri" w:hAnsi="Calibri" w:cs="Calibri"/>
          <w:sz w:val="22"/>
          <w:szCs w:val="22"/>
        </w:rPr>
        <w:t xml:space="preserve"> </w:t>
      </w:r>
      <w:r w:rsidR="00BD58D3">
        <w:rPr>
          <w:rFonts w:ascii="Calibri" w:hAnsi="Calibri" w:cs="Calibri"/>
          <w:sz w:val="22"/>
          <w:szCs w:val="22"/>
        </w:rPr>
        <w:t xml:space="preserve">até </w:t>
      </w:r>
      <w:r w:rsidRPr="002E2B5B">
        <w:rPr>
          <w:rFonts w:ascii="Calibri" w:hAnsi="Calibri" w:cs="Calibri"/>
          <w:sz w:val="22"/>
          <w:szCs w:val="22"/>
        </w:rPr>
        <w:t xml:space="preserve">o </w:t>
      </w:r>
      <w:r w:rsidR="00BD58D3">
        <w:rPr>
          <w:rFonts w:ascii="Calibri" w:hAnsi="Calibri" w:cs="Calibri"/>
          <w:sz w:val="22"/>
          <w:szCs w:val="22"/>
        </w:rPr>
        <w:t>2</w:t>
      </w:r>
      <w:r w:rsidR="007701F3">
        <w:rPr>
          <w:rFonts w:ascii="Calibri" w:hAnsi="Calibri" w:cs="Calibri"/>
          <w:sz w:val="22"/>
          <w:szCs w:val="22"/>
        </w:rPr>
        <w:t>º trimestre de 2022</w:t>
      </w:r>
      <w:r>
        <w:rPr>
          <w:rFonts w:ascii="Calibri" w:hAnsi="Calibri" w:cs="Calibri"/>
          <w:sz w:val="22"/>
          <w:szCs w:val="22"/>
        </w:rPr>
        <w:t xml:space="preserve">, </w:t>
      </w:r>
      <w:r w:rsidRPr="002E2B5B">
        <w:rPr>
          <w:rFonts w:ascii="Calibri" w:hAnsi="Calibri" w:cs="Calibri"/>
          <w:sz w:val="22"/>
          <w:szCs w:val="22"/>
        </w:rPr>
        <w:t>foi:</w:t>
      </w:r>
    </w:p>
    <w:tbl>
      <w:tblPr>
        <w:tblW w:w="5000" w:type="pct"/>
        <w:tblCellMar>
          <w:left w:w="70" w:type="dxa"/>
          <w:right w:w="70" w:type="dxa"/>
        </w:tblCellMar>
        <w:tblLook w:val="04A0" w:firstRow="1" w:lastRow="0" w:firstColumn="1" w:lastColumn="0" w:noHBand="0" w:noVBand="1"/>
      </w:tblPr>
      <w:tblGrid>
        <w:gridCol w:w="2265"/>
        <w:gridCol w:w="1352"/>
        <w:gridCol w:w="2058"/>
        <w:gridCol w:w="2043"/>
        <w:gridCol w:w="2749"/>
      </w:tblGrid>
      <w:tr w:rsidR="00A05C0D" w14:paraId="2D9601E6" w14:textId="77777777" w:rsidTr="007701F3">
        <w:trPr>
          <w:trHeight w:hRule="exact" w:val="227"/>
        </w:trPr>
        <w:tc>
          <w:tcPr>
            <w:tcW w:w="1082" w:type="pct"/>
            <w:tcBorders>
              <w:top w:val="nil"/>
              <w:left w:val="nil"/>
              <w:bottom w:val="single" w:sz="8" w:space="0" w:color="auto"/>
              <w:right w:val="nil"/>
            </w:tcBorders>
            <w:shd w:val="clear" w:color="auto" w:fill="auto"/>
            <w:noWrap/>
            <w:vAlign w:val="center"/>
            <w:hideMark/>
          </w:tcPr>
          <w:p w14:paraId="2B97A7DD" w14:textId="77777777" w:rsidR="00A05C0D" w:rsidRDefault="00A05C0D" w:rsidP="00670EF5">
            <w:pPr>
              <w:spacing w:after="120"/>
              <w:rPr>
                <w:rFonts w:ascii="Calibri" w:hAnsi="Calibri" w:cs="Calibri"/>
                <w:b/>
                <w:bCs/>
                <w:color w:val="000000"/>
                <w:sz w:val="16"/>
                <w:szCs w:val="16"/>
              </w:rPr>
            </w:pPr>
            <w:r>
              <w:rPr>
                <w:rFonts w:ascii="Calibri" w:hAnsi="Calibri" w:cs="Calibri"/>
                <w:b/>
                <w:bCs/>
                <w:color w:val="000000"/>
                <w:sz w:val="16"/>
                <w:szCs w:val="16"/>
              </w:rPr>
              <w:t>AFAC – PL</w:t>
            </w:r>
          </w:p>
        </w:tc>
        <w:tc>
          <w:tcPr>
            <w:tcW w:w="646" w:type="pct"/>
            <w:tcBorders>
              <w:top w:val="nil"/>
              <w:left w:val="nil"/>
              <w:bottom w:val="single" w:sz="8" w:space="0" w:color="auto"/>
              <w:right w:val="nil"/>
            </w:tcBorders>
            <w:shd w:val="clear" w:color="auto" w:fill="auto"/>
            <w:noWrap/>
            <w:vAlign w:val="center"/>
            <w:hideMark/>
          </w:tcPr>
          <w:p w14:paraId="740F9FAD" w14:textId="77777777" w:rsidR="00A05C0D" w:rsidRDefault="00A05C0D" w:rsidP="00670EF5">
            <w:pPr>
              <w:spacing w:after="120"/>
              <w:jc w:val="right"/>
              <w:rPr>
                <w:rFonts w:ascii="Calibri" w:hAnsi="Calibri" w:cs="Calibri"/>
                <w:b/>
                <w:bCs/>
                <w:color w:val="000000"/>
                <w:sz w:val="16"/>
                <w:szCs w:val="16"/>
              </w:rPr>
            </w:pPr>
            <w:r>
              <w:rPr>
                <w:rFonts w:ascii="Calibri" w:hAnsi="Calibri" w:cs="Calibri"/>
                <w:b/>
                <w:bCs/>
                <w:color w:val="000000"/>
                <w:sz w:val="16"/>
                <w:szCs w:val="16"/>
              </w:rPr>
              <w:t> </w:t>
            </w:r>
          </w:p>
        </w:tc>
        <w:tc>
          <w:tcPr>
            <w:tcW w:w="1959" w:type="pct"/>
            <w:gridSpan w:val="2"/>
            <w:tcBorders>
              <w:top w:val="nil"/>
              <w:left w:val="nil"/>
              <w:bottom w:val="single" w:sz="8" w:space="0" w:color="auto"/>
              <w:right w:val="nil"/>
            </w:tcBorders>
            <w:shd w:val="clear" w:color="auto" w:fill="auto"/>
            <w:vAlign w:val="center"/>
            <w:hideMark/>
          </w:tcPr>
          <w:p w14:paraId="166D9A40" w14:textId="6CE0234F" w:rsidR="00A05C0D" w:rsidRDefault="00A05C0D" w:rsidP="00670EF5">
            <w:pPr>
              <w:spacing w:after="120"/>
              <w:jc w:val="right"/>
              <w:rPr>
                <w:rFonts w:ascii="Calibri" w:hAnsi="Calibri" w:cs="Calibri"/>
                <w:b/>
                <w:bCs/>
                <w:color w:val="000000"/>
                <w:sz w:val="16"/>
                <w:szCs w:val="16"/>
              </w:rPr>
            </w:pPr>
            <w:r>
              <w:rPr>
                <w:rFonts w:ascii="Calibri" w:hAnsi="Calibri" w:cs="Calibri"/>
                <w:b/>
                <w:bCs/>
                <w:color w:val="000000"/>
                <w:sz w:val="16"/>
                <w:szCs w:val="16"/>
              </w:rPr>
              <w:t>3</w:t>
            </w:r>
            <w:r w:rsidR="0026154E">
              <w:rPr>
                <w:rFonts w:ascii="Calibri" w:hAnsi="Calibri" w:cs="Calibri"/>
                <w:b/>
                <w:bCs/>
                <w:color w:val="000000"/>
                <w:sz w:val="16"/>
                <w:szCs w:val="16"/>
              </w:rPr>
              <w:t>0</w:t>
            </w:r>
            <w:r>
              <w:rPr>
                <w:rFonts w:ascii="Calibri" w:hAnsi="Calibri" w:cs="Calibri"/>
                <w:b/>
                <w:bCs/>
                <w:color w:val="000000"/>
                <w:sz w:val="16"/>
                <w:szCs w:val="16"/>
              </w:rPr>
              <w:t>/</w:t>
            </w:r>
            <w:r w:rsidR="007701F3">
              <w:rPr>
                <w:rFonts w:ascii="Calibri" w:hAnsi="Calibri" w:cs="Calibri"/>
                <w:b/>
                <w:bCs/>
                <w:color w:val="000000"/>
                <w:sz w:val="16"/>
                <w:szCs w:val="16"/>
              </w:rPr>
              <w:t>0</w:t>
            </w:r>
            <w:r w:rsidR="0026154E">
              <w:rPr>
                <w:rFonts w:ascii="Calibri" w:hAnsi="Calibri" w:cs="Calibri"/>
                <w:b/>
                <w:bCs/>
                <w:color w:val="000000"/>
                <w:sz w:val="16"/>
                <w:szCs w:val="16"/>
              </w:rPr>
              <w:t>6</w:t>
            </w:r>
            <w:r>
              <w:rPr>
                <w:rFonts w:ascii="Calibri" w:hAnsi="Calibri" w:cs="Calibri"/>
                <w:b/>
                <w:bCs/>
                <w:color w:val="000000"/>
                <w:sz w:val="16"/>
                <w:szCs w:val="16"/>
              </w:rPr>
              <w:t>/202</w:t>
            </w:r>
            <w:r w:rsidR="007701F3">
              <w:rPr>
                <w:rFonts w:ascii="Calibri" w:hAnsi="Calibri" w:cs="Calibri"/>
                <w:b/>
                <w:bCs/>
                <w:color w:val="000000"/>
                <w:sz w:val="16"/>
                <w:szCs w:val="16"/>
              </w:rPr>
              <w:t>2</w:t>
            </w:r>
          </w:p>
        </w:tc>
        <w:tc>
          <w:tcPr>
            <w:tcW w:w="1313" w:type="pct"/>
            <w:tcBorders>
              <w:top w:val="nil"/>
              <w:left w:val="nil"/>
              <w:bottom w:val="single" w:sz="8" w:space="0" w:color="auto"/>
              <w:right w:val="nil"/>
            </w:tcBorders>
            <w:shd w:val="clear" w:color="auto" w:fill="auto"/>
            <w:vAlign w:val="center"/>
            <w:hideMark/>
          </w:tcPr>
          <w:p w14:paraId="05C33A08" w14:textId="62D89169" w:rsidR="00A05C0D" w:rsidRDefault="00A05C0D" w:rsidP="00670EF5">
            <w:pPr>
              <w:spacing w:after="120"/>
              <w:jc w:val="right"/>
              <w:rPr>
                <w:rFonts w:ascii="Calibri" w:hAnsi="Calibri" w:cs="Calibri"/>
                <w:b/>
                <w:bCs/>
                <w:color w:val="000000"/>
                <w:sz w:val="16"/>
                <w:szCs w:val="16"/>
              </w:rPr>
            </w:pPr>
            <w:r>
              <w:rPr>
                <w:rFonts w:ascii="Calibri" w:hAnsi="Calibri" w:cs="Calibri"/>
                <w:b/>
                <w:bCs/>
                <w:color w:val="000000"/>
                <w:sz w:val="16"/>
                <w:szCs w:val="16"/>
              </w:rPr>
              <w:t>31/12/202</w:t>
            </w:r>
            <w:r w:rsidR="007701F3">
              <w:rPr>
                <w:rFonts w:ascii="Calibri" w:hAnsi="Calibri" w:cs="Calibri"/>
                <w:b/>
                <w:bCs/>
                <w:color w:val="000000"/>
                <w:sz w:val="16"/>
                <w:szCs w:val="16"/>
              </w:rPr>
              <w:t>1</w:t>
            </w:r>
          </w:p>
        </w:tc>
      </w:tr>
      <w:tr w:rsidR="007701F3" w14:paraId="52F210D9" w14:textId="77777777" w:rsidTr="007701F3">
        <w:trPr>
          <w:trHeight w:hRule="exact" w:val="227"/>
        </w:trPr>
        <w:tc>
          <w:tcPr>
            <w:tcW w:w="1082" w:type="pct"/>
            <w:tcBorders>
              <w:top w:val="single" w:sz="8" w:space="0" w:color="auto"/>
              <w:left w:val="nil"/>
              <w:bottom w:val="nil"/>
              <w:right w:val="nil"/>
            </w:tcBorders>
            <w:shd w:val="clear" w:color="auto" w:fill="auto"/>
            <w:noWrap/>
            <w:vAlign w:val="center"/>
            <w:hideMark/>
          </w:tcPr>
          <w:p w14:paraId="6ED3A8D9" w14:textId="77777777" w:rsidR="007701F3" w:rsidRDefault="007701F3" w:rsidP="007701F3">
            <w:pPr>
              <w:spacing w:after="120"/>
              <w:rPr>
                <w:rFonts w:ascii="Calibri" w:hAnsi="Calibri" w:cs="Calibri"/>
                <w:color w:val="000000"/>
                <w:sz w:val="16"/>
                <w:szCs w:val="16"/>
              </w:rPr>
            </w:pPr>
            <w:r>
              <w:rPr>
                <w:rFonts w:ascii="Calibri" w:hAnsi="Calibri" w:cs="Calibri"/>
                <w:color w:val="000000"/>
                <w:sz w:val="16"/>
                <w:szCs w:val="16"/>
              </w:rPr>
              <w:t>Saldo anterior</w:t>
            </w:r>
          </w:p>
        </w:tc>
        <w:tc>
          <w:tcPr>
            <w:tcW w:w="646" w:type="pct"/>
            <w:tcBorders>
              <w:top w:val="nil"/>
              <w:left w:val="nil"/>
              <w:bottom w:val="nil"/>
              <w:right w:val="nil"/>
            </w:tcBorders>
            <w:shd w:val="clear" w:color="auto" w:fill="auto"/>
            <w:noWrap/>
            <w:vAlign w:val="center"/>
            <w:hideMark/>
          </w:tcPr>
          <w:p w14:paraId="490173EF" w14:textId="77777777" w:rsidR="007701F3" w:rsidRDefault="007701F3" w:rsidP="007701F3">
            <w:pPr>
              <w:spacing w:after="120"/>
              <w:rPr>
                <w:rFonts w:ascii="Calibri" w:hAnsi="Calibri" w:cs="Calibri"/>
                <w:color w:val="000000"/>
                <w:sz w:val="16"/>
                <w:szCs w:val="16"/>
              </w:rPr>
            </w:pPr>
          </w:p>
        </w:tc>
        <w:tc>
          <w:tcPr>
            <w:tcW w:w="1959" w:type="pct"/>
            <w:gridSpan w:val="2"/>
            <w:tcBorders>
              <w:top w:val="single" w:sz="8" w:space="0" w:color="auto"/>
              <w:left w:val="nil"/>
              <w:bottom w:val="nil"/>
              <w:right w:val="nil"/>
            </w:tcBorders>
            <w:shd w:val="clear" w:color="auto" w:fill="auto"/>
            <w:vAlign w:val="center"/>
            <w:hideMark/>
          </w:tcPr>
          <w:p w14:paraId="57C96F44" w14:textId="079251EC" w:rsidR="007701F3" w:rsidRDefault="007701F3" w:rsidP="007701F3">
            <w:pPr>
              <w:spacing w:after="120"/>
              <w:jc w:val="right"/>
              <w:rPr>
                <w:rFonts w:ascii="Calibri" w:hAnsi="Calibri" w:cs="Calibri"/>
                <w:color w:val="000000"/>
                <w:sz w:val="16"/>
                <w:szCs w:val="16"/>
              </w:rPr>
            </w:pPr>
            <w:r>
              <w:rPr>
                <w:rFonts w:ascii="Calibri" w:hAnsi="Calibri" w:cs="Calibri"/>
                <w:b/>
                <w:bCs/>
                <w:color w:val="000000"/>
                <w:sz w:val="16"/>
                <w:szCs w:val="16"/>
              </w:rPr>
              <w:t>1.288.641.343</w:t>
            </w:r>
          </w:p>
        </w:tc>
        <w:tc>
          <w:tcPr>
            <w:tcW w:w="1313" w:type="pct"/>
            <w:tcBorders>
              <w:top w:val="nil"/>
              <w:left w:val="nil"/>
              <w:bottom w:val="nil"/>
              <w:right w:val="nil"/>
            </w:tcBorders>
            <w:shd w:val="clear" w:color="auto" w:fill="auto"/>
            <w:vAlign w:val="center"/>
            <w:hideMark/>
          </w:tcPr>
          <w:p w14:paraId="65BE5C91" w14:textId="0D01B106" w:rsidR="007701F3" w:rsidRDefault="007701F3" w:rsidP="007701F3">
            <w:pPr>
              <w:spacing w:after="120"/>
              <w:jc w:val="right"/>
              <w:rPr>
                <w:rFonts w:ascii="Calibri" w:hAnsi="Calibri" w:cs="Calibri"/>
                <w:color w:val="000000"/>
                <w:sz w:val="16"/>
                <w:szCs w:val="16"/>
              </w:rPr>
            </w:pPr>
            <w:r>
              <w:rPr>
                <w:rFonts w:ascii="Calibri" w:hAnsi="Calibri" w:cs="Calibri"/>
                <w:color w:val="000000"/>
                <w:sz w:val="16"/>
                <w:szCs w:val="16"/>
              </w:rPr>
              <w:t>903.489.907</w:t>
            </w:r>
          </w:p>
        </w:tc>
      </w:tr>
      <w:tr w:rsidR="007701F3" w14:paraId="649A18A0" w14:textId="77777777" w:rsidTr="007701F3">
        <w:trPr>
          <w:trHeight w:hRule="exact" w:val="227"/>
        </w:trPr>
        <w:tc>
          <w:tcPr>
            <w:tcW w:w="1082" w:type="pct"/>
            <w:tcBorders>
              <w:top w:val="nil"/>
              <w:left w:val="nil"/>
              <w:bottom w:val="nil"/>
              <w:right w:val="nil"/>
            </w:tcBorders>
            <w:shd w:val="clear" w:color="auto" w:fill="auto"/>
            <w:noWrap/>
            <w:vAlign w:val="center"/>
            <w:hideMark/>
          </w:tcPr>
          <w:p w14:paraId="2B7D3D6F" w14:textId="77777777" w:rsidR="007701F3" w:rsidRDefault="007701F3" w:rsidP="007701F3">
            <w:pPr>
              <w:spacing w:after="120"/>
              <w:rPr>
                <w:rFonts w:ascii="Calibri" w:hAnsi="Calibri" w:cs="Calibri"/>
                <w:color w:val="000000"/>
                <w:sz w:val="16"/>
                <w:szCs w:val="16"/>
              </w:rPr>
            </w:pPr>
            <w:r>
              <w:rPr>
                <w:rFonts w:ascii="Calibri" w:hAnsi="Calibri" w:cs="Calibri"/>
                <w:color w:val="000000"/>
                <w:sz w:val="16"/>
                <w:szCs w:val="16"/>
              </w:rPr>
              <w:t>Ingressos</w:t>
            </w:r>
          </w:p>
        </w:tc>
        <w:tc>
          <w:tcPr>
            <w:tcW w:w="646" w:type="pct"/>
            <w:tcBorders>
              <w:top w:val="nil"/>
              <w:left w:val="nil"/>
              <w:bottom w:val="nil"/>
              <w:right w:val="nil"/>
            </w:tcBorders>
            <w:shd w:val="clear" w:color="auto" w:fill="auto"/>
            <w:noWrap/>
            <w:vAlign w:val="center"/>
            <w:hideMark/>
          </w:tcPr>
          <w:p w14:paraId="7EAA94AD" w14:textId="77777777" w:rsidR="007701F3" w:rsidRDefault="007701F3" w:rsidP="007701F3">
            <w:pPr>
              <w:spacing w:after="120"/>
              <w:rPr>
                <w:rFonts w:ascii="Calibri" w:hAnsi="Calibri" w:cs="Calibri"/>
                <w:color w:val="000000"/>
                <w:sz w:val="16"/>
                <w:szCs w:val="16"/>
              </w:rPr>
            </w:pPr>
          </w:p>
        </w:tc>
        <w:tc>
          <w:tcPr>
            <w:tcW w:w="1959" w:type="pct"/>
            <w:gridSpan w:val="2"/>
            <w:tcBorders>
              <w:top w:val="nil"/>
              <w:left w:val="nil"/>
              <w:bottom w:val="nil"/>
              <w:right w:val="nil"/>
            </w:tcBorders>
            <w:shd w:val="clear" w:color="auto" w:fill="auto"/>
            <w:vAlign w:val="center"/>
            <w:hideMark/>
          </w:tcPr>
          <w:p w14:paraId="7116AA61" w14:textId="68184802" w:rsidR="007701F3" w:rsidRDefault="0026154E" w:rsidP="007701F3">
            <w:pPr>
              <w:spacing w:after="120"/>
              <w:jc w:val="right"/>
              <w:rPr>
                <w:rFonts w:ascii="Calibri" w:hAnsi="Calibri" w:cs="Calibri"/>
                <w:color w:val="000000"/>
                <w:sz w:val="16"/>
                <w:szCs w:val="16"/>
              </w:rPr>
            </w:pPr>
            <w:r>
              <w:rPr>
                <w:rFonts w:ascii="Calibri" w:hAnsi="Calibri" w:cs="Calibri"/>
                <w:color w:val="000000"/>
                <w:sz w:val="16"/>
                <w:szCs w:val="16"/>
              </w:rPr>
              <w:t>125.817.833</w:t>
            </w:r>
          </w:p>
        </w:tc>
        <w:tc>
          <w:tcPr>
            <w:tcW w:w="1313" w:type="pct"/>
            <w:tcBorders>
              <w:top w:val="nil"/>
              <w:left w:val="nil"/>
              <w:bottom w:val="nil"/>
              <w:right w:val="nil"/>
            </w:tcBorders>
            <w:shd w:val="clear" w:color="auto" w:fill="auto"/>
            <w:vAlign w:val="center"/>
            <w:hideMark/>
          </w:tcPr>
          <w:p w14:paraId="0D933D0F" w14:textId="7840B309" w:rsidR="007701F3" w:rsidRDefault="007701F3" w:rsidP="007701F3">
            <w:pPr>
              <w:spacing w:after="120"/>
              <w:jc w:val="right"/>
              <w:rPr>
                <w:rFonts w:ascii="Calibri" w:hAnsi="Calibri" w:cs="Calibri"/>
                <w:color w:val="000000"/>
                <w:sz w:val="16"/>
                <w:szCs w:val="16"/>
              </w:rPr>
            </w:pPr>
            <w:r>
              <w:rPr>
                <w:rFonts w:ascii="Calibri" w:hAnsi="Calibri" w:cs="Calibri"/>
                <w:color w:val="000000"/>
                <w:sz w:val="16"/>
                <w:szCs w:val="16"/>
              </w:rPr>
              <w:t>387.808.679</w:t>
            </w:r>
          </w:p>
        </w:tc>
      </w:tr>
      <w:tr w:rsidR="007701F3" w14:paraId="630C5B88" w14:textId="77777777" w:rsidTr="007701F3">
        <w:trPr>
          <w:trHeight w:hRule="exact" w:val="227"/>
        </w:trPr>
        <w:tc>
          <w:tcPr>
            <w:tcW w:w="1082" w:type="pct"/>
            <w:tcBorders>
              <w:top w:val="nil"/>
              <w:left w:val="nil"/>
              <w:bottom w:val="nil"/>
              <w:right w:val="nil"/>
            </w:tcBorders>
            <w:shd w:val="clear" w:color="auto" w:fill="auto"/>
            <w:noWrap/>
            <w:vAlign w:val="center"/>
            <w:hideMark/>
          </w:tcPr>
          <w:p w14:paraId="06AFAA77" w14:textId="77777777" w:rsidR="007701F3" w:rsidRDefault="007701F3" w:rsidP="007701F3">
            <w:pPr>
              <w:spacing w:after="120"/>
              <w:rPr>
                <w:rFonts w:ascii="Calibri" w:hAnsi="Calibri" w:cs="Calibri"/>
                <w:color w:val="000000"/>
                <w:sz w:val="16"/>
                <w:szCs w:val="16"/>
              </w:rPr>
            </w:pPr>
            <w:r>
              <w:rPr>
                <w:rFonts w:ascii="Calibri" w:hAnsi="Calibri" w:cs="Calibri"/>
                <w:color w:val="000000"/>
                <w:sz w:val="16"/>
                <w:szCs w:val="16"/>
              </w:rPr>
              <w:t>Integralização</w:t>
            </w:r>
          </w:p>
        </w:tc>
        <w:tc>
          <w:tcPr>
            <w:tcW w:w="646" w:type="pct"/>
            <w:tcBorders>
              <w:top w:val="nil"/>
              <w:left w:val="nil"/>
              <w:bottom w:val="nil"/>
              <w:right w:val="nil"/>
            </w:tcBorders>
            <w:shd w:val="clear" w:color="auto" w:fill="auto"/>
            <w:noWrap/>
            <w:vAlign w:val="center"/>
            <w:hideMark/>
          </w:tcPr>
          <w:p w14:paraId="1C2B3FC5" w14:textId="77777777" w:rsidR="007701F3" w:rsidRDefault="007701F3" w:rsidP="007701F3">
            <w:pPr>
              <w:spacing w:after="120"/>
              <w:rPr>
                <w:rFonts w:ascii="Calibri" w:hAnsi="Calibri" w:cs="Calibri"/>
                <w:color w:val="000000"/>
                <w:sz w:val="16"/>
                <w:szCs w:val="16"/>
              </w:rPr>
            </w:pPr>
          </w:p>
        </w:tc>
        <w:tc>
          <w:tcPr>
            <w:tcW w:w="1959" w:type="pct"/>
            <w:gridSpan w:val="2"/>
            <w:tcBorders>
              <w:top w:val="nil"/>
              <w:left w:val="nil"/>
              <w:bottom w:val="nil"/>
              <w:right w:val="nil"/>
            </w:tcBorders>
            <w:shd w:val="clear" w:color="auto" w:fill="auto"/>
            <w:vAlign w:val="center"/>
            <w:hideMark/>
          </w:tcPr>
          <w:p w14:paraId="423A264F" w14:textId="0C67456A" w:rsidR="007701F3" w:rsidRDefault="0026154E" w:rsidP="007701F3">
            <w:pPr>
              <w:spacing w:after="120"/>
              <w:jc w:val="right"/>
              <w:rPr>
                <w:rFonts w:ascii="Calibri" w:hAnsi="Calibri" w:cs="Calibri"/>
                <w:color w:val="000000"/>
                <w:sz w:val="16"/>
                <w:szCs w:val="16"/>
              </w:rPr>
            </w:pPr>
            <w:r>
              <w:rPr>
                <w:rFonts w:ascii="Calibri" w:hAnsi="Calibri" w:cs="Calibri"/>
                <w:color w:val="000000"/>
                <w:sz w:val="16"/>
                <w:szCs w:val="16"/>
              </w:rPr>
              <w:t>(1.284.047.034)</w:t>
            </w:r>
          </w:p>
        </w:tc>
        <w:tc>
          <w:tcPr>
            <w:tcW w:w="1313" w:type="pct"/>
            <w:tcBorders>
              <w:top w:val="nil"/>
              <w:left w:val="nil"/>
              <w:bottom w:val="nil"/>
              <w:right w:val="nil"/>
            </w:tcBorders>
            <w:shd w:val="clear" w:color="auto" w:fill="auto"/>
            <w:vAlign w:val="center"/>
            <w:hideMark/>
          </w:tcPr>
          <w:p w14:paraId="4BDC71F3" w14:textId="4DF1A2F2" w:rsidR="007701F3" w:rsidRDefault="007701F3" w:rsidP="007701F3">
            <w:pPr>
              <w:spacing w:after="120"/>
              <w:jc w:val="right"/>
              <w:rPr>
                <w:rFonts w:ascii="Calibri" w:hAnsi="Calibri" w:cs="Calibri"/>
                <w:color w:val="000000"/>
                <w:sz w:val="16"/>
                <w:szCs w:val="16"/>
              </w:rPr>
            </w:pPr>
            <w:r>
              <w:rPr>
                <w:rFonts w:ascii="Calibri" w:hAnsi="Calibri" w:cs="Calibri"/>
                <w:color w:val="000000"/>
                <w:sz w:val="16"/>
                <w:szCs w:val="16"/>
              </w:rPr>
              <w:t>0</w:t>
            </w:r>
          </w:p>
        </w:tc>
      </w:tr>
      <w:tr w:rsidR="007701F3" w14:paraId="2B3F69ED" w14:textId="77777777" w:rsidTr="007701F3">
        <w:trPr>
          <w:trHeight w:hRule="exact" w:val="227"/>
        </w:trPr>
        <w:tc>
          <w:tcPr>
            <w:tcW w:w="1082" w:type="pct"/>
            <w:tcBorders>
              <w:top w:val="nil"/>
              <w:left w:val="nil"/>
              <w:bottom w:val="nil"/>
              <w:right w:val="nil"/>
            </w:tcBorders>
            <w:shd w:val="clear" w:color="auto" w:fill="auto"/>
            <w:noWrap/>
            <w:vAlign w:val="center"/>
            <w:hideMark/>
          </w:tcPr>
          <w:p w14:paraId="6C204B97" w14:textId="77777777" w:rsidR="007701F3" w:rsidRDefault="007701F3" w:rsidP="007701F3">
            <w:pPr>
              <w:spacing w:after="120"/>
              <w:rPr>
                <w:rFonts w:ascii="Calibri" w:hAnsi="Calibri" w:cs="Calibri"/>
                <w:color w:val="000000"/>
                <w:sz w:val="16"/>
                <w:szCs w:val="16"/>
              </w:rPr>
            </w:pPr>
            <w:r>
              <w:rPr>
                <w:rFonts w:ascii="Calibri" w:hAnsi="Calibri" w:cs="Calibri"/>
                <w:color w:val="000000"/>
                <w:sz w:val="16"/>
                <w:szCs w:val="16"/>
              </w:rPr>
              <w:t>Devolução de AFAC</w:t>
            </w:r>
          </w:p>
        </w:tc>
        <w:tc>
          <w:tcPr>
            <w:tcW w:w="646" w:type="pct"/>
            <w:tcBorders>
              <w:top w:val="nil"/>
              <w:left w:val="nil"/>
              <w:bottom w:val="nil"/>
              <w:right w:val="nil"/>
            </w:tcBorders>
            <w:shd w:val="clear" w:color="auto" w:fill="auto"/>
            <w:noWrap/>
            <w:vAlign w:val="center"/>
            <w:hideMark/>
          </w:tcPr>
          <w:p w14:paraId="2E00E23B" w14:textId="77777777" w:rsidR="007701F3" w:rsidRDefault="007701F3" w:rsidP="007701F3">
            <w:pPr>
              <w:spacing w:after="120"/>
              <w:rPr>
                <w:rFonts w:ascii="Calibri" w:hAnsi="Calibri" w:cs="Calibri"/>
                <w:color w:val="000000"/>
                <w:sz w:val="16"/>
                <w:szCs w:val="16"/>
              </w:rPr>
            </w:pPr>
          </w:p>
        </w:tc>
        <w:tc>
          <w:tcPr>
            <w:tcW w:w="1959" w:type="pct"/>
            <w:gridSpan w:val="2"/>
            <w:tcBorders>
              <w:top w:val="nil"/>
              <w:left w:val="nil"/>
              <w:bottom w:val="nil"/>
              <w:right w:val="nil"/>
            </w:tcBorders>
            <w:shd w:val="clear" w:color="auto" w:fill="auto"/>
            <w:vAlign w:val="center"/>
            <w:hideMark/>
          </w:tcPr>
          <w:p w14:paraId="72F3CD5E" w14:textId="1A31D969" w:rsidR="007701F3" w:rsidRDefault="007701F3" w:rsidP="007701F3">
            <w:pPr>
              <w:spacing w:after="120"/>
              <w:jc w:val="right"/>
              <w:rPr>
                <w:rFonts w:ascii="Calibri" w:hAnsi="Calibri" w:cs="Calibri"/>
                <w:color w:val="000000"/>
                <w:sz w:val="16"/>
                <w:szCs w:val="16"/>
              </w:rPr>
            </w:pPr>
            <w:r>
              <w:rPr>
                <w:rFonts w:ascii="Calibri" w:hAnsi="Calibri" w:cs="Calibri"/>
                <w:color w:val="000000"/>
                <w:sz w:val="16"/>
                <w:szCs w:val="16"/>
              </w:rPr>
              <w:t>0</w:t>
            </w:r>
          </w:p>
        </w:tc>
        <w:tc>
          <w:tcPr>
            <w:tcW w:w="1313" w:type="pct"/>
            <w:tcBorders>
              <w:top w:val="nil"/>
              <w:left w:val="nil"/>
              <w:bottom w:val="nil"/>
              <w:right w:val="nil"/>
            </w:tcBorders>
            <w:shd w:val="clear" w:color="auto" w:fill="auto"/>
            <w:vAlign w:val="center"/>
            <w:hideMark/>
          </w:tcPr>
          <w:p w14:paraId="0E1A8A7C" w14:textId="3C62101F" w:rsidR="007701F3" w:rsidRDefault="007701F3" w:rsidP="007701F3">
            <w:pPr>
              <w:spacing w:after="120"/>
              <w:jc w:val="right"/>
              <w:rPr>
                <w:rFonts w:ascii="Calibri" w:hAnsi="Calibri" w:cs="Calibri"/>
                <w:color w:val="000000"/>
                <w:sz w:val="16"/>
                <w:szCs w:val="16"/>
              </w:rPr>
            </w:pPr>
            <w:r>
              <w:rPr>
                <w:rFonts w:ascii="Calibri" w:hAnsi="Calibri" w:cs="Calibri"/>
                <w:color w:val="000000"/>
                <w:sz w:val="16"/>
                <w:szCs w:val="16"/>
              </w:rPr>
              <w:t>(2.657.243)</w:t>
            </w:r>
          </w:p>
        </w:tc>
      </w:tr>
      <w:tr w:rsidR="007701F3" w14:paraId="232DE3CF" w14:textId="77777777" w:rsidTr="007701F3">
        <w:trPr>
          <w:trHeight w:hRule="exact" w:val="227"/>
        </w:trPr>
        <w:tc>
          <w:tcPr>
            <w:tcW w:w="1082" w:type="pct"/>
            <w:tcBorders>
              <w:top w:val="nil"/>
              <w:left w:val="nil"/>
              <w:bottom w:val="single" w:sz="8" w:space="0" w:color="auto"/>
              <w:right w:val="nil"/>
            </w:tcBorders>
            <w:shd w:val="clear" w:color="auto" w:fill="auto"/>
            <w:noWrap/>
            <w:vAlign w:val="center"/>
            <w:hideMark/>
          </w:tcPr>
          <w:p w14:paraId="3ACF6963" w14:textId="77777777" w:rsidR="007701F3" w:rsidRDefault="007701F3" w:rsidP="007701F3">
            <w:pPr>
              <w:spacing w:after="120"/>
              <w:rPr>
                <w:rFonts w:ascii="Calibri" w:hAnsi="Calibri" w:cs="Calibri"/>
                <w:b/>
                <w:bCs/>
                <w:color w:val="000000"/>
                <w:sz w:val="16"/>
                <w:szCs w:val="16"/>
              </w:rPr>
            </w:pPr>
            <w:r>
              <w:rPr>
                <w:rFonts w:ascii="Calibri" w:hAnsi="Calibri" w:cs="Calibri"/>
                <w:b/>
                <w:bCs/>
                <w:color w:val="000000"/>
                <w:sz w:val="16"/>
                <w:szCs w:val="16"/>
              </w:rPr>
              <w:t xml:space="preserve">TOTAL AFAC Patrimônio Líquido </w:t>
            </w:r>
          </w:p>
        </w:tc>
        <w:tc>
          <w:tcPr>
            <w:tcW w:w="646" w:type="pct"/>
            <w:tcBorders>
              <w:top w:val="nil"/>
              <w:left w:val="nil"/>
              <w:bottom w:val="single" w:sz="8" w:space="0" w:color="auto"/>
              <w:right w:val="nil"/>
            </w:tcBorders>
            <w:shd w:val="clear" w:color="auto" w:fill="auto"/>
            <w:noWrap/>
            <w:vAlign w:val="center"/>
            <w:hideMark/>
          </w:tcPr>
          <w:p w14:paraId="420ACEF6" w14:textId="77777777" w:rsidR="007701F3" w:rsidRDefault="007701F3" w:rsidP="007701F3">
            <w:pPr>
              <w:spacing w:after="120"/>
              <w:jc w:val="right"/>
              <w:rPr>
                <w:rFonts w:ascii="Calibri" w:hAnsi="Calibri" w:cs="Calibri"/>
                <w:b/>
                <w:bCs/>
                <w:color w:val="000000"/>
                <w:sz w:val="16"/>
                <w:szCs w:val="16"/>
              </w:rPr>
            </w:pPr>
            <w:r>
              <w:rPr>
                <w:rFonts w:ascii="Calibri" w:hAnsi="Calibri" w:cs="Calibri"/>
                <w:b/>
                <w:bCs/>
                <w:color w:val="000000"/>
                <w:sz w:val="16"/>
                <w:szCs w:val="16"/>
              </w:rPr>
              <w:t> </w:t>
            </w:r>
          </w:p>
        </w:tc>
        <w:tc>
          <w:tcPr>
            <w:tcW w:w="1959" w:type="pct"/>
            <w:gridSpan w:val="2"/>
            <w:tcBorders>
              <w:top w:val="nil"/>
              <w:left w:val="nil"/>
              <w:bottom w:val="single" w:sz="8" w:space="0" w:color="auto"/>
              <w:right w:val="nil"/>
            </w:tcBorders>
            <w:shd w:val="clear" w:color="auto" w:fill="auto"/>
            <w:vAlign w:val="center"/>
            <w:hideMark/>
          </w:tcPr>
          <w:p w14:paraId="33B27E99" w14:textId="4CDFC8EC" w:rsidR="007701F3" w:rsidRDefault="000C5384" w:rsidP="007701F3">
            <w:pPr>
              <w:spacing w:after="120"/>
              <w:jc w:val="right"/>
              <w:rPr>
                <w:rFonts w:ascii="Calibri" w:hAnsi="Calibri" w:cs="Calibri"/>
                <w:b/>
                <w:bCs/>
                <w:color w:val="000000"/>
                <w:sz w:val="16"/>
                <w:szCs w:val="16"/>
              </w:rPr>
            </w:pPr>
            <w:r>
              <w:rPr>
                <w:rFonts w:ascii="Calibri" w:hAnsi="Calibri" w:cs="Calibri"/>
                <w:b/>
                <w:bCs/>
                <w:color w:val="000000"/>
                <w:sz w:val="16"/>
                <w:szCs w:val="16"/>
              </w:rPr>
              <w:t>1</w:t>
            </w:r>
            <w:r w:rsidR="0026154E">
              <w:rPr>
                <w:rFonts w:ascii="Calibri" w:hAnsi="Calibri" w:cs="Calibri"/>
                <w:b/>
                <w:bCs/>
                <w:color w:val="000000"/>
                <w:sz w:val="16"/>
                <w:szCs w:val="16"/>
              </w:rPr>
              <w:t>30.412.142</w:t>
            </w:r>
          </w:p>
        </w:tc>
        <w:tc>
          <w:tcPr>
            <w:tcW w:w="1313" w:type="pct"/>
            <w:tcBorders>
              <w:top w:val="nil"/>
              <w:left w:val="nil"/>
              <w:bottom w:val="single" w:sz="8" w:space="0" w:color="auto"/>
              <w:right w:val="nil"/>
            </w:tcBorders>
            <w:shd w:val="clear" w:color="auto" w:fill="auto"/>
            <w:vAlign w:val="center"/>
            <w:hideMark/>
          </w:tcPr>
          <w:p w14:paraId="61AF7524" w14:textId="46E0D7F4" w:rsidR="007701F3" w:rsidRDefault="007701F3" w:rsidP="007701F3">
            <w:pPr>
              <w:spacing w:after="120"/>
              <w:jc w:val="right"/>
              <w:rPr>
                <w:rFonts w:ascii="Calibri" w:hAnsi="Calibri" w:cs="Calibri"/>
                <w:b/>
                <w:bCs/>
                <w:color w:val="000000"/>
                <w:sz w:val="16"/>
                <w:szCs w:val="16"/>
              </w:rPr>
            </w:pPr>
            <w:r>
              <w:rPr>
                <w:rFonts w:ascii="Calibri" w:hAnsi="Calibri" w:cs="Calibri"/>
                <w:b/>
                <w:bCs/>
                <w:color w:val="000000"/>
                <w:sz w:val="16"/>
                <w:szCs w:val="16"/>
              </w:rPr>
              <w:t>1.288.641.343</w:t>
            </w:r>
          </w:p>
        </w:tc>
      </w:tr>
      <w:tr w:rsidR="00A05C0D" w14:paraId="1BB865C0" w14:textId="77777777" w:rsidTr="007701F3">
        <w:trPr>
          <w:trHeight w:hRule="exact" w:val="227"/>
        </w:trPr>
        <w:tc>
          <w:tcPr>
            <w:tcW w:w="1728" w:type="pct"/>
            <w:gridSpan w:val="2"/>
            <w:tcBorders>
              <w:top w:val="single" w:sz="8" w:space="0" w:color="auto"/>
              <w:left w:val="nil"/>
              <w:bottom w:val="single" w:sz="8" w:space="0" w:color="auto"/>
              <w:right w:val="nil"/>
            </w:tcBorders>
            <w:shd w:val="clear" w:color="auto" w:fill="auto"/>
            <w:noWrap/>
            <w:vAlign w:val="center"/>
            <w:hideMark/>
          </w:tcPr>
          <w:p w14:paraId="32894E19" w14:textId="77777777" w:rsidR="00A05C0D" w:rsidRDefault="00A05C0D" w:rsidP="00670EF5">
            <w:pPr>
              <w:spacing w:after="120"/>
              <w:rPr>
                <w:rFonts w:ascii="Calibri" w:hAnsi="Calibri" w:cs="Calibri"/>
                <w:b/>
                <w:bCs/>
                <w:color w:val="000000"/>
                <w:sz w:val="16"/>
                <w:szCs w:val="16"/>
              </w:rPr>
            </w:pPr>
            <w:r>
              <w:rPr>
                <w:rFonts w:ascii="Calibri" w:hAnsi="Calibri" w:cs="Calibri"/>
                <w:b/>
                <w:bCs/>
                <w:color w:val="000000"/>
                <w:sz w:val="16"/>
                <w:szCs w:val="16"/>
              </w:rPr>
              <w:t>FORMAÇÃO DO SALDO DO AFAC</w:t>
            </w:r>
          </w:p>
        </w:tc>
        <w:tc>
          <w:tcPr>
            <w:tcW w:w="983" w:type="pct"/>
            <w:tcBorders>
              <w:top w:val="nil"/>
              <w:left w:val="nil"/>
              <w:bottom w:val="single" w:sz="8" w:space="0" w:color="auto"/>
              <w:right w:val="nil"/>
            </w:tcBorders>
            <w:shd w:val="clear" w:color="auto" w:fill="auto"/>
            <w:noWrap/>
            <w:vAlign w:val="center"/>
            <w:hideMark/>
          </w:tcPr>
          <w:p w14:paraId="5885DD03" w14:textId="77777777" w:rsidR="00A05C0D" w:rsidRDefault="00A05C0D" w:rsidP="00670EF5">
            <w:pPr>
              <w:spacing w:after="120"/>
              <w:jc w:val="center"/>
              <w:rPr>
                <w:rFonts w:ascii="Calibri" w:hAnsi="Calibri" w:cs="Calibri"/>
                <w:b/>
                <w:bCs/>
                <w:color w:val="000000"/>
                <w:sz w:val="16"/>
                <w:szCs w:val="16"/>
              </w:rPr>
            </w:pPr>
            <w:r>
              <w:rPr>
                <w:rFonts w:ascii="Calibri" w:hAnsi="Calibri" w:cs="Calibri"/>
                <w:b/>
                <w:bCs/>
                <w:color w:val="000000"/>
                <w:sz w:val="16"/>
                <w:szCs w:val="16"/>
              </w:rPr>
              <w:t> </w:t>
            </w:r>
          </w:p>
        </w:tc>
        <w:tc>
          <w:tcPr>
            <w:tcW w:w="976" w:type="pct"/>
            <w:tcBorders>
              <w:top w:val="nil"/>
              <w:left w:val="nil"/>
              <w:bottom w:val="single" w:sz="8" w:space="0" w:color="auto"/>
              <w:right w:val="nil"/>
            </w:tcBorders>
            <w:shd w:val="clear" w:color="auto" w:fill="auto"/>
            <w:noWrap/>
            <w:vAlign w:val="center"/>
            <w:hideMark/>
          </w:tcPr>
          <w:p w14:paraId="227CA451" w14:textId="77777777" w:rsidR="00A05C0D" w:rsidRDefault="00A05C0D" w:rsidP="00670EF5">
            <w:pPr>
              <w:spacing w:after="120"/>
              <w:jc w:val="right"/>
              <w:rPr>
                <w:rFonts w:ascii="Calibri" w:hAnsi="Calibri" w:cs="Calibri"/>
                <w:b/>
                <w:bCs/>
                <w:color w:val="000000"/>
                <w:sz w:val="16"/>
                <w:szCs w:val="16"/>
              </w:rPr>
            </w:pPr>
            <w:r>
              <w:rPr>
                <w:rFonts w:ascii="Calibri" w:hAnsi="Calibri" w:cs="Calibri"/>
                <w:b/>
                <w:bCs/>
                <w:color w:val="000000"/>
                <w:sz w:val="16"/>
                <w:szCs w:val="16"/>
              </w:rPr>
              <w:t> </w:t>
            </w:r>
          </w:p>
        </w:tc>
        <w:tc>
          <w:tcPr>
            <w:tcW w:w="1313" w:type="pct"/>
            <w:tcBorders>
              <w:top w:val="single" w:sz="8" w:space="0" w:color="auto"/>
              <w:left w:val="nil"/>
              <w:bottom w:val="single" w:sz="8" w:space="0" w:color="auto"/>
              <w:right w:val="nil"/>
            </w:tcBorders>
            <w:shd w:val="clear" w:color="auto" w:fill="auto"/>
            <w:vAlign w:val="center"/>
            <w:hideMark/>
          </w:tcPr>
          <w:p w14:paraId="22B8844E" w14:textId="77777777" w:rsidR="00A05C0D" w:rsidRDefault="00A05C0D" w:rsidP="00670EF5">
            <w:pPr>
              <w:spacing w:after="120"/>
              <w:rPr>
                <w:color w:val="000000"/>
                <w:sz w:val="20"/>
                <w:szCs w:val="20"/>
              </w:rPr>
            </w:pPr>
            <w:r>
              <w:rPr>
                <w:color w:val="000000"/>
                <w:sz w:val="20"/>
                <w:szCs w:val="20"/>
              </w:rPr>
              <w:t> </w:t>
            </w:r>
          </w:p>
        </w:tc>
      </w:tr>
      <w:tr w:rsidR="000C5384" w14:paraId="2F6AA9AA" w14:textId="77777777" w:rsidTr="007701F3">
        <w:trPr>
          <w:trHeight w:hRule="exact" w:val="227"/>
        </w:trPr>
        <w:tc>
          <w:tcPr>
            <w:tcW w:w="2711" w:type="pct"/>
            <w:gridSpan w:val="3"/>
            <w:tcBorders>
              <w:top w:val="nil"/>
              <w:left w:val="nil"/>
              <w:right w:val="nil"/>
            </w:tcBorders>
            <w:shd w:val="clear" w:color="auto" w:fill="auto"/>
            <w:noWrap/>
            <w:vAlign w:val="center"/>
          </w:tcPr>
          <w:p w14:paraId="18E38FCB" w14:textId="31E5EDA0" w:rsidR="000C5384" w:rsidRDefault="000C5384" w:rsidP="00670EF5">
            <w:pPr>
              <w:spacing w:after="120"/>
              <w:rPr>
                <w:rFonts w:ascii="Calibri" w:hAnsi="Calibri" w:cs="Calibri"/>
                <w:color w:val="000000"/>
                <w:sz w:val="16"/>
                <w:szCs w:val="16"/>
              </w:rPr>
            </w:pPr>
            <w:r>
              <w:rPr>
                <w:rFonts w:ascii="Calibri" w:hAnsi="Calibri" w:cs="Calibri"/>
                <w:color w:val="000000"/>
                <w:sz w:val="16"/>
                <w:szCs w:val="16"/>
              </w:rPr>
              <w:t>Recursos recebidos em 2021</w:t>
            </w:r>
          </w:p>
        </w:tc>
        <w:tc>
          <w:tcPr>
            <w:tcW w:w="976" w:type="pct"/>
            <w:tcBorders>
              <w:top w:val="nil"/>
              <w:left w:val="nil"/>
              <w:right w:val="nil"/>
            </w:tcBorders>
            <w:shd w:val="clear" w:color="auto" w:fill="auto"/>
            <w:noWrap/>
            <w:vAlign w:val="center"/>
          </w:tcPr>
          <w:p w14:paraId="6D102361" w14:textId="77777777" w:rsidR="000C5384" w:rsidRDefault="000C5384" w:rsidP="00670EF5">
            <w:pPr>
              <w:spacing w:after="120"/>
              <w:jc w:val="right"/>
              <w:rPr>
                <w:rFonts w:ascii="Calibri" w:hAnsi="Calibri" w:cs="Calibri"/>
                <w:color w:val="000000"/>
                <w:sz w:val="16"/>
                <w:szCs w:val="16"/>
              </w:rPr>
            </w:pPr>
          </w:p>
        </w:tc>
        <w:tc>
          <w:tcPr>
            <w:tcW w:w="1313" w:type="pct"/>
            <w:tcBorders>
              <w:top w:val="nil"/>
              <w:left w:val="nil"/>
              <w:right w:val="nil"/>
            </w:tcBorders>
            <w:shd w:val="clear" w:color="auto" w:fill="auto"/>
            <w:vAlign w:val="center"/>
          </w:tcPr>
          <w:p w14:paraId="1F2A28C4" w14:textId="0870157C" w:rsidR="000C5384" w:rsidRDefault="0026154E" w:rsidP="00670EF5">
            <w:pPr>
              <w:spacing w:after="120"/>
              <w:jc w:val="right"/>
              <w:rPr>
                <w:rFonts w:ascii="Calibri" w:hAnsi="Calibri" w:cs="Calibri"/>
                <w:color w:val="000000"/>
                <w:sz w:val="16"/>
                <w:szCs w:val="16"/>
              </w:rPr>
            </w:pPr>
            <w:r>
              <w:rPr>
                <w:rFonts w:ascii="Calibri" w:hAnsi="Calibri" w:cs="Calibri"/>
                <w:color w:val="000000"/>
                <w:sz w:val="16"/>
                <w:szCs w:val="16"/>
              </w:rPr>
              <w:t>4.594.309</w:t>
            </w:r>
          </w:p>
        </w:tc>
      </w:tr>
      <w:tr w:rsidR="00A05C0D" w14:paraId="5B86CAC7" w14:textId="77777777" w:rsidTr="007701F3">
        <w:trPr>
          <w:trHeight w:hRule="exact" w:val="227"/>
        </w:trPr>
        <w:tc>
          <w:tcPr>
            <w:tcW w:w="2711" w:type="pct"/>
            <w:gridSpan w:val="3"/>
            <w:tcBorders>
              <w:left w:val="nil"/>
              <w:bottom w:val="single" w:sz="8" w:space="0" w:color="auto"/>
              <w:right w:val="nil"/>
            </w:tcBorders>
            <w:shd w:val="clear" w:color="auto" w:fill="auto"/>
            <w:noWrap/>
            <w:vAlign w:val="center"/>
            <w:hideMark/>
          </w:tcPr>
          <w:p w14:paraId="7ED8F24B" w14:textId="015C4665" w:rsidR="00A05C0D" w:rsidRDefault="00A05C0D" w:rsidP="00670EF5">
            <w:pPr>
              <w:spacing w:after="120"/>
              <w:rPr>
                <w:rFonts w:ascii="Calibri" w:hAnsi="Calibri" w:cs="Calibri"/>
                <w:color w:val="000000"/>
                <w:sz w:val="16"/>
                <w:szCs w:val="16"/>
              </w:rPr>
            </w:pPr>
            <w:r>
              <w:rPr>
                <w:rFonts w:ascii="Calibri" w:hAnsi="Calibri" w:cs="Calibri"/>
                <w:color w:val="000000"/>
                <w:sz w:val="16"/>
                <w:szCs w:val="16"/>
              </w:rPr>
              <w:t>Recursos recebidos em 202</w:t>
            </w:r>
            <w:r w:rsidR="00ED26AA">
              <w:rPr>
                <w:rFonts w:ascii="Calibri" w:hAnsi="Calibri" w:cs="Calibri"/>
                <w:color w:val="000000"/>
                <w:sz w:val="16"/>
                <w:szCs w:val="16"/>
              </w:rPr>
              <w:t>2</w:t>
            </w:r>
          </w:p>
        </w:tc>
        <w:tc>
          <w:tcPr>
            <w:tcW w:w="976" w:type="pct"/>
            <w:tcBorders>
              <w:left w:val="nil"/>
              <w:bottom w:val="single" w:sz="8" w:space="0" w:color="auto"/>
              <w:right w:val="nil"/>
            </w:tcBorders>
            <w:shd w:val="clear" w:color="auto" w:fill="auto"/>
            <w:noWrap/>
            <w:vAlign w:val="center"/>
            <w:hideMark/>
          </w:tcPr>
          <w:p w14:paraId="63D41311" w14:textId="77777777" w:rsidR="00A05C0D" w:rsidRDefault="00A05C0D" w:rsidP="00670EF5">
            <w:pPr>
              <w:spacing w:after="120"/>
              <w:jc w:val="right"/>
              <w:rPr>
                <w:rFonts w:ascii="Calibri" w:hAnsi="Calibri" w:cs="Calibri"/>
                <w:color w:val="000000"/>
                <w:sz w:val="16"/>
                <w:szCs w:val="16"/>
              </w:rPr>
            </w:pPr>
            <w:r>
              <w:rPr>
                <w:rFonts w:ascii="Calibri" w:hAnsi="Calibri" w:cs="Calibri"/>
                <w:color w:val="000000"/>
                <w:sz w:val="16"/>
                <w:szCs w:val="16"/>
              </w:rPr>
              <w:t> </w:t>
            </w:r>
          </w:p>
        </w:tc>
        <w:tc>
          <w:tcPr>
            <w:tcW w:w="1313" w:type="pct"/>
            <w:tcBorders>
              <w:left w:val="nil"/>
              <w:bottom w:val="single" w:sz="8" w:space="0" w:color="auto"/>
              <w:right w:val="nil"/>
            </w:tcBorders>
            <w:shd w:val="clear" w:color="auto" w:fill="auto"/>
            <w:vAlign w:val="center"/>
            <w:hideMark/>
          </w:tcPr>
          <w:p w14:paraId="59EC5BB3" w14:textId="3D857AB4" w:rsidR="00A05C0D" w:rsidRDefault="0026154E" w:rsidP="00670EF5">
            <w:pPr>
              <w:spacing w:after="120"/>
              <w:jc w:val="right"/>
              <w:rPr>
                <w:rFonts w:ascii="Calibri" w:hAnsi="Calibri" w:cs="Calibri"/>
                <w:color w:val="000000"/>
                <w:sz w:val="16"/>
                <w:szCs w:val="16"/>
              </w:rPr>
            </w:pPr>
            <w:r>
              <w:rPr>
                <w:rFonts w:ascii="Calibri" w:hAnsi="Calibri" w:cs="Calibri"/>
                <w:color w:val="000000"/>
                <w:sz w:val="16"/>
                <w:szCs w:val="16"/>
              </w:rPr>
              <w:t>125.817.833</w:t>
            </w:r>
          </w:p>
        </w:tc>
      </w:tr>
      <w:tr w:rsidR="00A05C0D" w14:paraId="70B16B5E" w14:textId="77777777" w:rsidTr="007701F3">
        <w:trPr>
          <w:trHeight w:hRule="exact" w:val="227"/>
        </w:trPr>
        <w:tc>
          <w:tcPr>
            <w:tcW w:w="2711" w:type="pct"/>
            <w:gridSpan w:val="3"/>
            <w:tcBorders>
              <w:top w:val="single" w:sz="8" w:space="0" w:color="auto"/>
              <w:left w:val="nil"/>
              <w:bottom w:val="single" w:sz="8" w:space="0" w:color="auto"/>
              <w:right w:val="nil"/>
            </w:tcBorders>
            <w:shd w:val="clear" w:color="auto" w:fill="auto"/>
            <w:noWrap/>
            <w:vAlign w:val="center"/>
            <w:hideMark/>
          </w:tcPr>
          <w:p w14:paraId="5D1E0B95" w14:textId="2A7C66EC" w:rsidR="00A05C0D" w:rsidRDefault="00A05C0D" w:rsidP="00670EF5">
            <w:pPr>
              <w:spacing w:after="120"/>
              <w:rPr>
                <w:rFonts w:ascii="Calibri" w:hAnsi="Calibri" w:cs="Calibri"/>
                <w:b/>
                <w:bCs/>
                <w:color w:val="000000"/>
                <w:sz w:val="16"/>
                <w:szCs w:val="16"/>
              </w:rPr>
            </w:pPr>
            <w:r>
              <w:rPr>
                <w:rFonts w:ascii="Calibri" w:hAnsi="Calibri" w:cs="Calibri"/>
                <w:b/>
                <w:bCs/>
                <w:color w:val="000000"/>
                <w:sz w:val="16"/>
                <w:szCs w:val="16"/>
              </w:rPr>
              <w:t>TOTAL AFAC EM 3</w:t>
            </w:r>
            <w:r w:rsidR="0026154E">
              <w:rPr>
                <w:rFonts w:ascii="Calibri" w:hAnsi="Calibri" w:cs="Calibri"/>
                <w:b/>
                <w:bCs/>
                <w:color w:val="000000"/>
                <w:sz w:val="16"/>
                <w:szCs w:val="16"/>
              </w:rPr>
              <w:t>0</w:t>
            </w:r>
            <w:r>
              <w:rPr>
                <w:rFonts w:ascii="Calibri" w:hAnsi="Calibri" w:cs="Calibri"/>
                <w:b/>
                <w:bCs/>
                <w:color w:val="000000"/>
                <w:sz w:val="16"/>
                <w:szCs w:val="16"/>
              </w:rPr>
              <w:t>/</w:t>
            </w:r>
            <w:r w:rsidR="004D7071">
              <w:rPr>
                <w:rFonts w:ascii="Calibri" w:hAnsi="Calibri" w:cs="Calibri"/>
                <w:b/>
                <w:bCs/>
                <w:color w:val="000000"/>
                <w:sz w:val="16"/>
                <w:szCs w:val="16"/>
              </w:rPr>
              <w:t>0</w:t>
            </w:r>
            <w:r w:rsidR="0026154E">
              <w:rPr>
                <w:rFonts w:ascii="Calibri" w:hAnsi="Calibri" w:cs="Calibri"/>
                <w:b/>
                <w:bCs/>
                <w:color w:val="000000"/>
                <w:sz w:val="16"/>
                <w:szCs w:val="16"/>
              </w:rPr>
              <w:t>6</w:t>
            </w:r>
            <w:r>
              <w:rPr>
                <w:rFonts w:ascii="Calibri" w:hAnsi="Calibri" w:cs="Calibri"/>
                <w:b/>
                <w:bCs/>
                <w:color w:val="000000"/>
                <w:sz w:val="16"/>
                <w:szCs w:val="16"/>
              </w:rPr>
              <w:t>/202</w:t>
            </w:r>
            <w:r w:rsidR="00ED26AA">
              <w:rPr>
                <w:rFonts w:ascii="Calibri" w:hAnsi="Calibri" w:cs="Calibri"/>
                <w:b/>
                <w:bCs/>
                <w:color w:val="000000"/>
                <w:sz w:val="16"/>
                <w:szCs w:val="16"/>
              </w:rPr>
              <w:t>2</w:t>
            </w:r>
          </w:p>
        </w:tc>
        <w:tc>
          <w:tcPr>
            <w:tcW w:w="976" w:type="pct"/>
            <w:tcBorders>
              <w:top w:val="nil"/>
              <w:left w:val="nil"/>
              <w:bottom w:val="single" w:sz="8" w:space="0" w:color="auto"/>
              <w:right w:val="nil"/>
            </w:tcBorders>
            <w:shd w:val="clear" w:color="auto" w:fill="auto"/>
            <w:noWrap/>
            <w:vAlign w:val="center"/>
            <w:hideMark/>
          </w:tcPr>
          <w:p w14:paraId="64AF446B" w14:textId="77777777" w:rsidR="00A05C0D" w:rsidRDefault="00A05C0D" w:rsidP="00670EF5">
            <w:pPr>
              <w:spacing w:after="120"/>
              <w:jc w:val="right"/>
              <w:rPr>
                <w:rFonts w:ascii="Calibri" w:hAnsi="Calibri" w:cs="Calibri"/>
                <w:b/>
                <w:bCs/>
                <w:color w:val="000000"/>
                <w:sz w:val="16"/>
                <w:szCs w:val="16"/>
              </w:rPr>
            </w:pPr>
            <w:r>
              <w:rPr>
                <w:rFonts w:ascii="Calibri" w:hAnsi="Calibri" w:cs="Calibri"/>
                <w:b/>
                <w:bCs/>
                <w:color w:val="000000"/>
                <w:sz w:val="16"/>
                <w:szCs w:val="16"/>
              </w:rPr>
              <w:t> </w:t>
            </w:r>
          </w:p>
        </w:tc>
        <w:tc>
          <w:tcPr>
            <w:tcW w:w="1313" w:type="pct"/>
            <w:tcBorders>
              <w:top w:val="single" w:sz="8" w:space="0" w:color="auto"/>
              <w:left w:val="nil"/>
              <w:bottom w:val="single" w:sz="8" w:space="0" w:color="auto"/>
              <w:right w:val="nil"/>
            </w:tcBorders>
            <w:shd w:val="clear" w:color="auto" w:fill="auto"/>
            <w:vAlign w:val="center"/>
            <w:hideMark/>
          </w:tcPr>
          <w:p w14:paraId="32E0AF4A" w14:textId="45C799AB" w:rsidR="00A05C0D" w:rsidRDefault="0026154E" w:rsidP="00670EF5">
            <w:pPr>
              <w:spacing w:after="120"/>
              <w:jc w:val="right"/>
              <w:rPr>
                <w:rFonts w:ascii="Calibri" w:hAnsi="Calibri" w:cs="Calibri"/>
                <w:b/>
                <w:bCs/>
                <w:color w:val="000000"/>
                <w:sz w:val="16"/>
                <w:szCs w:val="16"/>
              </w:rPr>
            </w:pPr>
            <w:r>
              <w:rPr>
                <w:rFonts w:ascii="Calibri" w:hAnsi="Calibri" w:cs="Calibri"/>
                <w:b/>
                <w:bCs/>
                <w:color w:val="000000"/>
                <w:sz w:val="16"/>
                <w:szCs w:val="16"/>
              </w:rPr>
              <w:t>130.412.142</w:t>
            </w:r>
          </w:p>
        </w:tc>
      </w:tr>
    </w:tbl>
    <w:p w14:paraId="00BDCD20" w14:textId="5EEEB147" w:rsidR="000C5384" w:rsidRDefault="007701F3" w:rsidP="007701F3">
      <w:pPr>
        <w:spacing w:before="120" w:after="120"/>
        <w:ind w:right="-142"/>
        <w:jc w:val="both"/>
        <w:rPr>
          <w:rFonts w:ascii="Calibri" w:hAnsi="Calibri" w:cs="Calibri"/>
          <w:sz w:val="22"/>
          <w:szCs w:val="22"/>
        </w:rPr>
      </w:pPr>
      <w:r w:rsidRPr="007701F3">
        <w:rPr>
          <w:rFonts w:ascii="Calibri" w:hAnsi="Calibri" w:cs="Calibri"/>
          <w:sz w:val="22"/>
          <w:szCs w:val="22"/>
        </w:rPr>
        <w:t>O saldo de Adiantamentos para Futuro Aumento de Capital acumulado até 3</w:t>
      </w:r>
      <w:r w:rsidR="0026154E">
        <w:rPr>
          <w:rFonts w:ascii="Calibri" w:hAnsi="Calibri" w:cs="Calibri"/>
          <w:sz w:val="22"/>
          <w:szCs w:val="22"/>
        </w:rPr>
        <w:t>0</w:t>
      </w:r>
      <w:r w:rsidRPr="007701F3">
        <w:rPr>
          <w:rFonts w:ascii="Calibri" w:hAnsi="Calibri" w:cs="Calibri"/>
          <w:sz w:val="22"/>
          <w:szCs w:val="22"/>
        </w:rPr>
        <w:t xml:space="preserve"> de </w:t>
      </w:r>
      <w:r w:rsidR="0026154E">
        <w:rPr>
          <w:rFonts w:ascii="Calibri" w:hAnsi="Calibri" w:cs="Calibri"/>
          <w:sz w:val="22"/>
          <w:szCs w:val="22"/>
        </w:rPr>
        <w:t>junh</w:t>
      </w:r>
      <w:r w:rsidRPr="007701F3">
        <w:rPr>
          <w:rFonts w:ascii="Calibri" w:hAnsi="Calibri" w:cs="Calibri"/>
          <w:sz w:val="22"/>
          <w:szCs w:val="22"/>
        </w:rPr>
        <w:t>o de</w:t>
      </w:r>
      <w:r>
        <w:rPr>
          <w:rFonts w:ascii="Calibri" w:hAnsi="Calibri" w:cs="Calibri"/>
          <w:sz w:val="22"/>
          <w:szCs w:val="22"/>
        </w:rPr>
        <w:t xml:space="preserve"> </w:t>
      </w:r>
      <w:r w:rsidRPr="007701F3">
        <w:rPr>
          <w:rFonts w:ascii="Calibri" w:hAnsi="Calibri" w:cs="Calibri"/>
          <w:sz w:val="22"/>
          <w:szCs w:val="22"/>
        </w:rPr>
        <w:t xml:space="preserve">2022 soma R$ </w:t>
      </w:r>
      <w:r w:rsidR="000C5384">
        <w:rPr>
          <w:rFonts w:ascii="Calibri" w:hAnsi="Calibri" w:cs="Calibri"/>
          <w:sz w:val="22"/>
          <w:szCs w:val="22"/>
        </w:rPr>
        <w:t>13</w:t>
      </w:r>
      <w:r w:rsidR="0026154E">
        <w:rPr>
          <w:rFonts w:ascii="Calibri" w:hAnsi="Calibri" w:cs="Calibri"/>
          <w:sz w:val="22"/>
          <w:szCs w:val="22"/>
        </w:rPr>
        <w:t>0,41 m</w:t>
      </w:r>
      <w:r w:rsidR="000E57F2">
        <w:rPr>
          <w:rFonts w:ascii="Calibri" w:hAnsi="Calibri" w:cs="Calibri"/>
          <w:sz w:val="22"/>
          <w:szCs w:val="22"/>
        </w:rPr>
        <w:t>ilhões</w:t>
      </w:r>
      <w:r w:rsidRPr="007701F3">
        <w:rPr>
          <w:rFonts w:ascii="Calibri" w:hAnsi="Calibri" w:cs="Calibri"/>
          <w:sz w:val="22"/>
          <w:szCs w:val="22"/>
        </w:rPr>
        <w:t xml:space="preserve">. </w:t>
      </w:r>
    </w:p>
    <w:p w14:paraId="48882B9A" w14:textId="247B5D25" w:rsidR="00CB1154" w:rsidRPr="002901F5" w:rsidRDefault="00D2082F" w:rsidP="00A05C0D">
      <w:pPr>
        <w:numPr>
          <w:ilvl w:val="0"/>
          <w:numId w:val="7"/>
        </w:numPr>
        <w:spacing w:after="120"/>
        <w:ind w:left="284" w:right="-142" w:hanging="284"/>
        <w:rPr>
          <w:rFonts w:ascii="Calibri" w:hAnsi="Calibri" w:cs="Calibri"/>
          <w:b/>
          <w:sz w:val="22"/>
          <w:szCs w:val="22"/>
        </w:rPr>
      </w:pPr>
      <w:r w:rsidRPr="002901F5">
        <w:rPr>
          <w:rFonts w:ascii="Calibri" w:hAnsi="Calibri" w:cs="Calibri"/>
          <w:b/>
          <w:bCs/>
          <w:sz w:val="22"/>
          <w:szCs w:val="22"/>
        </w:rPr>
        <w:t>Prejuízos Ac</w:t>
      </w:r>
      <w:r w:rsidRPr="002901F5">
        <w:rPr>
          <w:rFonts w:ascii="Calibri" w:hAnsi="Calibri" w:cs="Calibri"/>
          <w:b/>
          <w:sz w:val="22"/>
          <w:szCs w:val="22"/>
        </w:rPr>
        <w:t>umulados</w:t>
      </w:r>
    </w:p>
    <w:p w14:paraId="0E74AFFB" w14:textId="26EF97CA" w:rsidR="00B87A63" w:rsidRPr="00661570" w:rsidRDefault="00E458B9" w:rsidP="00937ED9">
      <w:pPr>
        <w:spacing w:after="120"/>
        <w:ind w:right="57"/>
        <w:jc w:val="both"/>
        <w:rPr>
          <w:rFonts w:ascii="Calibri" w:hAnsi="Calibri" w:cs="Calibri"/>
          <w:sz w:val="22"/>
          <w:szCs w:val="22"/>
        </w:rPr>
      </w:pPr>
      <w:r w:rsidRPr="00661570">
        <w:rPr>
          <w:rFonts w:ascii="Calibri" w:hAnsi="Calibri" w:cs="Calibri"/>
          <w:sz w:val="22"/>
          <w:szCs w:val="22"/>
        </w:rPr>
        <w:t xml:space="preserve">O Prejuízo Acumulado no valor </w:t>
      </w:r>
      <w:r w:rsidR="00824D67" w:rsidRPr="00661570">
        <w:rPr>
          <w:rFonts w:ascii="Calibri" w:hAnsi="Calibri" w:cs="Calibri"/>
          <w:sz w:val="22"/>
          <w:szCs w:val="22"/>
        </w:rPr>
        <w:t xml:space="preserve">de R$ </w:t>
      </w:r>
      <w:r w:rsidR="000D65C1" w:rsidRPr="00661570">
        <w:rPr>
          <w:rFonts w:ascii="Calibri" w:hAnsi="Calibri" w:cs="Calibri"/>
          <w:sz w:val="22"/>
          <w:szCs w:val="22"/>
        </w:rPr>
        <w:t>2</w:t>
      </w:r>
      <w:r w:rsidR="00661570">
        <w:rPr>
          <w:rFonts w:ascii="Calibri" w:hAnsi="Calibri" w:cs="Calibri"/>
          <w:sz w:val="22"/>
          <w:szCs w:val="22"/>
        </w:rPr>
        <w:t>1,4</w:t>
      </w:r>
      <w:r w:rsidR="00CE78FA">
        <w:rPr>
          <w:rFonts w:ascii="Calibri" w:hAnsi="Calibri" w:cs="Calibri"/>
          <w:sz w:val="22"/>
          <w:szCs w:val="22"/>
        </w:rPr>
        <w:t>5</w:t>
      </w:r>
      <w:r w:rsidR="006A236D" w:rsidRPr="00661570">
        <w:rPr>
          <w:rFonts w:ascii="Calibri" w:hAnsi="Calibri" w:cs="Calibri"/>
          <w:sz w:val="22"/>
          <w:szCs w:val="22"/>
        </w:rPr>
        <w:t xml:space="preserve"> </w:t>
      </w:r>
      <w:r w:rsidR="0035020D" w:rsidRPr="00661570">
        <w:rPr>
          <w:rFonts w:ascii="Calibri" w:hAnsi="Calibri" w:cs="Calibri"/>
          <w:sz w:val="22"/>
          <w:szCs w:val="22"/>
        </w:rPr>
        <w:t>b</w:t>
      </w:r>
      <w:r w:rsidR="006A236D" w:rsidRPr="00661570">
        <w:rPr>
          <w:rFonts w:ascii="Calibri" w:hAnsi="Calibri" w:cs="Calibri"/>
          <w:sz w:val="22"/>
          <w:szCs w:val="22"/>
        </w:rPr>
        <w:t>ilhões</w:t>
      </w:r>
      <w:r w:rsidRPr="00661570">
        <w:rPr>
          <w:rFonts w:ascii="Calibri" w:hAnsi="Calibri" w:cs="Calibri"/>
          <w:sz w:val="22"/>
          <w:szCs w:val="22"/>
        </w:rPr>
        <w:t xml:space="preserve"> decorre</w:t>
      </w:r>
      <w:r w:rsidR="00FB744A" w:rsidRPr="00661570">
        <w:rPr>
          <w:rFonts w:ascii="Calibri" w:hAnsi="Calibri" w:cs="Calibri"/>
          <w:sz w:val="22"/>
          <w:szCs w:val="22"/>
        </w:rPr>
        <w:t xml:space="preserve"> </w:t>
      </w:r>
      <w:r w:rsidR="00AA74D1" w:rsidRPr="00661570">
        <w:rPr>
          <w:rFonts w:ascii="Calibri" w:hAnsi="Calibri" w:cs="Calibri"/>
          <w:sz w:val="22"/>
          <w:szCs w:val="22"/>
        </w:rPr>
        <w:t xml:space="preserve">das depreciações dos bens patrimoniais e amortizações dos bens intangíveis; </w:t>
      </w:r>
      <w:r w:rsidRPr="00661570">
        <w:rPr>
          <w:rFonts w:ascii="Calibri" w:hAnsi="Calibri" w:cs="Calibri"/>
          <w:sz w:val="22"/>
          <w:szCs w:val="22"/>
        </w:rPr>
        <w:t>dos efeitos inflacionários da atualização monetária dos Adiantamentos para Futuro Aumento de Capital; da constituição de provisões e atualizações monetárias; do resultado negativo da equivalência patrimonial sobre o investimento n</w:t>
      </w:r>
      <w:r w:rsidR="001011FD" w:rsidRPr="00661570">
        <w:rPr>
          <w:rFonts w:ascii="Calibri" w:hAnsi="Calibri" w:cs="Calibri"/>
          <w:sz w:val="22"/>
          <w:szCs w:val="22"/>
        </w:rPr>
        <w:t>a Transnordestina Logística S/A;  da baixa de ativo</w:t>
      </w:r>
      <w:r w:rsidR="000C3C86" w:rsidRPr="00661570">
        <w:rPr>
          <w:rFonts w:ascii="Calibri" w:hAnsi="Calibri" w:cs="Calibri"/>
          <w:sz w:val="22"/>
          <w:szCs w:val="22"/>
        </w:rPr>
        <w:t>s</w:t>
      </w:r>
      <w:r w:rsidR="001011FD" w:rsidRPr="00661570">
        <w:rPr>
          <w:rFonts w:ascii="Calibri" w:hAnsi="Calibri" w:cs="Calibri"/>
          <w:sz w:val="22"/>
          <w:szCs w:val="22"/>
        </w:rPr>
        <w:t xml:space="preserve"> imobilizad</w:t>
      </w:r>
      <w:r w:rsidR="00604EFA" w:rsidRPr="00661570">
        <w:rPr>
          <w:rFonts w:ascii="Calibri" w:hAnsi="Calibri" w:cs="Calibri"/>
          <w:sz w:val="22"/>
          <w:szCs w:val="22"/>
        </w:rPr>
        <w:t>o</w:t>
      </w:r>
      <w:r w:rsidR="000C3C86" w:rsidRPr="00661570">
        <w:rPr>
          <w:rFonts w:ascii="Calibri" w:hAnsi="Calibri" w:cs="Calibri"/>
          <w:sz w:val="22"/>
          <w:szCs w:val="22"/>
        </w:rPr>
        <w:t>s</w:t>
      </w:r>
      <w:r w:rsidR="00604EFA" w:rsidRPr="00661570">
        <w:rPr>
          <w:rFonts w:ascii="Calibri" w:hAnsi="Calibri" w:cs="Calibri"/>
          <w:sz w:val="22"/>
          <w:szCs w:val="22"/>
        </w:rPr>
        <w:t xml:space="preserve"> em decorrência da conclusão de Tomadas de Contas Especiais do</w:t>
      </w:r>
      <w:r w:rsidR="001011FD" w:rsidRPr="00661570">
        <w:rPr>
          <w:rFonts w:ascii="Calibri" w:hAnsi="Calibri" w:cs="Calibri"/>
          <w:sz w:val="22"/>
          <w:szCs w:val="22"/>
        </w:rPr>
        <w:t xml:space="preserve"> TCU</w:t>
      </w:r>
      <w:r w:rsidR="00FB744A" w:rsidRPr="00661570">
        <w:rPr>
          <w:rFonts w:ascii="Calibri" w:hAnsi="Calibri" w:cs="Calibri"/>
          <w:sz w:val="22"/>
          <w:szCs w:val="22"/>
        </w:rPr>
        <w:t xml:space="preserve">; e principalmente, pela </w:t>
      </w:r>
      <w:r w:rsidR="0035020D" w:rsidRPr="00661570">
        <w:rPr>
          <w:rFonts w:ascii="Calibri" w:hAnsi="Calibri" w:cs="Calibri"/>
          <w:sz w:val="22"/>
          <w:szCs w:val="22"/>
        </w:rPr>
        <w:t>provisão de perda ao valor recuperável</w:t>
      </w:r>
      <w:r w:rsidR="00FB744A" w:rsidRPr="00661570">
        <w:rPr>
          <w:rFonts w:ascii="Calibri" w:hAnsi="Calibri" w:cs="Calibri"/>
          <w:sz w:val="22"/>
          <w:szCs w:val="22"/>
        </w:rPr>
        <w:t xml:space="preserve"> dos ativos da Ferrovia Norte Sul</w:t>
      </w:r>
      <w:r w:rsidR="00D518C0" w:rsidRPr="00661570">
        <w:rPr>
          <w:rFonts w:ascii="Calibri" w:hAnsi="Calibri" w:cs="Calibri"/>
          <w:sz w:val="22"/>
          <w:szCs w:val="22"/>
        </w:rPr>
        <w:t xml:space="preserve"> e da Ferrovia de Integração Oeste Leste</w:t>
      </w:r>
      <w:r w:rsidR="00586E18" w:rsidRPr="00661570">
        <w:rPr>
          <w:rFonts w:ascii="Calibri" w:hAnsi="Calibri" w:cs="Calibri"/>
          <w:sz w:val="22"/>
          <w:szCs w:val="22"/>
        </w:rPr>
        <w:t>.</w:t>
      </w:r>
    </w:p>
    <w:p w14:paraId="7F9B861A" w14:textId="132135DF" w:rsidR="00B87A63" w:rsidRPr="00CA4124" w:rsidRDefault="001A1797" w:rsidP="00937ED9">
      <w:pPr>
        <w:spacing w:after="120"/>
        <w:ind w:right="57"/>
        <w:jc w:val="both"/>
        <w:rPr>
          <w:rFonts w:ascii="Calibri" w:hAnsi="Calibri" w:cs="Calibri"/>
          <w:sz w:val="22"/>
          <w:szCs w:val="22"/>
        </w:rPr>
      </w:pPr>
      <w:r w:rsidRPr="00CA4124">
        <w:rPr>
          <w:rFonts w:ascii="Calibri" w:hAnsi="Calibri" w:cs="Calibri"/>
          <w:sz w:val="22"/>
          <w:szCs w:val="22"/>
        </w:rPr>
        <w:lastRenderedPageBreak/>
        <w:t>O valor total da provisão para perda ao valor recuperável de ativos – FNS é de R$ 11,</w:t>
      </w:r>
      <w:r w:rsidR="00F07F25" w:rsidRPr="00CA4124">
        <w:rPr>
          <w:rFonts w:ascii="Calibri" w:hAnsi="Calibri" w:cs="Calibri"/>
          <w:sz w:val="22"/>
          <w:szCs w:val="22"/>
        </w:rPr>
        <w:t>3</w:t>
      </w:r>
      <w:r w:rsidRPr="00CA4124">
        <w:rPr>
          <w:rFonts w:ascii="Calibri" w:hAnsi="Calibri" w:cs="Calibri"/>
          <w:sz w:val="22"/>
          <w:szCs w:val="22"/>
        </w:rPr>
        <w:t xml:space="preserve"> bilhões, sendo que R$ 2,3 bilhões foram provisionados em exercícios anteriores</w:t>
      </w:r>
      <w:r w:rsidR="00F07F25" w:rsidRPr="00CA4124">
        <w:rPr>
          <w:rFonts w:ascii="Calibri" w:hAnsi="Calibri" w:cs="Calibri"/>
          <w:sz w:val="22"/>
          <w:szCs w:val="22"/>
        </w:rPr>
        <w:t xml:space="preserve"> a 2019</w:t>
      </w:r>
      <w:r w:rsidRPr="00CA4124">
        <w:rPr>
          <w:rFonts w:ascii="Calibri" w:hAnsi="Calibri" w:cs="Calibri"/>
          <w:sz w:val="22"/>
          <w:szCs w:val="22"/>
        </w:rPr>
        <w:t>, por se tratar do Trecho da Ferrovia Norte-Sul subconcedido em 2007 para a empresa FNS S/A</w:t>
      </w:r>
      <w:r w:rsidR="00F07F25" w:rsidRPr="00CA4124">
        <w:rPr>
          <w:rFonts w:ascii="Calibri" w:hAnsi="Calibri" w:cs="Calibri"/>
          <w:sz w:val="22"/>
          <w:szCs w:val="22"/>
        </w:rPr>
        <w:t>,</w:t>
      </w:r>
      <w:r w:rsidRPr="00CA4124">
        <w:rPr>
          <w:rFonts w:ascii="Calibri" w:hAnsi="Calibri" w:cs="Calibri"/>
          <w:sz w:val="22"/>
          <w:szCs w:val="22"/>
        </w:rPr>
        <w:t xml:space="preserve"> R$ 8,9 bilhões foram provisionados no exercício de 2019, por ocasião da subconcessão à Rumo </w:t>
      </w:r>
      <w:r w:rsidR="00DB7529" w:rsidRPr="00CA4124">
        <w:rPr>
          <w:rFonts w:ascii="Calibri" w:hAnsi="Calibri" w:cs="Calibri"/>
          <w:sz w:val="22"/>
          <w:szCs w:val="22"/>
        </w:rPr>
        <w:t>M</w:t>
      </w:r>
      <w:r w:rsidRPr="00CA4124">
        <w:rPr>
          <w:rFonts w:ascii="Calibri" w:hAnsi="Calibri" w:cs="Calibri"/>
          <w:sz w:val="22"/>
          <w:szCs w:val="22"/>
        </w:rPr>
        <w:t xml:space="preserve">alha Central S/A ocorrida </w:t>
      </w:r>
      <w:r w:rsidR="007A6436" w:rsidRPr="00CA4124">
        <w:rPr>
          <w:rFonts w:ascii="Calibri" w:hAnsi="Calibri" w:cs="Calibri"/>
          <w:sz w:val="22"/>
          <w:szCs w:val="22"/>
        </w:rPr>
        <w:t xml:space="preserve">em </w:t>
      </w:r>
      <w:r w:rsidR="00216A83" w:rsidRPr="00CA4124">
        <w:rPr>
          <w:rFonts w:ascii="Calibri" w:hAnsi="Calibri" w:cs="Calibri"/>
          <w:sz w:val="22"/>
          <w:szCs w:val="22"/>
        </w:rPr>
        <w:t>j</w:t>
      </w:r>
      <w:r w:rsidR="007A6436" w:rsidRPr="00CA4124">
        <w:rPr>
          <w:rFonts w:ascii="Calibri" w:hAnsi="Calibri" w:cs="Calibri"/>
          <w:sz w:val="22"/>
          <w:szCs w:val="22"/>
        </w:rPr>
        <w:t>ulho de 2019</w:t>
      </w:r>
      <w:r w:rsidR="00427353" w:rsidRPr="00CA4124">
        <w:rPr>
          <w:rFonts w:ascii="Calibri" w:hAnsi="Calibri" w:cs="Calibri"/>
          <w:sz w:val="22"/>
          <w:szCs w:val="22"/>
        </w:rPr>
        <w:t>,</w:t>
      </w:r>
      <w:r w:rsidR="00F07F25" w:rsidRPr="00CA4124">
        <w:rPr>
          <w:rFonts w:ascii="Calibri" w:hAnsi="Calibri" w:cs="Calibri"/>
          <w:sz w:val="22"/>
          <w:szCs w:val="22"/>
        </w:rPr>
        <w:t xml:space="preserve"> R$ 42,4 milhões, referente a entrada de custos Ferrovia Norte Sul, foram provisionados no exercício de 2020</w:t>
      </w:r>
      <w:r w:rsidR="00427353" w:rsidRPr="00CA4124">
        <w:rPr>
          <w:rFonts w:ascii="Calibri" w:hAnsi="Calibri" w:cs="Calibri"/>
          <w:sz w:val="22"/>
          <w:szCs w:val="22"/>
        </w:rPr>
        <w:t xml:space="preserve"> e R$ 15,03 milhões</w:t>
      </w:r>
      <w:r w:rsidR="00C17EB4" w:rsidRPr="00CA4124">
        <w:rPr>
          <w:rFonts w:ascii="Calibri" w:hAnsi="Calibri" w:cs="Calibri"/>
          <w:sz w:val="22"/>
          <w:szCs w:val="22"/>
        </w:rPr>
        <w:t xml:space="preserve"> referente a entrada de custos Ferrovia Norte Sul, foram provisionados no exercício de 2021.</w:t>
      </w:r>
    </w:p>
    <w:p w14:paraId="1ADFDB0C" w14:textId="509ED9DA" w:rsidR="009203C8" w:rsidRDefault="000D65C1" w:rsidP="00937ED9">
      <w:pPr>
        <w:spacing w:after="120"/>
        <w:ind w:right="57"/>
        <w:jc w:val="both"/>
        <w:rPr>
          <w:rFonts w:ascii="Calibri" w:hAnsi="Calibri" w:cs="Calibri"/>
          <w:sz w:val="22"/>
          <w:szCs w:val="22"/>
        </w:rPr>
      </w:pPr>
      <w:r w:rsidRPr="00CA4124">
        <w:rPr>
          <w:rFonts w:ascii="Calibri" w:hAnsi="Calibri" w:cs="Calibri"/>
          <w:sz w:val="22"/>
          <w:szCs w:val="22"/>
        </w:rPr>
        <w:t>O valor total da provisão para perda ao valor recuperável de ativos – FIOL é de R$ 3,2</w:t>
      </w:r>
      <w:r w:rsidR="00C17EB4" w:rsidRPr="00CA4124">
        <w:rPr>
          <w:rFonts w:ascii="Calibri" w:hAnsi="Calibri" w:cs="Calibri"/>
          <w:sz w:val="22"/>
          <w:szCs w:val="22"/>
        </w:rPr>
        <w:t>1</w:t>
      </w:r>
      <w:r w:rsidR="002E504F" w:rsidRPr="00CA4124">
        <w:rPr>
          <w:rFonts w:ascii="Calibri" w:hAnsi="Calibri" w:cs="Calibri"/>
          <w:sz w:val="22"/>
          <w:szCs w:val="22"/>
        </w:rPr>
        <w:t xml:space="preserve"> bilhões, sendo provisionados R$ 3,19 bilhões em 2019 (reapresentado)</w:t>
      </w:r>
      <w:r w:rsidR="00C17EB4" w:rsidRPr="00CA4124">
        <w:rPr>
          <w:rFonts w:ascii="Calibri" w:hAnsi="Calibri" w:cs="Calibri"/>
          <w:sz w:val="22"/>
          <w:szCs w:val="22"/>
        </w:rPr>
        <w:t>,</w:t>
      </w:r>
      <w:r w:rsidR="002E504F" w:rsidRPr="00CA4124">
        <w:rPr>
          <w:rFonts w:ascii="Calibri" w:hAnsi="Calibri" w:cs="Calibri"/>
          <w:sz w:val="22"/>
          <w:szCs w:val="22"/>
        </w:rPr>
        <w:t xml:space="preserve"> R$ 54,8 milhões em 2020</w:t>
      </w:r>
      <w:r w:rsidR="00C17EB4" w:rsidRPr="00CA4124">
        <w:rPr>
          <w:rFonts w:ascii="Calibri" w:hAnsi="Calibri" w:cs="Calibri"/>
          <w:sz w:val="22"/>
          <w:szCs w:val="22"/>
        </w:rPr>
        <w:t xml:space="preserve"> e R$ 20,77 milhões revertidos em 2021.</w:t>
      </w:r>
    </w:p>
    <w:p w14:paraId="7918663F" w14:textId="77777777" w:rsidR="00CE78FA" w:rsidRDefault="00CE78FA" w:rsidP="00937ED9">
      <w:pPr>
        <w:spacing w:after="120"/>
        <w:ind w:right="57"/>
        <w:jc w:val="both"/>
        <w:rPr>
          <w:rFonts w:ascii="Calibri" w:hAnsi="Calibri" w:cs="Calibri"/>
          <w:sz w:val="22"/>
          <w:szCs w:val="22"/>
        </w:rPr>
      </w:pPr>
    </w:p>
    <w:p w14:paraId="790F8650" w14:textId="79339479" w:rsidR="000C065B" w:rsidRPr="002E2B5B" w:rsidRDefault="009D6DA2" w:rsidP="00937ED9">
      <w:pPr>
        <w:spacing w:after="120"/>
        <w:ind w:right="-142"/>
        <w:jc w:val="both"/>
        <w:rPr>
          <w:rFonts w:ascii="Calibri" w:hAnsi="Calibri" w:cs="Calibri"/>
          <w:b/>
          <w:sz w:val="22"/>
          <w:szCs w:val="22"/>
        </w:rPr>
      </w:pPr>
      <w:r w:rsidRPr="005947BB">
        <w:rPr>
          <w:rFonts w:ascii="Calibri" w:hAnsi="Calibri" w:cs="Calibri"/>
          <w:b/>
          <w:sz w:val="22"/>
          <w:szCs w:val="22"/>
        </w:rPr>
        <w:t>N</w:t>
      </w:r>
      <w:r w:rsidR="00BE1376" w:rsidRPr="005947BB">
        <w:rPr>
          <w:rFonts w:ascii="Calibri" w:hAnsi="Calibri" w:cs="Calibri"/>
          <w:b/>
          <w:sz w:val="22"/>
          <w:szCs w:val="22"/>
        </w:rPr>
        <w:t>OTA 1</w:t>
      </w:r>
      <w:r w:rsidR="001A1B68" w:rsidRPr="005947BB">
        <w:rPr>
          <w:rFonts w:ascii="Calibri" w:hAnsi="Calibri" w:cs="Calibri"/>
          <w:b/>
          <w:sz w:val="22"/>
          <w:szCs w:val="22"/>
        </w:rPr>
        <w:t>7</w:t>
      </w:r>
      <w:r w:rsidR="004E146F" w:rsidRPr="005947BB">
        <w:rPr>
          <w:rFonts w:ascii="Calibri" w:hAnsi="Calibri" w:cs="Calibri"/>
          <w:b/>
          <w:sz w:val="22"/>
          <w:szCs w:val="22"/>
        </w:rPr>
        <w:t xml:space="preserve"> </w:t>
      </w:r>
      <w:r w:rsidR="00BD043E" w:rsidRPr="005947BB">
        <w:rPr>
          <w:rFonts w:ascii="Calibri" w:hAnsi="Calibri" w:cs="Calibri"/>
          <w:b/>
          <w:sz w:val="22"/>
          <w:szCs w:val="22"/>
        </w:rPr>
        <w:t>–</w:t>
      </w:r>
      <w:r w:rsidR="004E146F" w:rsidRPr="005947BB">
        <w:rPr>
          <w:rFonts w:ascii="Calibri" w:hAnsi="Calibri" w:cs="Calibri"/>
          <w:b/>
          <w:sz w:val="22"/>
          <w:szCs w:val="22"/>
        </w:rPr>
        <w:t xml:space="preserve"> </w:t>
      </w:r>
      <w:r w:rsidR="00BD043E" w:rsidRPr="005947BB">
        <w:rPr>
          <w:rFonts w:ascii="Calibri" w:hAnsi="Calibri" w:cs="Calibri"/>
          <w:b/>
          <w:sz w:val="22"/>
          <w:szCs w:val="22"/>
        </w:rPr>
        <w:t xml:space="preserve">RECEITAS </w:t>
      </w:r>
      <w:r w:rsidR="00F0179E" w:rsidRPr="005947BB">
        <w:rPr>
          <w:rFonts w:ascii="Calibri" w:hAnsi="Calibri" w:cs="Calibri"/>
          <w:b/>
          <w:sz w:val="22"/>
          <w:szCs w:val="22"/>
        </w:rPr>
        <w:t>LÍ</w:t>
      </w:r>
      <w:r w:rsidR="00472E99" w:rsidRPr="005947BB">
        <w:rPr>
          <w:rFonts w:ascii="Calibri" w:hAnsi="Calibri" w:cs="Calibri"/>
          <w:b/>
          <w:sz w:val="22"/>
          <w:szCs w:val="22"/>
        </w:rPr>
        <w:t>QUIDAS</w:t>
      </w:r>
    </w:p>
    <w:p w14:paraId="532A392B" w14:textId="3E548A14" w:rsidR="00317CCE" w:rsidRDefault="00440A58" w:rsidP="00937ED9">
      <w:pPr>
        <w:spacing w:after="120"/>
        <w:ind w:right="57"/>
        <w:jc w:val="both"/>
        <w:rPr>
          <w:rFonts w:ascii="Calibri" w:hAnsi="Calibri" w:cs="Calibri"/>
          <w:sz w:val="22"/>
          <w:szCs w:val="22"/>
        </w:rPr>
      </w:pPr>
      <w:r w:rsidRPr="002E2B5B">
        <w:rPr>
          <w:rFonts w:ascii="Calibri" w:hAnsi="Calibri" w:cs="Calibri"/>
          <w:sz w:val="22"/>
          <w:szCs w:val="22"/>
        </w:rPr>
        <w:t>A</w:t>
      </w:r>
      <w:r w:rsidR="009F15D2" w:rsidRPr="002E2B5B">
        <w:rPr>
          <w:rFonts w:ascii="Calibri" w:hAnsi="Calibri" w:cs="Calibri"/>
          <w:sz w:val="22"/>
          <w:szCs w:val="22"/>
        </w:rPr>
        <w:t>s</w:t>
      </w:r>
      <w:r w:rsidRPr="002E2B5B">
        <w:rPr>
          <w:rFonts w:ascii="Calibri" w:hAnsi="Calibri" w:cs="Calibri"/>
          <w:sz w:val="22"/>
          <w:szCs w:val="22"/>
        </w:rPr>
        <w:t xml:space="preserve"> receita</w:t>
      </w:r>
      <w:r w:rsidR="009F15D2" w:rsidRPr="002E2B5B">
        <w:rPr>
          <w:rFonts w:ascii="Calibri" w:hAnsi="Calibri" w:cs="Calibri"/>
          <w:sz w:val="22"/>
          <w:szCs w:val="22"/>
        </w:rPr>
        <w:t>s operacionais da VALEC compreendem as receitas</w:t>
      </w:r>
      <w:r w:rsidRPr="002E2B5B">
        <w:rPr>
          <w:rFonts w:ascii="Calibri" w:hAnsi="Calibri" w:cs="Calibri"/>
          <w:sz w:val="22"/>
          <w:szCs w:val="22"/>
        </w:rPr>
        <w:t xml:space="preserve"> de ex</w:t>
      </w:r>
      <w:r w:rsidR="00733B35" w:rsidRPr="002E2B5B">
        <w:rPr>
          <w:rFonts w:ascii="Calibri" w:hAnsi="Calibri" w:cs="Calibri"/>
          <w:sz w:val="22"/>
          <w:szCs w:val="22"/>
        </w:rPr>
        <w:t>ploração da ferrovia</w:t>
      </w:r>
      <w:r w:rsidR="000E00FF">
        <w:rPr>
          <w:rFonts w:ascii="Calibri" w:hAnsi="Calibri" w:cs="Calibri"/>
          <w:sz w:val="22"/>
          <w:szCs w:val="22"/>
        </w:rPr>
        <w:t>, receita de Subconcessão bem como</w:t>
      </w:r>
      <w:r w:rsidR="009F15D2" w:rsidRPr="002E2B5B">
        <w:rPr>
          <w:rFonts w:ascii="Calibri" w:hAnsi="Calibri" w:cs="Calibri"/>
          <w:sz w:val="22"/>
          <w:szCs w:val="22"/>
        </w:rPr>
        <w:t xml:space="preserve"> as receitas de permissões de uso de pátios. A receita </w:t>
      </w:r>
      <w:r w:rsidR="00472E99" w:rsidRPr="002E2B5B">
        <w:rPr>
          <w:rFonts w:ascii="Calibri" w:hAnsi="Calibri" w:cs="Calibri"/>
          <w:sz w:val="22"/>
          <w:szCs w:val="22"/>
        </w:rPr>
        <w:t>l</w:t>
      </w:r>
      <w:r w:rsidR="006478A2" w:rsidRPr="002E2B5B">
        <w:rPr>
          <w:rFonts w:ascii="Calibri" w:hAnsi="Calibri" w:cs="Calibri"/>
          <w:sz w:val="22"/>
          <w:szCs w:val="22"/>
        </w:rPr>
        <w:t>í</w:t>
      </w:r>
      <w:r w:rsidR="00472E99" w:rsidRPr="002E2B5B">
        <w:rPr>
          <w:rFonts w:ascii="Calibri" w:hAnsi="Calibri" w:cs="Calibri"/>
          <w:sz w:val="22"/>
          <w:szCs w:val="22"/>
        </w:rPr>
        <w:t xml:space="preserve">quida </w:t>
      </w:r>
      <w:r w:rsidR="009F15D2" w:rsidRPr="002E2B5B">
        <w:rPr>
          <w:rFonts w:ascii="Calibri" w:hAnsi="Calibri" w:cs="Calibri"/>
          <w:sz w:val="22"/>
          <w:szCs w:val="22"/>
        </w:rPr>
        <w:t>realizada</w:t>
      </w:r>
      <w:r w:rsidR="00B85D27">
        <w:rPr>
          <w:rFonts w:ascii="Calibri" w:hAnsi="Calibri" w:cs="Calibri"/>
          <w:sz w:val="22"/>
          <w:szCs w:val="22"/>
        </w:rPr>
        <w:t>,</w:t>
      </w:r>
      <w:r w:rsidR="006D335E">
        <w:rPr>
          <w:rFonts w:ascii="Calibri" w:hAnsi="Calibri" w:cs="Calibri"/>
          <w:sz w:val="22"/>
          <w:szCs w:val="22"/>
        </w:rPr>
        <w:t xml:space="preserve"> </w:t>
      </w:r>
      <w:r w:rsidR="00DA6A13">
        <w:rPr>
          <w:rFonts w:ascii="Calibri" w:hAnsi="Calibri" w:cs="Calibri"/>
          <w:sz w:val="22"/>
          <w:szCs w:val="22"/>
        </w:rPr>
        <w:t xml:space="preserve">até </w:t>
      </w:r>
      <w:r w:rsidR="00C17EB4">
        <w:rPr>
          <w:rFonts w:ascii="Calibri" w:hAnsi="Calibri" w:cs="Calibri"/>
          <w:sz w:val="22"/>
          <w:szCs w:val="22"/>
        </w:rPr>
        <w:t xml:space="preserve">o </w:t>
      </w:r>
      <w:r w:rsidR="00DA6A13">
        <w:rPr>
          <w:rFonts w:ascii="Calibri" w:hAnsi="Calibri" w:cs="Calibri"/>
          <w:sz w:val="22"/>
          <w:szCs w:val="22"/>
        </w:rPr>
        <w:t>2</w:t>
      </w:r>
      <w:r w:rsidR="00B85D27">
        <w:rPr>
          <w:rFonts w:ascii="Calibri" w:hAnsi="Calibri" w:cs="Calibri"/>
          <w:sz w:val="22"/>
          <w:szCs w:val="22"/>
        </w:rPr>
        <w:t xml:space="preserve">º trimestre de 2022, </w:t>
      </w:r>
      <w:r w:rsidR="009F15D2" w:rsidRPr="002E2B5B">
        <w:rPr>
          <w:rFonts w:ascii="Calibri" w:hAnsi="Calibri" w:cs="Calibri"/>
          <w:sz w:val="22"/>
          <w:szCs w:val="22"/>
        </w:rPr>
        <w:t xml:space="preserve">foi de R$ </w:t>
      </w:r>
      <w:r w:rsidR="00DA6A13">
        <w:rPr>
          <w:rFonts w:ascii="Calibri" w:hAnsi="Calibri" w:cs="Calibri"/>
          <w:sz w:val="22"/>
          <w:szCs w:val="22"/>
        </w:rPr>
        <w:t>3</w:t>
      </w:r>
      <w:r w:rsidR="00317CCE">
        <w:rPr>
          <w:rFonts w:ascii="Calibri" w:hAnsi="Calibri" w:cs="Calibri"/>
          <w:sz w:val="22"/>
          <w:szCs w:val="22"/>
        </w:rPr>
        <w:t>,</w:t>
      </w:r>
      <w:r w:rsidR="00DA6A13">
        <w:rPr>
          <w:rFonts w:ascii="Calibri" w:hAnsi="Calibri" w:cs="Calibri"/>
          <w:sz w:val="22"/>
          <w:szCs w:val="22"/>
        </w:rPr>
        <w:t>10</w:t>
      </w:r>
      <w:r w:rsidR="00890FF1">
        <w:rPr>
          <w:rFonts w:ascii="Calibri" w:hAnsi="Calibri" w:cs="Calibri"/>
          <w:sz w:val="22"/>
          <w:szCs w:val="22"/>
        </w:rPr>
        <w:t xml:space="preserve"> </w:t>
      </w:r>
      <w:r w:rsidR="00317CCE">
        <w:rPr>
          <w:rFonts w:ascii="Calibri" w:hAnsi="Calibri" w:cs="Calibri"/>
          <w:sz w:val="22"/>
          <w:szCs w:val="22"/>
        </w:rPr>
        <w:t>milh</w:t>
      </w:r>
      <w:r w:rsidR="00C27A76">
        <w:rPr>
          <w:rFonts w:ascii="Calibri" w:hAnsi="Calibri" w:cs="Calibri"/>
          <w:sz w:val="22"/>
          <w:szCs w:val="22"/>
        </w:rPr>
        <w:t>ões</w:t>
      </w:r>
      <w:r w:rsidR="00216A83">
        <w:rPr>
          <w:rFonts w:ascii="Calibri" w:hAnsi="Calibri" w:cs="Calibri"/>
          <w:sz w:val="22"/>
          <w:szCs w:val="22"/>
        </w:rPr>
        <w:t>.</w:t>
      </w:r>
    </w:p>
    <w:tbl>
      <w:tblPr>
        <w:tblW w:w="5000" w:type="pct"/>
        <w:tblCellMar>
          <w:left w:w="70" w:type="dxa"/>
          <w:right w:w="70" w:type="dxa"/>
        </w:tblCellMar>
        <w:tblLook w:val="04A0" w:firstRow="1" w:lastRow="0" w:firstColumn="1" w:lastColumn="0" w:noHBand="0" w:noVBand="1"/>
      </w:tblPr>
      <w:tblGrid>
        <w:gridCol w:w="3076"/>
        <w:gridCol w:w="415"/>
        <w:gridCol w:w="1744"/>
        <w:gridCol w:w="1744"/>
        <w:gridCol w:w="1744"/>
        <w:gridCol w:w="1744"/>
      </w:tblGrid>
      <w:tr w:rsidR="00317CCE" w:rsidRPr="00B13DBD" w14:paraId="3CD04DCC" w14:textId="77777777" w:rsidTr="00317CCE">
        <w:trPr>
          <w:trHeight w:val="227"/>
        </w:trPr>
        <w:tc>
          <w:tcPr>
            <w:tcW w:w="1667" w:type="pct"/>
            <w:gridSpan w:val="2"/>
            <w:tcBorders>
              <w:top w:val="nil"/>
              <w:left w:val="nil"/>
              <w:bottom w:val="single" w:sz="8" w:space="0" w:color="auto"/>
              <w:right w:val="nil"/>
            </w:tcBorders>
            <w:shd w:val="clear" w:color="auto" w:fill="auto"/>
            <w:noWrap/>
            <w:vAlign w:val="center"/>
            <w:hideMark/>
          </w:tcPr>
          <w:p w14:paraId="0E5F2E68" w14:textId="77777777" w:rsidR="00317CCE" w:rsidRDefault="00317CCE" w:rsidP="00937ED9">
            <w:pPr>
              <w:spacing w:after="120"/>
              <w:rPr>
                <w:rFonts w:ascii="Calibri" w:hAnsi="Calibri" w:cs="Calibri"/>
                <w:b/>
                <w:bCs/>
                <w:color w:val="000000"/>
                <w:sz w:val="16"/>
                <w:szCs w:val="16"/>
              </w:rPr>
            </w:pPr>
            <w:r>
              <w:rPr>
                <w:rFonts w:ascii="Calibri" w:hAnsi="Calibri" w:cs="Calibri"/>
                <w:b/>
                <w:bCs/>
                <w:color w:val="000000"/>
                <w:sz w:val="16"/>
                <w:szCs w:val="16"/>
              </w:rPr>
              <w:t>RECEITAS LÍQUIDAS</w:t>
            </w:r>
          </w:p>
        </w:tc>
        <w:tc>
          <w:tcPr>
            <w:tcW w:w="833" w:type="pct"/>
            <w:tcBorders>
              <w:top w:val="nil"/>
              <w:left w:val="nil"/>
              <w:bottom w:val="single" w:sz="8" w:space="0" w:color="auto"/>
              <w:right w:val="nil"/>
            </w:tcBorders>
            <w:shd w:val="clear" w:color="auto" w:fill="auto"/>
            <w:noWrap/>
            <w:vAlign w:val="center"/>
            <w:hideMark/>
          </w:tcPr>
          <w:p w14:paraId="7483FFB4" w14:textId="77777777" w:rsidR="00317CCE" w:rsidRDefault="00317CCE" w:rsidP="00937ED9">
            <w:pPr>
              <w:spacing w:after="120"/>
              <w:rPr>
                <w:rFonts w:ascii="Calibri" w:hAnsi="Calibri" w:cs="Calibri"/>
                <w:b/>
                <w:bCs/>
                <w:color w:val="000000"/>
                <w:sz w:val="16"/>
                <w:szCs w:val="16"/>
              </w:rPr>
            </w:pPr>
            <w:r>
              <w:rPr>
                <w:rFonts w:ascii="Calibri" w:hAnsi="Calibri" w:cs="Calibri"/>
                <w:b/>
                <w:bCs/>
                <w:color w:val="000000"/>
                <w:sz w:val="16"/>
                <w:szCs w:val="16"/>
              </w:rPr>
              <w:t> </w:t>
            </w:r>
          </w:p>
        </w:tc>
        <w:tc>
          <w:tcPr>
            <w:tcW w:w="833" w:type="pct"/>
            <w:tcBorders>
              <w:top w:val="nil"/>
              <w:left w:val="nil"/>
              <w:bottom w:val="single" w:sz="8" w:space="0" w:color="auto"/>
              <w:right w:val="nil"/>
            </w:tcBorders>
            <w:shd w:val="clear" w:color="auto" w:fill="auto"/>
            <w:noWrap/>
            <w:vAlign w:val="center"/>
            <w:hideMark/>
          </w:tcPr>
          <w:p w14:paraId="06F597E0" w14:textId="77777777" w:rsidR="00317CCE" w:rsidRDefault="00317CCE" w:rsidP="00937ED9">
            <w:pPr>
              <w:spacing w:after="120"/>
              <w:jc w:val="right"/>
              <w:rPr>
                <w:rFonts w:ascii="Calibri" w:hAnsi="Calibri" w:cs="Calibri"/>
                <w:b/>
                <w:bCs/>
                <w:color w:val="000000"/>
                <w:sz w:val="16"/>
                <w:szCs w:val="16"/>
              </w:rPr>
            </w:pPr>
            <w:r>
              <w:rPr>
                <w:rFonts w:ascii="Calibri" w:hAnsi="Calibri" w:cs="Calibri"/>
                <w:b/>
                <w:bCs/>
                <w:color w:val="000000"/>
                <w:sz w:val="16"/>
                <w:szCs w:val="16"/>
              </w:rPr>
              <w:t> </w:t>
            </w:r>
          </w:p>
        </w:tc>
        <w:tc>
          <w:tcPr>
            <w:tcW w:w="833" w:type="pct"/>
            <w:tcBorders>
              <w:top w:val="nil"/>
              <w:left w:val="nil"/>
              <w:bottom w:val="single" w:sz="8" w:space="0" w:color="auto"/>
              <w:right w:val="nil"/>
            </w:tcBorders>
            <w:shd w:val="clear" w:color="auto" w:fill="auto"/>
            <w:noWrap/>
            <w:vAlign w:val="center"/>
            <w:hideMark/>
          </w:tcPr>
          <w:p w14:paraId="16D02D0A" w14:textId="404BCBB8" w:rsidR="00317CCE" w:rsidRDefault="00317CCE" w:rsidP="00937ED9">
            <w:pPr>
              <w:spacing w:after="120"/>
              <w:jc w:val="right"/>
              <w:rPr>
                <w:rFonts w:ascii="Calibri" w:hAnsi="Calibri" w:cs="Calibri"/>
                <w:b/>
                <w:bCs/>
                <w:color w:val="000000"/>
                <w:sz w:val="16"/>
                <w:szCs w:val="16"/>
              </w:rPr>
            </w:pPr>
            <w:r>
              <w:rPr>
                <w:rFonts w:ascii="Calibri" w:hAnsi="Calibri" w:cs="Calibri"/>
                <w:b/>
                <w:bCs/>
                <w:color w:val="000000"/>
                <w:sz w:val="16"/>
                <w:szCs w:val="16"/>
              </w:rPr>
              <w:t>3</w:t>
            </w:r>
            <w:r w:rsidR="00DA6A13">
              <w:rPr>
                <w:rFonts w:ascii="Calibri" w:hAnsi="Calibri" w:cs="Calibri"/>
                <w:b/>
                <w:bCs/>
                <w:color w:val="000000"/>
                <w:sz w:val="16"/>
                <w:szCs w:val="16"/>
              </w:rPr>
              <w:t>0</w:t>
            </w:r>
            <w:r>
              <w:rPr>
                <w:rFonts w:ascii="Calibri" w:hAnsi="Calibri" w:cs="Calibri"/>
                <w:b/>
                <w:bCs/>
                <w:color w:val="000000"/>
                <w:sz w:val="16"/>
                <w:szCs w:val="16"/>
              </w:rPr>
              <w:t>/</w:t>
            </w:r>
            <w:r w:rsidR="00B85D27">
              <w:rPr>
                <w:rFonts w:ascii="Calibri" w:hAnsi="Calibri" w:cs="Calibri"/>
                <w:b/>
                <w:bCs/>
                <w:color w:val="000000"/>
                <w:sz w:val="16"/>
                <w:szCs w:val="16"/>
              </w:rPr>
              <w:t>0</w:t>
            </w:r>
            <w:r w:rsidR="00DA6A13">
              <w:rPr>
                <w:rFonts w:ascii="Calibri" w:hAnsi="Calibri" w:cs="Calibri"/>
                <w:b/>
                <w:bCs/>
                <w:color w:val="000000"/>
                <w:sz w:val="16"/>
                <w:szCs w:val="16"/>
              </w:rPr>
              <w:t>6</w:t>
            </w:r>
            <w:r>
              <w:rPr>
                <w:rFonts w:ascii="Calibri" w:hAnsi="Calibri" w:cs="Calibri"/>
                <w:b/>
                <w:bCs/>
                <w:color w:val="000000"/>
                <w:sz w:val="16"/>
                <w:szCs w:val="16"/>
              </w:rPr>
              <w:t>/202</w:t>
            </w:r>
            <w:r w:rsidR="00B85D27">
              <w:rPr>
                <w:rFonts w:ascii="Calibri" w:hAnsi="Calibri" w:cs="Calibri"/>
                <w:b/>
                <w:bCs/>
                <w:color w:val="000000"/>
                <w:sz w:val="16"/>
                <w:szCs w:val="16"/>
              </w:rPr>
              <w:t>2</w:t>
            </w:r>
          </w:p>
        </w:tc>
        <w:tc>
          <w:tcPr>
            <w:tcW w:w="833" w:type="pct"/>
            <w:tcBorders>
              <w:top w:val="nil"/>
              <w:left w:val="nil"/>
              <w:bottom w:val="single" w:sz="8" w:space="0" w:color="auto"/>
              <w:right w:val="nil"/>
            </w:tcBorders>
            <w:shd w:val="clear" w:color="auto" w:fill="auto"/>
            <w:noWrap/>
            <w:vAlign w:val="center"/>
            <w:hideMark/>
          </w:tcPr>
          <w:p w14:paraId="4B5CA91B" w14:textId="3BC70796" w:rsidR="00317CCE" w:rsidRPr="00B13DBD" w:rsidRDefault="00317CCE" w:rsidP="00937ED9">
            <w:pPr>
              <w:spacing w:after="120"/>
              <w:jc w:val="right"/>
              <w:rPr>
                <w:rFonts w:ascii="Calibri" w:hAnsi="Calibri" w:cs="Calibri"/>
                <w:b/>
                <w:bCs/>
                <w:color w:val="000000"/>
                <w:sz w:val="16"/>
                <w:szCs w:val="16"/>
              </w:rPr>
            </w:pPr>
            <w:r w:rsidRPr="00B13DBD">
              <w:rPr>
                <w:rFonts w:ascii="Calibri" w:hAnsi="Calibri" w:cs="Calibri"/>
                <w:b/>
                <w:bCs/>
                <w:color w:val="000000"/>
                <w:sz w:val="16"/>
                <w:szCs w:val="16"/>
              </w:rPr>
              <w:t>3</w:t>
            </w:r>
            <w:r w:rsidR="00DA6A13">
              <w:rPr>
                <w:rFonts w:ascii="Calibri" w:hAnsi="Calibri" w:cs="Calibri"/>
                <w:b/>
                <w:bCs/>
                <w:color w:val="000000"/>
                <w:sz w:val="16"/>
                <w:szCs w:val="16"/>
              </w:rPr>
              <w:t>0</w:t>
            </w:r>
            <w:r w:rsidRPr="00B13DBD">
              <w:rPr>
                <w:rFonts w:ascii="Calibri" w:hAnsi="Calibri" w:cs="Calibri"/>
                <w:b/>
                <w:bCs/>
                <w:color w:val="000000"/>
                <w:sz w:val="16"/>
                <w:szCs w:val="16"/>
              </w:rPr>
              <w:t>/</w:t>
            </w:r>
            <w:r w:rsidR="00B85D27">
              <w:rPr>
                <w:rFonts w:ascii="Calibri" w:hAnsi="Calibri" w:cs="Calibri"/>
                <w:b/>
                <w:bCs/>
                <w:color w:val="000000"/>
                <w:sz w:val="16"/>
                <w:szCs w:val="16"/>
              </w:rPr>
              <w:t>0</w:t>
            </w:r>
            <w:r w:rsidR="00DA6A13">
              <w:rPr>
                <w:rFonts w:ascii="Calibri" w:hAnsi="Calibri" w:cs="Calibri"/>
                <w:b/>
                <w:bCs/>
                <w:color w:val="000000"/>
                <w:sz w:val="16"/>
                <w:szCs w:val="16"/>
              </w:rPr>
              <w:t>6</w:t>
            </w:r>
            <w:r w:rsidRPr="00B13DBD">
              <w:rPr>
                <w:rFonts w:ascii="Calibri" w:hAnsi="Calibri" w:cs="Calibri"/>
                <w:b/>
                <w:bCs/>
                <w:color w:val="000000"/>
                <w:sz w:val="16"/>
                <w:szCs w:val="16"/>
              </w:rPr>
              <w:t>/202</w:t>
            </w:r>
            <w:r w:rsidR="00B85D27">
              <w:rPr>
                <w:rFonts w:ascii="Calibri" w:hAnsi="Calibri" w:cs="Calibri"/>
                <w:b/>
                <w:bCs/>
                <w:color w:val="000000"/>
                <w:sz w:val="16"/>
                <w:szCs w:val="16"/>
              </w:rPr>
              <w:t>1</w:t>
            </w:r>
          </w:p>
        </w:tc>
      </w:tr>
      <w:tr w:rsidR="00317CCE" w:rsidRPr="00B13DBD" w14:paraId="1A76B8F2" w14:textId="77777777" w:rsidTr="00317CCE">
        <w:trPr>
          <w:trHeight w:val="227"/>
        </w:trPr>
        <w:tc>
          <w:tcPr>
            <w:tcW w:w="1667" w:type="pct"/>
            <w:gridSpan w:val="2"/>
            <w:tcBorders>
              <w:top w:val="single" w:sz="8" w:space="0" w:color="auto"/>
              <w:left w:val="nil"/>
              <w:bottom w:val="nil"/>
              <w:right w:val="nil"/>
            </w:tcBorders>
            <w:shd w:val="clear" w:color="auto" w:fill="auto"/>
            <w:noWrap/>
            <w:vAlign w:val="center"/>
            <w:hideMark/>
          </w:tcPr>
          <w:p w14:paraId="1E454E8C" w14:textId="77777777" w:rsidR="00317CCE" w:rsidRDefault="00317CCE" w:rsidP="00937ED9">
            <w:pPr>
              <w:spacing w:after="120"/>
              <w:rPr>
                <w:rFonts w:ascii="Calibri" w:hAnsi="Calibri" w:cs="Calibri"/>
                <w:color w:val="000000"/>
                <w:sz w:val="16"/>
                <w:szCs w:val="16"/>
              </w:rPr>
            </w:pPr>
            <w:r>
              <w:rPr>
                <w:rFonts w:ascii="Calibri" w:hAnsi="Calibri" w:cs="Calibri"/>
                <w:color w:val="000000"/>
                <w:sz w:val="16"/>
                <w:szCs w:val="16"/>
              </w:rPr>
              <w:t>Exploração de ferrovia</w:t>
            </w:r>
          </w:p>
        </w:tc>
        <w:tc>
          <w:tcPr>
            <w:tcW w:w="833" w:type="pct"/>
            <w:tcBorders>
              <w:top w:val="nil"/>
              <w:left w:val="nil"/>
              <w:bottom w:val="nil"/>
              <w:right w:val="nil"/>
            </w:tcBorders>
            <w:shd w:val="clear" w:color="auto" w:fill="auto"/>
            <w:noWrap/>
            <w:vAlign w:val="center"/>
            <w:hideMark/>
          </w:tcPr>
          <w:p w14:paraId="63E3169E" w14:textId="77777777" w:rsidR="00317CCE" w:rsidRDefault="00317CCE" w:rsidP="00937ED9">
            <w:pPr>
              <w:spacing w:after="120"/>
              <w:rPr>
                <w:rFonts w:ascii="Calibri" w:hAnsi="Calibri" w:cs="Calibri"/>
                <w:color w:val="000000"/>
                <w:sz w:val="16"/>
                <w:szCs w:val="16"/>
              </w:rPr>
            </w:pPr>
          </w:p>
        </w:tc>
        <w:tc>
          <w:tcPr>
            <w:tcW w:w="833" w:type="pct"/>
            <w:tcBorders>
              <w:top w:val="nil"/>
              <w:left w:val="nil"/>
              <w:bottom w:val="nil"/>
              <w:right w:val="nil"/>
            </w:tcBorders>
            <w:shd w:val="clear" w:color="auto" w:fill="auto"/>
            <w:noWrap/>
            <w:vAlign w:val="center"/>
            <w:hideMark/>
          </w:tcPr>
          <w:p w14:paraId="19E7895C" w14:textId="77777777" w:rsidR="00317CCE" w:rsidRDefault="00317CCE" w:rsidP="00937ED9">
            <w:pPr>
              <w:spacing w:after="120"/>
              <w:rPr>
                <w:sz w:val="20"/>
                <w:szCs w:val="20"/>
              </w:rPr>
            </w:pPr>
          </w:p>
        </w:tc>
        <w:tc>
          <w:tcPr>
            <w:tcW w:w="833" w:type="pct"/>
            <w:tcBorders>
              <w:top w:val="nil"/>
              <w:left w:val="nil"/>
              <w:bottom w:val="nil"/>
              <w:right w:val="nil"/>
            </w:tcBorders>
            <w:shd w:val="clear" w:color="auto" w:fill="auto"/>
            <w:noWrap/>
            <w:vAlign w:val="center"/>
            <w:hideMark/>
          </w:tcPr>
          <w:p w14:paraId="628D5FB8" w14:textId="381B13FB" w:rsidR="00317CCE" w:rsidRDefault="00DA6A13" w:rsidP="00937ED9">
            <w:pPr>
              <w:spacing w:after="120"/>
              <w:jc w:val="right"/>
              <w:rPr>
                <w:rFonts w:ascii="Calibri" w:hAnsi="Calibri" w:cs="Calibri"/>
                <w:color w:val="000000"/>
                <w:sz w:val="16"/>
                <w:szCs w:val="16"/>
              </w:rPr>
            </w:pPr>
            <w:r>
              <w:rPr>
                <w:rFonts w:ascii="Calibri" w:hAnsi="Calibri" w:cs="Calibri"/>
                <w:color w:val="000000"/>
                <w:sz w:val="16"/>
                <w:szCs w:val="16"/>
              </w:rPr>
              <w:t>16.538</w:t>
            </w:r>
          </w:p>
        </w:tc>
        <w:tc>
          <w:tcPr>
            <w:tcW w:w="833" w:type="pct"/>
            <w:tcBorders>
              <w:top w:val="nil"/>
              <w:left w:val="nil"/>
              <w:bottom w:val="nil"/>
              <w:right w:val="nil"/>
            </w:tcBorders>
            <w:shd w:val="clear" w:color="auto" w:fill="auto"/>
            <w:noWrap/>
            <w:vAlign w:val="center"/>
            <w:hideMark/>
          </w:tcPr>
          <w:p w14:paraId="649DF2C1" w14:textId="7EF99C04" w:rsidR="00317CCE" w:rsidRPr="00B13DBD" w:rsidRDefault="00DA6A13" w:rsidP="00937ED9">
            <w:pPr>
              <w:spacing w:after="120"/>
              <w:jc w:val="right"/>
              <w:rPr>
                <w:rFonts w:ascii="Calibri" w:hAnsi="Calibri" w:cs="Calibri"/>
                <w:color w:val="000000"/>
                <w:sz w:val="16"/>
                <w:szCs w:val="16"/>
              </w:rPr>
            </w:pPr>
            <w:r>
              <w:rPr>
                <w:rFonts w:ascii="Calibri" w:hAnsi="Calibri" w:cs="Calibri"/>
                <w:color w:val="000000"/>
                <w:sz w:val="16"/>
                <w:szCs w:val="16"/>
              </w:rPr>
              <w:t>110.877</w:t>
            </w:r>
          </w:p>
        </w:tc>
      </w:tr>
      <w:tr w:rsidR="00317CCE" w:rsidRPr="00B13DBD" w14:paraId="023B66AC" w14:textId="77777777" w:rsidTr="00317CCE">
        <w:trPr>
          <w:trHeight w:val="227"/>
        </w:trPr>
        <w:tc>
          <w:tcPr>
            <w:tcW w:w="2500" w:type="pct"/>
            <w:gridSpan w:val="3"/>
            <w:tcBorders>
              <w:top w:val="nil"/>
              <w:left w:val="nil"/>
              <w:bottom w:val="nil"/>
              <w:right w:val="nil"/>
            </w:tcBorders>
            <w:shd w:val="clear" w:color="auto" w:fill="auto"/>
            <w:noWrap/>
            <w:vAlign w:val="center"/>
            <w:hideMark/>
          </w:tcPr>
          <w:p w14:paraId="57A1E5CB" w14:textId="64275D30" w:rsidR="00317CCE" w:rsidRDefault="00C17EB4" w:rsidP="00937ED9">
            <w:pPr>
              <w:spacing w:after="120"/>
              <w:rPr>
                <w:rFonts w:ascii="Calibri" w:hAnsi="Calibri" w:cs="Calibri"/>
                <w:color w:val="000000"/>
                <w:sz w:val="16"/>
                <w:szCs w:val="16"/>
              </w:rPr>
            </w:pPr>
            <w:r w:rsidRPr="00C17EB4">
              <w:rPr>
                <w:rFonts w:ascii="Calibri" w:hAnsi="Calibri" w:cs="Calibri"/>
                <w:color w:val="000000"/>
                <w:sz w:val="16"/>
                <w:szCs w:val="16"/>
              </w:rPr>
              <w:t>Receita com Subconcessão FIOL</w:t>
            </w:r>
          </w:p>
        </w:tc>
        <w:tc>
          <w:tcPr>
            <w:tcW w:w="833" w:type="pct"/>
            <w:tcBorders>
              <w:top w:val="nil"/>
              <w:left w:val="nil"/>
              <w:bottom w:val="nil"/>
              <w:right w:val="nil"/>
            </w:tcBorders>
            <w:shd w:val="clear" w:color="auto" w:fill="auto"/>
            <w:noWrap/>
            <w:vAlign w:val="center"/>
            <w:hideMark/>
          </w:tcPr>
          <w:p w14:paraId="78F97A54" w14:textId="77777777" w:rsidR="00317CCE" w:rsidRDefault="00317CCE" w:rsidP="00937ED9">
            <w:pPr>
              <w:spacing w:after="120"/>
              <w:rPr>
                <w:rFonts w:ascii="Calibri" w:hAnsi="Calibri" w:cs="Calibri"/>
                <w:color w:val="000000"/>
                <w:sz w:val="16"/>
                <w:szCs w:val="16"/>
              </w:rPr>
            </w:pPr>
          </w:p>
        </w:tc>
        <w:tc>
          <w:tcPr>
            <w:tcW w:w="833" w:type="pct"/>
            <w:tcBorders>
              <w:top w:val="nil"/>
              <w:left w:val="nil"/>
              <w:bottom w:val="nil"/>
              <w:right w:val="nil"/>
            </w:tcBorders>
            <w:shd w:val="clear" w:color="auto" w:fill="auto"/>
            <w:noWrap/>
            <w:vAlign w:val="center"/>
            <w:hideMark/>
          </w:tcPr>
          <w:p w14:paraId="15D6E3B3" w14:textId="06FDA032" w:rsidR="00317CCE" w:rsidRDefault="00DA6A13" w:rsidP="00937ED9">
            <w:pPr>
              <w:spacing w:after="120"/>
              <w:jc w:val="right"/>
              <w:rPr>
                <w:rFonts w:ascii="Calibri" w:hAnsi="Calibri" w:cs="Calibri"/>
                <w:color w:val="000000"/>
                <w:sz w:val="16"/>
                <w:szCs w:val="16"/>
              </w:rPr>
            </w:pPr>
            <w:r>
              <w:rPr>
                <w:rFonts w:ascii="Calibri" w:hAnsi="Calibri" w:cs="Calibri"/>
                <w:color w:val="000000"/>
                <w:sz w:val="16"/>
                <w:szCs w:val="16"/>
              </w:rPr>
              <w:t>1.091.000</w:t>
            </w:r>
          </w:p>
        </w:tc>
        <w:tc>
          <w:tcPr>
            <w:tcW w:w="833" w:type="pct"/>
            <w:tcBorders>
              <w:top w:val="nil"/>
              <w:left w:val="nil"/>
              <w:bottom w:val="nil"/>
              <w:right w:val="nil"/>
            </w:tcBorders>
            <w:shd w:val="clear" w:color="auto" w:fill="auto"/>
            <w:noWrap/>
            <w:vAlign w:val="center"/>
            <w:hideMark/>
          </w:tcPr>
          <w:p w14:paraId="6FEA152E" w14:textId="324DA607" w:rsidR="00317CCE" w:rsidRPr="00B13DBD" w:rsidRDefault="00B85D27" w:rsidP="00937ED9">
            <w:pPr>
              <w:spacing w:after="120"/>
              <w:jc w:val="right"/>
              <w:rPr>
                <w:rFonts w:ascii="Calibri" w:hAnsi="Calibri" w:cs="Calibri"/>
                <w:color w:val="000000"/>
                <w:sz w:val="16"/>
                <w:szCs w:val="16"/>
              </w:rPr>
            </w:pPr>
            <w:r>
              <w:rPr>
                <w:rFonts w:ascii="Calibri" w:hAnsi="Calibri" w:cs="Calibri"/>
                <w:color w:val="000000"/>
                <w:sz w:val="16"/>
                <w:szCs w:val="16"/>
              </w:rPr>
              <w:t>0</w:t>
            </w:r>
          </w:p>
        </w:tc>
      </w:tr>
      <w:tr w:rsidR="00C17EB4" w:rsidRPr="00B13DBD" w14:paraId="02B48726" w14:textId="77777777" w:rsidTr="00317CCE">
        <w:trPr>
          <w:trHeight w:val="227"/>
        </w:trPr>
        <w:tc>
          <w:tcPr>
            <w:tcW w:w="2500" w:type="pct"/>
            <w:gridSpan w:val="3"/>
            <w:tcBorders>
              <w:top w:val="nil"/>
              <w:left w:val="nil"/>
              <w:bottom w:val="nil"/>
              <w:right w:val="nil"/>
            </w:tcBorders>
            <w:shd w:val="clear" w:color="auto" w:fill="auto"/>
            <w:noWrap/>
            <w:vAlign w:val="center"/>
          </w:tcPr>
          <w:p w14:paraId="0A39BE5D" w14:textId="0CA37151" w:rsidR="00C17EB4" w:rsidRDefault="00C17EB4" w:rsidP="00937ED9">
            <w:pPr>
              <w:spacing w:after="120"/>
              <w:rPr>
                <w:rFonts w:ascii="Calibri" w:hAnsi="Calibri" w:cs="Calibri"/>
                <w:color w:val="000000"/>
                <w:sz w:val="16"/>
                <w:szCs w:val="16"/>
              </w:rPr>
            </w:pPr>
            <w:r>
              <w:rPr>
                <w:rFonts w:ascii="Calibri" w:hAnsi="Calibri" w:cs="Calibri"/>
                <w:color w:val="000000"/>
                <w:sz w:val="16"/>
                <w:szCs w:val="16"/>
              </w:rPr>
              <w:t>Permissão de uso de pátios</w:t>
            </w:r>
          </w:p>
        </w:tc>
        <w:tc>
          <w:tcPr>
            <w:tcW w:w="833" w:type="pct"/>
            <w:tcBorders>
              <w:top w:val="nil"/>
              <w:left w:val="nil"/>
              <w:bottom w:val="nil"/>
              <w:right w:val="nil"/>
            </w:tcBorders>
            <w:shd w:val="clear" w:color="auto" w:fill="auto"/>
            <w:noWrap/>
            <w:vAlign w:val="center"/>
          </w:tcPr>
          <w:p w14:paraId="64489F5E" w14:textId="77777777" w:rsidR="00C17EB4" w:rsidRDefault="00C17EB4" w:rsidP="00937ED9">
            <w:pPr>
              <w:spacing w:after="120"/>
              <w:rPr>
                <w:rFonts w:ascii="Calibri" w:hAnsi="Calibri" w:cs="Calibri"/>
                <w:color w:val="000000"/>
                <w:sz w:val="16"/>
                <w:szCs w:val="16"/>
              </w:rPr>
            </w:pPr>
          </w:p>
        </w:tc>
        <w:tc>
          <w:tcPr>
            <w:tcW w:w="833" w:type="pct"/>
            <w:tcBorders>
              <w:top w:val="nil"/>
              <w:left w:val="nil"/>
              <w:bottom w:val="nil"/>
              <w:right w:val="nil"/>
            </w:tcBorders>
            <w:shd w:val="clear" w:color="auto" w:fill="auto"/>
            <w:noWrap/>
            <w:vAlign w:val="center"/>
          </w:tcPr>
          <w:p w14:paraId="5116D215" w14:textId="78CB13EF" w:rsidR="00C17EB4" w:rsidRDefault="00DA6A13" w:rsidP="00937ED9">
            <w:pPr>
              <w:spacing w:after="120"/>
              <w:jc w:val="right"/>
              <w:rPr>
                <w:rFonts w:ascii="Calibri" w:hAnsi="Calibri" w:cs="Calibri"/>
                <w:color w:val="000000"/>
                <w:sz w:val="16"/>
                <w:szCs w:val="16"/>
              </w:rPr>
            </w:pPr>
            <w:r>
              <w:rPr>
                <w:rFonts w:ascii="Calibri" w:hAnsi="Calibri" w:cs="Calibri"/>
                <w:color w:val="000000"/>
                <w:sz w:val="16"/>
                <w:szCs w:val="16"/>
              </w:rPr>
              <w:t>2.141.455</w:t>
            </w:r>
          </w:p>
        </w:tc>
        <w:tc>
          <w:tcPr>
            <w:tcW w:w="833" w:type="pct"/>
            <w:tcBorders>
              <w:top w:val="nil"/>
              <w:left w:val="nil"/>
              <w:bottom w:val="nil"/>
              <w:right w:val="nil"/>
            </w:tcBorders>
            <w:shd w:val="clear" w:color="auto" w:fill="auto"/>
            <w:noWrap/>
            <w:vAlign w:val="center"/>
          </w:tcPr>
          <w:p w14:paraId="73864FE9" w14:textId="2B7F3AE5" w:rsidR="00C17EB4" w:rsidRDefault="00C27A76" w:rsidP="00937ED9">
            <w:pPr>
              <w:spacing w:after="120"/>
              <w:jc w:val="right"/>
              <w:rPr>
                <w:rFonts w:ascii="Calibri" w:hAnsi="Calibri" w:cs="Calibri"/>
                <w:color w:val="000000"/>
                <w:sz w:val="16"/>
                <w:szCs w:val="16"/>
              </w:rPr>
            </w:pPr>
            <w:r>
              <w:rPr>
                <w:rFonts w:ascii="Calibri" w:hAnsi="Calibri" w:cs="Calibri"/>
                <w:color w:val="000000"/>
                <w:sz w:val="16"/>
                <w:szCs w:val="16"/>
              </w:rPr>
              <w:t>1.196.191</w:t>
            </w:r>
          </w:p>
        </w:tc>
      </w:tr>
      <w:tr w:rsidR="00317CCE" w:rsidRPr="005947BB" w14:paraId="5386EFC0" w14:textId="77777777" w:rsidTr="00317CCE">
        <w:trPr>
          <w:trHeight w:val="227"/>
        </w:trPr>
        <w:tc>
          <w:tcPr>
            <w:tcW w:w="1667" w:type="pct"/>
            <w:gridSpan w:val="2"/>
            <w:tcBorders>
              <w:top w:val="nil"/>
              <w:left w:val="nil"/>
              <w:bottom w:val="single" w:sz="8" w:space="0" w:color="auto"/>
              <w:right w:val="nil"/>
            </w:tcBorders>
            <w:shd w:val="clear" w:color="auto" w:fill="auto"/>
            <w:noWrap/>
            <w:vAlign w:val="center"/>
            <w:hideMark/>
          </w:tcPr>
          <w:p w14:paraId="3BDE89C2" w14:textId="64E5F9A6" w:rsidR="00317CCE" w:rsidRPr="00B85D27" w:rsidRDefault="00317CCE" w:rsidP="00937ED9">
            <w:pPr>
              <w:spacing w:after="120"/>
              <w:rPr>
                <w:rFonts w:ascii="Calibri" w:hAnsi="Calibri" w:cs="Calibri"/>
                <w:color w:val="000000"/>
                <w:sz w:val="16"/>
                <w:szCs w:val="16"/>
                <w:highlight w:val="yellow"/>
              </w:rPr>
            </w:pPr>
            <w:r w:rsidRPr="005947BB">
              <w:rPr>
                <w:rFonts w:ascii="Calibri" w:hAnsi="Calibri" w:cs="Calibri"/>
                <w:color w:val="000000"/>
                <w:sz w:val="16"/>
                <w:szCs w:val="16"/>
              </w:rPr>
              <w:t>Dedução de receita (-)</w:t>
            </w:r>
          </w:p>
        </w:tc>
        <w:tc>
          <w:tcPr>
            <w:tcW w:w="833" w:type="pct"/>
            <w:tcBorders>
              <w:top w:val="nil"/>
              <w:left w:val="nil"/>
              <w:bottom w:val="nil"/>
              <w:right w:val="nil"/>
            </w:tcBorders>
            <w:shd w:val="clear" w:color="auto" w:fill="auto"/>
            <w:noWrap/>
            <w:vAlign w:val="center"/>
            <w:hideMark/>
          </w:tcPr>
          <w:p w14:paraId="6357B6F0" w14:textId="77777777" w:rsidR="00317CCE" w:rsidRPr="00B85D27" w:rsidRDefault="00317CCE" w:rsidP="00937ED9">
            <w:pPr>
              <w:spacing w:after="120"/>
              <w:rPr>
                <w:rFonts w:ascii="Calibri" w:hAnsi="Calibri" w:cs="Calibri"/>
                <w:color w:val="000000"/>
                <w:sz w:val="16"/>
                <w:szCs w:val="16"/>
                <w:highlight w:val="yellow"/>
              </w:rPr>
            </w:pPr>
          </w:p>
        </w:tc>
        <w:tc>
          <w:tcPr>
            <w:tcW w:w="833" w:type="pct"/>
            <w:tcBorders>
              <w:top w:val="nil"/>
              <w:left w:val="nil"/>
              <w:bottom w:val="nil"/>
              <w:right w:val="nil"/>
            </w:tcBorders>
            <w:shd w:val="clear" w:color="auto" w:fill="auto"/>
            <w:noWrap/>
            <w:vAlign w:val="center"/>
            <w:hideMark/>
          </w:tcPr>
          <w:p w14:paraId="3711EF67" w14:textId="77777777" w:rsidR="00317CCE" w:rsidRPr="00B85D27" w:rsidRDefault="00317CCE" w:rsidP="00937ED9">
            <w:pPr>
              <w:spacing w:after="120"/>
              <w:rPr>
                <w:sz w:val="20"/>
                <w:szCs w:val="20"/>
                <w:highlight w:val="yellow"/>
              </w:rPr>
            </w:pPr>
          </w:p>
        </w:tc>
        <w:tc>
          <w:tcPr>
            <w:tcW w:w="833" w:type="pct"/>
            <w:tcBorders>
              <w:top w:val="nil"/>
              <w:left w:val="nil"/>
              <w:bottom w:val="nil"/>
              <w:right w:val="nil"/>
            </w:tcBorders>
            <w:shd w:val="clear" w:color="auto" w:fill="auto"/>
            <w:noWrap/>
            <w:vAlign w:val="center"/>
            <w:hideMark/>
          </w:tcPr>
          <w:p w14:paraId="461A1091" w14:textId="3D1041DB" w:rsidR="00317CCE" w:rsidRPr="00B85D27" w:rsidRDefault="005947BB" w:rsidP="00937ED9">
            <w:pPr>
              <w:spacing w:after="120"/>
              <w:jc w:val="right"/>
              <w:rPr>
                <w:rFonts w:ascii="Calibri" w:hAnsi="Calibri" w:cs="Calibri"/>
                <w:color w:val="000000"/>
                <w:sz w:val="16"/>
                <w:szCs w:val="16"/>
                <w:highlight w:val="yellow"/>
              </w:rPr>
            </w:pPr>
            <w:r>
              <w:rPr>
                <w:rFonts w:ascii="Calibri" w:hAnsi="Calibri" w:cs="Calibri"/>
                <w:color w:val="000000"/>
                <w:sz w:val="16"/>
                <w:szCs w:val="16"/>
              </w:rPr>
              <w:t>(</w:t>
            </w:r>
            <w:r w:rsidR="00C27A76">
              <w:rPr>
                <w:rFonts w:ascii="Calibri" w:hAnsi="Calibri" w:cs="Calibri"/>
                <w:color w:val="000000"/>
                <w:sz w:val="16"/>
                <w:szCs w:val="16"/>
              </w:rPr>
              <w:t>143.661</w:t>
            </w:r>
            <w:r>
              <w:rPr>
                <w:rFonts w:ascii="Calibri" w:hAnsi="Calibri" w:cs="Calibri"/>
                <w:color w:val="000000"/>
                <w:sz w:val="16"/>
                <w:szCs w:val="16"/>
              </w:rPr>
              <w:t>)</w:t>
            </w:r>
          </w:p>
        </w:tc>
        <w:tc>
          <w:tcPr>
            <w:tcW w:w="833" w:type="pct"/>
            <w:tcBorders>
              <w:top w:val="nil"/>
              <w:left w:val="nil"/>
              <w:bottom w:val="nil"/>
              <w:right w:val="nil"/>
            </w:tcBorders>
            <w:shd w:val="clear" w:color="auto" w:fill="auto"/>
            <w:noWrap/>
            <w:vAlign w:val="center"/>
            <w:hideMark/>
          </w:tcPr>
          <w:p w14:paraId="70FA75D2" w14:textId="12627450" w:rsidR="00317CCE" w:rsidRPr="005947BB" w:rsidRDefault="00B85D27" w:rsidP="00937ED9">
            <w:pPr>
              <w:spacing w:after="120"/>
              <w:jc w:val="right"/>
              <w:rPr>
                <w:rFonts w:ascii="Calibri" w:hAnsi="Calibri" w:cs="Calibri"/>
                <w:color w:val="000000"/>
                <w:sz w:val="16"/>
                <w:szCs w:val="16"/>
              </w:rPr>
            </w:pPr>
            <w:r w:rsidRPr="005947BB">
              <w:rPr>
                <w:rFonts w:ascii="Calibri" w:hAnsi="Calibri" w:cs="Calibri"/>
                <w:color w:val="000000"/>
                <w:sz w:val="16"/>
                <w:szCs w:val="16"/>
              </w:rPr>
              <w:t>(1</w:t>
            </w:r>
            <w:r w:rsidR="00C27A76">
              <w:rPr>
                <w:rFonts w:ascii="Calibri" w:hAnsi="Calibri" w:cs="Calibri"/>
                <w:color w:val="000000"/>
                <w:sz w:val="16"/>
                <w:szCs w:val="16"/>
              </w:rPr>
              <w:t>63.240</w:t>
            </w:r>
            <w:r w:rsidRPr="005947BB">
              <w:rPr>
                <w:rFonts w:ascii="Calibri" w:hAnsi="Calibri" w:cs="Calibri"/>
                <w:color w:val="000000"/>
                <w:sz w:val="16"/>
                <w:szCs w:val="16"/>
              </w:rPr>
              <w:t>)</w:t>
            </w:r>
          </w:p>
        </w:tc>
      </w:tr>
      <w:tr w:rsidR="00317CCE" w:rsidRPr="00B13DBD" w14:paraId="251F76E5" w14:textId="77777777" w:rsidTr="00317CCE">
        <w:trPr>
          <w:trHeight w:val="227"/>
        </w:trPr>
        <w:tc>
          <w:tcPr>
            <w:tcW w:w="1469" w:type="pct"/>
            <w:tcBorders>
              <w:top w:val="nil"/>
              <w:left w:val="nil"/>
              <w:bottom w:val="single" w:sz="8" w:space="0" w:color="auto"/>
              <w:right w:val="nil"/>
            </w:tcBorders>
            <w:shd w:val="clear" w:color="auto" w:fill="auto"/>
            <w:noWrap/>
            <w:vAlign w:val="center"/>
            <w:hideMark/>
          </w:tcPr>
          <w:p w14:paraId="7AA87954" w14:textId="77777777" w:rsidR="00317CCE" w:rsidRDefault="00317CCE" w:rsidP="00937ED9">
            <w:pPr>
              <w:spacing w:after="120"/>
              <w:rPr>
                <w:rFonts w:ascii="Calibri" w:hAnsi="Calibri" w:cs="Calibri"/>
                <w:b/>
                <w:bCs/>
                <w:color w:val="000000"/>
                <w:sz w:val="16"/>
                <w:szCs w:val="16"/>
              </w:rPr>
            </w:pPr>
            <w:r>
              <w:rPr>
                <w:rFonts w:ascii="Calibri" w:hAnsi="Calibri" w:cs="Calibri"/>
                <w:b/>
                <w:bCs/>
                <w:color w:val="000000"/>
                <w:sz w:val="16"/>
                <w:szCs w:val="16"/>
              </w:rPr>
              <w:t xml:space="preserve"> TOTAL </w:t>
            </w:r>
          </w:p>
        </w:tc>
        <w:tc>
          <w:tcPr>
            <w:tcW w:w="197" w:type="pct"/>
            <w:tcBorders>
              <w:top w:val="nil"/>
              <w:left w:val="nil"/>
              <w:bottom w:val="single" w:sz="8" w:space="0" w:color="auto"/>
              <w:right w:val="nil"/>
            </w:tcBorders>
            <w:shd w:val="clear" w:color="auto" w:fill="auto"/>
            <w:noWrap/>
            <w:vAlign w:val="center"/>
            <w:hideMark/>
          </w:tcPr>
          <w:p w14:paraId="2C4390E4" w14:textId="77777777" w:rsidR="00317CCE" w:rsidRDefault="00317CCE" w:rsidP="00937ED9">
            <w:pPr>
              <w:spacing w:after="120"/>
              <w:rPr>
                <w:rFonts w:ascii="Calibri" w:hAnsi="Calibri" w:cs="Calibri"/>
                <w:color w:val="000000"/>
                <w:sz w:val="16"/>
                <w:szCs w:val="16"/>
              </w:rPr>
            </w:pPr>
            <w:r>
              <w:rPr>
                <w:rFonts w:ascii="Calibri" w:hAnsi="Calibri" w:cs="Calibri"/>
                <w:color w:val="000000"/>
                <w:sz w:val="16"/>
                <w:szCs w:val="16"/>
              </w:rPr>
              <w:t> </w:t>
            </w:r>
          </w:p>
        </w:tc>
        <w:tc>
          <w:tcPr>
            <w:tcW w:w="833" w:type="pct"/>
            <w:tcBorders>
              <w:top w:val="single" w:sz="8" w:space="0" w:color="auto"/>
              <w:left w:val="nil"/>
              <w:bottom w:val="single" w:sz="8" w:space="0" w:color="auto"/>
              <w:right w:val="nil"/>
            </w:tcBorders>
            <w:shd w:val="clear" w:color="auto" w:fill="auto"/>
            <w:noWrap/>
            <w:vAlign w:val="center"/>
            <w:hideMark/>
          </w:tcPr>
          <w:p w14:paraId="371A3A98" w14:textId="77777777" w:rsidR="00317CCE" w:rsidRDefault="00317CCE" w:rsidP="00937ED9">
            <w:pPr>
              <w:spacing w:after="120"/>
              <w:rPr>
                <w:rFonts w:ascii="Calibri" w:hAnsi="Calibri" w:cs="Calibri"/>
                <w:color w:val="000000"/>
                <w:sz w:val="16"/>
                <w:szCs w:val="16"/>
              </w:rPr>
            </w:pPr>
            <w:r>
              <w:rPr>
                <w:rFonts w:ascii="Calibri" w:hAnsi="Calibri" w:cs="Calibri"/>
                <w:color w:val="000000"/>
                <w:sz w:val="16"/>
                <w:szCs w:val="16"/>
              </w:rPr>
              <w:t> </w:t>
            </w:r>
          </w:p>
        </w:tc>
        <w:tc>
          <w:tcPr>
            <w:tcW w:w="833" w:type="pct"/>
            <w:tcBorders>
              <w:top w:val="single" w:sz="8" w:space="0" w:color="auto"/>
              <w:left w:val="nil"/>
              <w:bottom w:val="single" w:sz="8" w:space="0" w:color="auto"/>
              <w:right w:val="nil"/>
            </w:tcBorders>
            <w:shd w:val="clear" w:color="auto" w:fill="auto"/>
            <w:noWrap/>
            <w:vAlign w:val="center"/>
            <w:hideMark/>
          </w:tcPr>
          <w:p w14:paraId="0446A2CD" w14:textId="77777777" w:rsidR="00317CCE" w:rsidRDefault="00317CCE" w:rsidP="00937ED9">
            <w:pPr>
              <w:spacing w:after="120"/>
              <w:jc w:val="right"/>
              <w:rPr>
                <w:rFonts w:ascii="Calibri" w:hAnsi="Calibri" w:cs="Calibri"/>
                <w:b/>
                <w:bCs/>
                <w:color w:val="000000"/>
                <w:sz w:val="16"/>
                <w:szCs w:val="16"/>
              </w:rPr>
            </w:pPr>
            <w:r>
              <w:rPr>
                <w:rFonts w:ascii="Calibri" w:hAnsi="Calibri" w:cs="Calibri"/>
                <w:b/>
                <w:bCs/>
                <w:color w:val="000000"/>
                <w:sz w:val="16"/>
                <w:szCs w:val="16"/>
              </w:rPr>
              <w:t> </w:t>
            </w:r>
          </w:p>
        </w:tc>
        <w:tc>
          <w:tcPr>
            <w:tcW w:w="833" w:type="pct"/>
            <w:tcBorders>
              <w:top w:val="single" w:sz="8" w:space="0" w:color="auto"/>
              <w:left w:val="nil"/>
              <w:bottom w:val="single" w:sz="8" w:space="0" w:color="auto"/>
              <w:right w:val="nil"/>
            </w:tcBorders>
            <w:shd w:val="clear" w:color="auto" w:fill="auto"/>
            <w:noWrap/>
            <w:vAlign w:val="center"/>
            <w:hideMark/>
          </w:tcPr>
          <w:p w14:paraId="24E05430" w14:textId="6353FC3D" w:rsidR="00317CCE" w:rsidRDefault="00C27A76" w:rsidP="00937ED9">
            <w:pPr>
              <w:spacing w:after="120"/>
              <w:jc w:val="right"/>
              <w:rPr>
                <w:rFonts w:ascii="Calibri" w:hAnsi="Calibri" w:cs="Calibri"/>
                <w:b/>
                <w:bCs/>
                <w:color w:val="000000"/>
                <w:sz w:val="16"/>
                <w:szCs w:val="16"/>
              </w:rPr>
            </w:pPr>
            <w:r>
              <w:rPr>
                <w:rFonts w:ascii="Calibri" w:hAnsi="Calibri" w:cs="Calibri"/>
                <w:b/>
                <w:bCs/>
                <w:color w:val="000000"/>
                <w:sz w:val="16"/>
                <w:szCs w:val="16"/>
              </w:rPr>
              <w:t>3.105.332</w:t>
            </w:r>
          </w:p>
        </w:tc>
        <w:tc>
          <w:tcPr>
            <w:tcW w:w="833" w:type="pct"/>
            <w:tcBorders>
              <w:top w:val="single" w:sz="8" w:space="0" w:color="auto"/>
              <w:left w:val="nil"/>
              <w:bottom w:val="single" w:sz="8" w:space="0" w:color="auto"/>
              <w:right w:val="nil"/>
            </w:tcBorders>
            <w:shd w:val="clear" w:color="auto" w:fill="auto"/>
            <w:noWrap/>
            <w:vAlign w:val="center"/>
            <w:hideMark/>
          </w:tcPr>
          <w:p w14:paraId="4D0A7460" w14:textId="634A03C2" w:rsidR="00317CCE" w:rsidRPr="00B13DBD" w:rsidRDefault="00C27A76" w:rsidP="00937ED9">
            <w:pPr>
              <w:spacing w:after="120"/>
              <w:jc w:val="right"/>
              <w:rPr>
                <w:rFonts w:ascii="Calibri" w:hAnsi="Calibri" w:cs="Calibri"/>
                <w:b/>
                <w:bCs/>
                <w:color w:val="000000"/>
                <w:sz w:val="16"/>
                <w:szCs w:val="16"/>
              </w:rPr>
            </w:pPr>
            <w:r>
              <w:rPr>
                <w:rFonts w:ascii="Calibri" w:hAnsi="Calibri" w:cs="Calibri"/>
                <w:b/>
                <w:bCs/>
                <w:color w:val="000000"/>
                <w:sz w:val="16"/>
                <w:szCs w:val="16"/>
              </w:rPr>
              <w:t>1.143.828</w:t>
            </w:r>
          </w:p>
        </w:tc>
      </w:tr>
    </w:tbl>
    <w:p w14:paraId="5D6FE213" w14:textId="267AB1F3" w:rsidR="006255B0" w:rsidRDefault="006255B0" w:rsidP="000B3A75">
      <w:pPr>
        <w:spacing w:before="120" w:after="120"/>
        <w:ind w:right="-142"/>
        <w:rPr>
          <w:rFonts w:ascii="Calibri" w:hAnsi="Calibri" w:cs="Calibri"/>
          <w:sz w:val="22"/>
          <w:szCs w:val="22"/>
        </w:rPr>
      </w:pPr>
      <w:r w:rsidRPr="006255B0">
        <w:rPr>
          <w:rFonts w:ascii="Calibri" w:hAnsi="Calibri" w:cs="Calibri"/>
          <w:sz w:val="22"/>
          <w:szCs w:val="22"/>
        </w:rPr>
        <w:t>As</w:t>
      </w:r>
      <w:r>
        <w:rPr>
          <w:rFonts w:ascii="Calibri" w:hAnsi="Calibri" w:cs="Calibri"/>
          <w:sz w:val="22"/>
          <w:szCs w:val="22"/>
        </w:rPr>
        <w:t xml:space="preserve"> receitas de exploração de ferrovia correspondem às receitas alternativas advinda</w:t>
      </w:r>
      <w:r w:rsidR="00220FFA">
        <w:rPr>
          <w:rFonts w:ascii="Calibri" w:hAnsi="Calibri" w:cs="Calibri"/>
          <w:sz w:val="22"/>
          <w:szCs w:val="22"/>
        </w:rPr>
        <w:t>s</w:t>
      </w:r>
      <w:r>
        <w:rPr>
          <w:rFonts w:ascii="Calibri" w:hAnsi="Calibri" w:cs="Calibri"/>
          <w:sz w:val="22"/>
          <w:szCs w:val="22"/>
        </w:rPr>
        <w:t xml:space="preserve"> dos royalties das ferrovias.</w:t>
      </w:r>
    </w:p>
    <w:p w14:paraId="49C1030C" w14:textId="644E6DE0" w:rsidR="006255B0" w:rsidRDefault="006255B0" w:rsidP="00220FFA">
      <w:pPr>
        <w:spacing w:after="120"/>
        <w:jc w:val="both"/>
        <w:rPr>
          <w:rFonts w:ascii="Calibri" w:hAnsi="Calibri" w:cs="Calibri"/>
          <w:sz w:val="22"/>
          <w:szCs w:val="22"/>
        </w:rPr>
      </w:pPr>
      <w:r>
        <w:rPr>
          <w:rFonts w:ascii="Calibri" w:hAnsi="Calibri" w:cs="Calibri"/>
          <w:sz w:val="22"/>
          <w:szCs w:val="22"/>
        </w:rPr>
        <w:t>A receita com Subconcessão FIOL corresponde aos valores apropriados mensalmente relativos</w:t>
      </w:r>
      <w:r w:rsidR="00220FFA">
        <w:rPr>
          <w:rFonts w:ascii="Calibri" w:hAnsi="Calibri" w:cs="Calibri"/>
          <w:sz w:val="22"/>
          <w:szCs w:val="22"/>
        </w:rPr>
        <w:t xml:space="preserve"> ao diferimento da receita contratual de subconcessão do trecho FIOL I, conforme Nota 13b.</w:t>
      </w:r>
      <w:r>
        <w:rPr>
          <w:rFonts w:ascii="Calibri" w:hAnsi="Calibri" w:cs="Calibri"/>
          <w:sz w:val="22"/>
          <w:szCs w:val="22"/>
        </w:rPr>
        <w:t xml:space="preserve"> </w:t>
      </w:r>
    </w:p>
    <w:p w14:paraId="25194D9D" w14:textId="5D79E585" w:rsidR="00220FFA" w:rsidRDefault="00220FFA" w:rsidP="00220FFA">
      <w:pPr>
        <w:spacing w:after="120"/>
        <w:jc w:val="both"/>
        <w:rPr>
          <w:rFonts w:ascii="Calibri" w:hAnsi="Calibri" w:cs="Calibri"/>
          <w:sz w:val="22"/>
          <w:szCs w:val="22"/>
        </w:rPr>
      </w:pPr>
      <w:r>
        <w:rPr>
          <w:rFonts w:ascii="Calibri" w:hAnsi="Calibri" w:cs="Calibri"/>
          <w:sz w:val="22"/>
          <w:szCs w:val="22"/>
        </w:rPr>
        <w:t>As receitas de Permissão de uso de pátios referem-se a</w:t>
      </w:r>
      <w:r w:rsidRPr="00220FFA">
        <w:rPr>
          <w:rFonts w:ascii="Calibri" w:hAnsi="Calibri" w:cs="Calibri"/>
          <w:sz w:val="22"/>
          <w:szCs w:val="22"/>
        </w:rPr>
        <w:t>os valores</w:t>
      </w:r>
      <w:r>
        <w:rPr>
          <w:rFonts w:ascii="Calibri" w:hAnsi="Calibri" w:cs="Calibri"/>
          <w:sz w:val="22"/>
          <w:szCs w:val="22"/>
        </w:rPr>
        <w:t xml:space="preserve"> apropriados mensalmente relativos ao diferimento da receita dos </w:t>
      </w:r>
      <w:r w:rsidRPr="00220FFA">
        <w:rPr>
          <w:rFonts w:ascii="Calibri" w:hAnsi="Calibri" w:cs="Calibri"/>
          <w:sz w:val="22"/>
          <w:szCs w:val="22"/>
        </w:rPr>
        <w:t>contratos de Permissão para Uso dos Pátios e Terminais da VALEC</w:t>
      </w:r>
      <w:r>
        <w:rPr>
          <w:rFonts w:ascii="Calibri" w:hAnsi="Calibri" w:cs="Calibri"/>
          <w:sz w:val="22"/>
          <w:szCs w:val="22"/>
        </w:rPr>
        <w:t>, conforme Nota 13</w:t>
      </w:r>
      <w:r w:rsidR="00F72886">
        <w:rPr>
          <w:rFonts w:ascii="Calibri" w:hAnsi="Calibri" w:cs="Calibri"/>
          <w:sz w:val="22"/>
          <w:szCs w:val="22"/>
        </w:rPr>
        <w:t>a</w:t>
      </w:r>
      <w:r>
        <w:rPr>
          <w:rFonts w:ascii="Calibri" w:hAnsi="Calibri" w:cs="Calibri"/>
          <w:sz w:val="22"/>
          <w:szCs w:val="22"/>
        </w:rPr>
        <w:t>.</w:t>
      </w:r>
      <w:r w:rsidR="00F72886">
        <w:rPr>
          <w:rFonts w:ascii="Calibri" w:hAnsi="Calibri" w:cs="Calibri"/>
          <w:sz w:val="22"/>
          <w:szCs w:val="22"/>
        </w:rPr>
        <w:t xml:space="preserve"> Estas receitas abrangem também as receitas variáveis dos referidos contratos.</w:t>
      </w:r>
    </w:p>
    <w:p w14:paraId="3FF0F695" w14:textId="286709F1" w:rsidR="00F72886" w:rsidRPr="006255B0" w:rsidRDefault="00F72886" w:rsidP="00220FFA">
      <w:pPr>
        <w:spacing w:after="120"/>
        <w:jc w:val="both"/>
        <w:rPr>
          <w:rFonts w:ascii="Calibri" w:hAnsi="Calibri" w:cs="Calibri"/>
          <w:sz w:val="22"/>
          <w:szCs w:val="22"/>
        </w:rPr>
      </w:pPr>
      <w:r>
        <w:rPr>
          <w:rFonts w:ascii="Calibri" w:hAnsi="Calibri" w:cs="Calibri"/>
          <w:sz w:val="22"/>
          <w:szCs w:val="22"/>
        </w:rPr>
        <w:t xml:space="preserve">As deduções das receitas são resultantes da apuração do PIS e CONFINS sobre o </w:t>
      </w:r>
      <w:r w:rsidRPr="00F72886">
        <w:rPr>
          <w:rFonts w:ascii="Calibri" w:hAnsi="Calibri" w:cs="Calibri"/>
          <w:sz w:val="22"/>
          <w:szCs w:val="22"/>
        </w:rPr>
        <w:t>total das receitas auferidas no mês</w:t>
      </w:r>
      <w:r>
        <w:rPr>
          <w:rFonts w:ascii="Calibri" w:hAnsi="Calibri" w:cs="Calibri"/>
          <w:sz w:val="22"/>
          <w:szCs w:val="22"/>
        </w:rPr>
        <w:t>, conforme Nota 4b.1.  Ressalta-se que é utilizado o regime de caixa para tal apuração.</w:t>
      </w:r>
    </w:p>
    <w:p w14:paraId="58553EBF" w14:textId="35FD9CA9" w:rsidR="004E146F" w:rsidRPr="002E2B5B" w:rsidRDefault="00434FB3" w:rsidP="000B3A75">
      <w:pPr>
        <w:spacing w:before="120" w:after="120"/>
        <w:ind w:right="-142"/>
        <w:rPr>
          <w:rFonts w:ascii="Calibri" w:hAnsi="Calibri" w:cs="Calibri"/>
          <w:b/>
          <w:color w:val="000000"/>
          <w:sz w:val="22"/>
          <w:szCs w:val="22"/>
        </w:rPr>
      </w:pPr>
      <w:r w:rsidRPr="002E2B5B">
        <w:rPr>
          <w:rFonts w:ascii="Calibri" w:hAnsi="Calibri" w:cs="Calibri"/>
          <w:b/>
          <w:color w:val="000000"/>
          <w:sz w:val="22"/>
          <w:szCs w:val="22"/>
        </w:rPr>
        <w:t>NOTA 1</w:t>
      </w:r>
      <w:r w:rsidR="001A1B68">
        <w:rPr>
          <w:rFonts w:ascii="Calibri" w:hAnsi="Calibri" w:cs="Calibri"/>
          <w:b/>
          <w:color w:val="000000"/>
          <w:sz w:val="22"/>
          <w:szCs w:val="22"/>
        </w:rPr>
        <w:t>8</w:t>
      </w:r>
      <w:r w:rsidRPr="002E2B5B">
        <w:rPr>
          <w:rFonts w:ascii="Calibri" w:hAnsi="Calibri" w:cs="Calibri"/>
          <w:b/>
          <w:color w:val="000000"/>
          <w:sz w:val="22"/>
          <w:szCs w:val="22"/>
        </w:rPr>
        <w:t xml:space="preserve"> - </w:t>
      </w:r>
      <w:r w:rsidR="004E146F" w:rsidRPr="002E2B5B">
        <w:rPr>
          <w:rFonts w:ascii="Calibri" w:hAnsi="Calibri" w:cs="Calibri"/>
          <w:b/>
          <w:color w:val="000000"/>
          <w:sz w:val="22"/>
          <w:szCs w:val="22"/>
        </w:rPr>
        <w:t>DESPESAS OPERACIONAIS</w:t>
      </w:r>
    </w:p>
    <w:p w14:paraId="5954F75B" w14:textId="3435E9A0" w:rsidR="001C75AC" w:rsidRPr="00B92F90" w:rsidRDefault="00235CD9" w:rsidP="00937ED9">
      <w:pPr>
        <w:numPr>
          <w:ilvl w:val="0"/>
          <w:numId w:val="1"/>
        </w:numPr>
        <w:spacing w:after="120"/>
        <w:ind w:left="284" w:right="-142" w:hanging="284"/>
        <w:rPr>
          <w:rFonts w:ascii="Calibri" w:hAnsi="Calibri" w:cs="Calibri"/>
          <w:b/>
          <w:sz w:val="22"/>
          <w:szCs w:val="22"/>
        </w:rPr>
      </w:pPr>
      <w:r w:rsidRPr="002E2B5B">
        <w:rPr>
          <w:rFonts w:ascii="Calibri" w:hAnsi="Calibri" w:cs="Calibri"/>
          <w:b/>
          <w:color w:val="000000"/>
          <w:sz w:val="22"/>
          <w:szCs w:val="22"/>
        </w:rPr>
        <w:t>Despesas com Pessoal</w:t>
      </w:r>
    </w:p>
    <w:p w14:paraId="2975842F" w14:textId="65BE6792" w:rsidR="00216A83" w:rsidRDefault="00216A83" w:rsidP="00937ED9">
      <w:pPr>
        <w:spacing w:after="120"/>
        <w:jc w:val="both"/>
        <w:rPr>
          <w:rFonts w:ascii="Calibri" w:hAnsi="Calibri" w:cs="Calibri"/>
          <w:color w:val="000000"/>
          <w:sz w:val="22"/>
          <w:szCs w:val="22"/>
        </w:rPr>
      </w:pPr>
      <w:r w:rsidRPr="00216A83">
        <w:rPr>
          <w:rFonts w:ascii="Calibri" w:hAnsi="Calibri" w:cs="Calibri"/>
          <w:color w:val="000000"/>
          <w:sz w:val="22"/>
          <w:szCs w:val="22"/>
        </w:rPr>
        <w:t>As despesas com pessoal, incluindo remuneração, encargos e benefícios totalizaram</w:t>
      </w:r>
      <w:r w:rsidR="00B85D27">
        <w:rPr>
          <w:rFonts w:ascii="Calibri" w:hAnsi="Calibri" w:cs="Calibri"/>
          <w:color w:val="000000"/>
          <w:sz w:val="22"/>
          <w:szCs w:val="22"/>
        </w:rPr>
        <w:t>,</w:t>
      </w:r>
      <w:r w:rsidRPr="00216A83">
        <w:rPr>
          <w:rFonts w:ascii="Calibri" w:hAnsi="Calibri" w:cs="Calibri"/>
          <w:color w:val="000000"/>
          <w:sz w:val="22"/>
          <w:szCs w:val="22"/>
        </w:rPr>
        <w:t xml:space="preserve"> </w:t>
      </w:r>
      <w:r w:rsidR="00C27A76">
        <w:rPr>
          <w:rFonts w:ascii="Calibri" w:hAnsi="Calibri" w:cs="Calibri"/>
          <w:color w:val="000000"/>
          <w:sz w:val="22"/>
          <w:szCs w:val="22"/>
        </w:rPr>
        <w:t xml:space="preserve">até </w:t>
      </w:r>
      <w:r w:rsidR="00B85D27">
        <w:rPr>
          <w:rFonts w:ascii="Calibri" w:hAnsi="Calibri" w:cs="Calibri"/>
          <w:sz w:val="22"/>
          <w:szCs w:val="22"/>
        </w:rPr>
        <w:t xml:space="preserve">o </w:t>
      </w:r>
      <w:r w:rsidR="00C27A76">
        <w:rPr>
          <w:rFonts w:ascii="Calibri" w:hAnsi="Calibri" w:cs="Calibri"/>
          <w:sz w:val="22"/>
          <w:szCs w:val="22"/>
        </w:rPr>
        <w:t>2</w:t>
      </w:r>
      <w:r w:rsidR="00B85D27">
        <w:rPr>
          <w:rFonts w:ascii="Calibri" w:hAnsi="Calibri" w:cs="Calibri"/>
          <w:sz w:val="22"/>
          <w:szCs w:val="22"/>
        </w:rPr>
        <w:t xml:space="preserve">º trimestre de 2022, </w:t>
      </w:r>
      <w:r w:rsidRPr="00216A83">
        <w:rPr>
          <w:rFonts w:ascii="Calibri" w:hAnsi="Calibri" w:cs="Calibri"/>
          <w:color w:val="000000"/>
          <w:sz w:val="22"/>
          <w:szCs w:val="22"/>
        </w:rPr>
        <w:t xml:space="preserve">R$ </w:t>
      </w:r>
      <w:r w:rsidR="00C27A76">
        <w:rPr>
          <w:rFonts w:ascii="Calibri" w:hAnsi="Calibri" w:cs="Calibri"/>
          <w:color w:val="000000"/>
          <w:sz w:val="22"/>
          <w:szCs w:val="22"/>
        </w:rPr>
        <w:t>61</w:t>
      </w:r>
      <w:r w:rsidR="00C46708">
        <w:rPr>
          <w:rFonts w:ascii="Calibri" w:hAnsi="Calibri" w:cs="Calibri"/>
          <w:color w:val="000000"/>
          <w:sz w:val="22"/>
          <w:szCs w:val="22"/>
        </w:rPr>
        <w:t>,8</w:t>
      </w:r>
      <w:r w:rsidR="00C27A76">
        <w:rPr>
          <w:rFonts w:ascii="Calibri" w:hAnsi="Calibri" w:cs="Calibri"/>
          <w:color w:val="000000"/>
          <w:sz w:val="22"/>
          <w:szCs w:val="22"/>
        </w:rPr>
        <w:t>7</w:t>
      </w:r>
      <w:r w:rsidR="00C17EB4">
        <w:rPr>
          <w:rFonts w:ascii="Calibri" w:hAnsi="Calibri" w:cs="Calibri"/>
          <w:color w:val="000000"/>
          <w:sz w:val="22"/>
          <w:szCs w:val="22"/>
        </w:rPr>
        <w:t xml:space="preserve"> </w:t>
      </w:r>
      <w:r w:rsidRPr="00216A83">
        <w:rPr>
          <w:rFonts w:ascii="Calibri" w:hAnsi="Calibri" w:cs="Calibri"/>
          <w:color w:val="000000"/>
          <w:sz w:val="22"/>
          <w:szCs w:val="22"/>
        </w:rPr>
        <w:t>milhões</w:t>
      </w:r>
      <w:r>
        <w:rPr>
          <w:rFonts w:ascii="Calibri" w:hAnsi="Calibri" w:cs="Calibri"/>
          <w:color w:val="000000"/>
          <w:sz w:val="22"/>
          <w:szCs w:val="22"/>
        </w:rPr>
        <w:t>:</w:t>
      </w:r>
    </w:p>
    <w:tbl>
      <w:tblPr>
        <w:tblW w:w="5000" w:type="pct"/>
        <w:tblCellMar>
          <w:left w:w="70" w:type="dxa"/>
          <w:right w:w="70" w:type="dxa"/>
        </w:tblCellMar>
        <w:tblLook w:val="04A0" w:firstRow="1" w:lastRow="0" w:firstColumn="1" w:lastColumn="0" w:noHBand="0" w:noVBand="1"/>
      </w:tblPr>
      <w:tblGrid>
        <w:gridCol w:w="6037"/>
        <w:gridCol w:w="2215"/>
        <w:gridCol w:w="2215"/>
      </w:tblGrid>
      <w:tr w:rsidR="0033029E" w14:paraId="025E5247" w14:textId="77777777" w:rsidTr="000B3A75">
        <w:trPr>
          <w:trHeight w:hRule="exact" w:val="227"/>
        </w:trPr>
        <w:tc>
          <w:tcPr>
            <w:tcW w:w="2884" w:type="pct"/>
            <w:tcBorders>
              <w:top w:val="single" w:sz="8" w:space="0" w:color="auto"/>
              <w:left w:val="nil"/>
              <w:bottom w:val="single" w:sz="8" w:space="0" w:color="auto"/>
              <w:right w:val="nil"/>
            </w:tcBorders>
            <w:shd w:val="clear" w:color="auto" w:fill="auto"/>
            <w:noWrap/>
            <w:vAlign w:val="center"/>
            <w:hideMark/>
          </w:tcPr>
          <w:p w14:paraId="51CC3D46" w14:textId="77777777" w:rsidR="0033029E" w:rsidRDefault="0033029E" w:rsidP="00937ED9">
            <w:pPr>
              <w:spacing w:after="120"/>
              <w:rPr>
                <w:rFonts w:ascii="Calibri" w:hAnsi="Calibri" w:cs="Calibri"/>
                <w:b/>
                <w:bCs/>
                <w:color w:val="000000"/>
                <w:sz w:val="16"/>
                <w:szCs w:val="16"/>
              </w:rPr>
            </w:pPr>
            <w:r>
              <w:rPr>
                <w:rFonts w:ascii="Calibri" w:hAnsi="Calibri" w:cs="Calibri"/>
                <w:b/>
                <w:bCs/>
                <w:color w:val="000000"/>
                <w:sz w:val="16"/>
                <w:szCs w:val="16"/>
              </w:rPr>
              <w:t>DESPESAS COM PESSOAL</w:t>
            </w:r>
          </w:p>
        </w:tc>
        <w:tc>
          <w:tcPr>
            <w:tcW w:w="1058" w:type="pct"/>
            <w:tcBorders>
              <w:top w:val="single" w:sz="8" w:space="0" w:color="auto"/>
              <w:left w:val="nil"/>
              <w:bottom w:val="single" w:sz="8" w:space="0" w:color="auto"/>
              <w:right w:val="nil"/>
            </w:tcBorders>
            <w:shd w:val="clear" w:color="auto" w:fill="auto"/>
            <w:vAlign w:val="center"/>
            <w:hideMark/>
          </w:tcPr>
          <w:p w14:paraId="235789B6" w14:textId="749A7503" w:rsidR="0033029E" w:rsidRDefault="0033029E" w:rsidP="00937ED9">
            <w:pPr>
              <w:spacing w:after="120"/>
              <w:jc w:val="right"/>
              <w:rPr>
                <w:rFonts w:ascii="Calibri" w:hAnsi="Calibri" w:cs="Calibri"/>
                <w:b/>
                <w:bCs/>
                <w:color w:val="000000"/>
                <w:sz w:val="16"/>
                <w:szCs w:val="16"/>
              </w:rPr>
            </w:pPr>
            <w:r>
              <w:rPr>
                <w:rFonts w:ascii="Calibri" w:hAnsi="Calibri" w:cs="Calibri"/>
                <w:b/>
                <w:bCs/>
                <w:color w:val="000000"/>
                <w:sz w:val="16"/>
                <w:szCs w:val="16"/>
              </w:rPr>
              <w:t>3</w:t>
            </w:r>
            <w:r w:rsidR="00C27A76">
              <w:rPr>
                <w:rFonts w:ascii="Calibri" w:hAnsi="Calibri" w:cs="Calibri"/>
                <w:b/>
                <w:bCs/>
                <w:color w:val="000000"/>
                <w:sz w:val="16"/>
                <w:szCs w:val="16"/>
              </w:rPr>
              <w:t>0</w:t>
            </w:r>
            <w:r>
              <w:rPr>
                <w:rFonts w:ascii="Calibri" w:hAnsi="Calibri" w:cs="Calibri"/>
                <w:b/>
                <w:bCs/>
                <w:color w:val="000000"/>
                <w:sz w:val="16"/>
                <w:szCs w:val="16"/>
              </w:rPr>
              <w:t>/</w:t>
            </w:r>
            <w:r w:rsidR="00B85D27">
              <w:rPr>
                <w:rFonts w:ascii="Calibri" w:hAnsi="Calibri" w:cs="Calibri"/>
                <w:b/>
                <w:bCs/>
                <w:color w:val="000000"/>
                <w:sz w:val="16"/>
                <w:szCs w:val="16"/>
              </w:rPr>
              <w:t>0</w:t>
            </w:r>
            <w:r w:rsidR="00C27A76">
              <w:rPr>
                <w:rFonts w:ascii="Calibri" w:hAnsi="Calibri" w:cs="Calibri"/>
                <w:b/>
                <w:bCs/>
                <w:color w:val="000000"/>
                <w:sz w:val="16"/>
                <w:szCs w:val="16"/>
              </w:rPr>
              <w:t>6</w:t>
            </w:r>
            <w:r>
              <w:rPr>
                <w:rFonts w:ascii="Calibri" w:hAnsi="Calibri" w:cs="Calibri"/>
                <w:b/>
                <w:bCs/>
                <w:color w:val="000000"/>
                <w:sz w:val="16"/>
                <w:szCs w:val="16"/>
              </w:rPr>
              <w:t>/202</w:t>
            </w:r>
            <w:r w:rsidR="00B85D27">
              <w:rPr>
                <w:rFonts w:ascii="Calibri" w:hAnsi="Calibri" w:cs="Calibri"/>
                <w:b/>
                <w:bCs/>
                <w:color w:val="000000"/>
                <w:sz w:val="16"/>
                <w:szCs w:val="16"/>
              </w:rPr>
              <w:t>2</w:t>
            </w:r>
          </w:p>
        </w:tc>
        <w:tc>
          <w:tcPr>
            <w:tcW w:w="1058" w:type="pct"/>
            <w:tcBorders>
              <w:top w:val="single" w:sz="8" w:space="0" w:color="auto"/>
              <w:left w:val="nil"/>
              <w:bottom w:val="single" w:sz="8" w:space="0" w:color="auto"/>
              <w:right w:val="nil"/>
            </w:tcBorders>
            <w:shd w:val="clear" w:color="auto" w:fill="auto"/>
            <w:vAlign w:val="center"/>
            <w:hideMark/>
          </w:tcPr>
          <w:p w14:paraId="704AD871" w14:textId="7E23092D" w:rsidR="0033029E" w:rsidRPr="00B13DBD" w:rsidRDefault="0033029E" w:rsidP="00937ED9">
            <w:pPr>
              <w:spacing w:after="120"/>
              <w:jc w:val="right"/>
              <w:rPr>
                <w:rFonts w:ascii="Calibri" w:hAnsi="Calibri" w:cs="Calibri"/>
                <w:b/>
                <w:bCs/>
                <w:color w:val="000000"/>
                <w:sz w:val="16"/>
                <w:szCs w:val="16"/>
              </w:rPr>
            </w:pPr>
            <w:r w:rsidRPr="00B13DBD">
              <w:rPr>
                <w:rFonts w:ascii="Calibri" w:hAnsi="Calibri" w:cs="Calibri"/>
                <w:b/>
                <w:bCs/>
                <w:color w:val="000000"/>
                <w:sz w:val="16"/>
                <w:szCs w:val="16"/>
              </w:rPr>
              <w:t>3</w:t>
            </w:r>
            <w:r w:rsidR="00C27A76">
              <w:rPr>
                <w:rFonts w:ascii="Calibri" w:hAnsi="Calibri" w:cs="Calibri"/>
                <w:b/>
                <w:bCs/>
                <w:color w:val="000000"/>
                <w:sz w:val="16"/>
                <w:szCs w:val="16"/>
              </w:rPr>
              <w:t>0</w:t>
            </w:r>
            <w:r w:rsidRPr="00B13DBD">
              <w:rPr>
                <w:rFonts w:ascii="Calibri" w:hAnsi="Calibri" w:cs="Calibri"/>
                <w:b/>
                <w:bCs/>
                <w:color w:val="000000"/>
                <w:sz w:val="16"/>
                <w:szCs w:val="16"/>
              </w:rPr>
              <w:t>/</w:t>
            </w:r>
            <w:r w:rsidR="00B85D27">
              <w:rPr>
                <w:rFonts w:ascii="Calibri" w:hAnsi="Calibri" w:cs="Calibri"/>
                <w:b/>
                <w:bCs/>
                <w:color w:val="000000"/>
                <w:sz w:val="16"/>
                <w:szCs w:val="16"/>
              </w:rPr>
              <w:t>0</w:t>
            </w:r>
            <w:r w:rsidR="00C27A76">
              <w:rPr>
                <w:rFonts w:ascii="Calibri" w:hAnsi="Calibri" w:cs="Calibri"/>
                <w:b/>
                <w:bCs/>
                <w:color w:val="000000"/>
                <w:sz w:val="16"/>
                <w:szCs w:val="16"/>
              </w:rPr>
              <w:t>6</w:t>
            </w:r>
            <w:r w:rsidRPr="00B13DBD">
              <w:rPr>
                <w:rFonts w:ascii="Calibri" w:hAnsi="Calibri" w:cs="Calibri"/>
                <w:b/>
                <w:bCs/>
                <w:color w:val="000000"/>
                <w:sz w:val="16"/>
                <w:szCs w:val="16"/>
              </w:rPr>
              <w:t>/202</w:t>
            </w:r>
            <w:r w:rsidR="00B85D27">
              <w:rPr>
                <w:rFonts w:ascii="Calibri" w:hAnsi="Calibri" w:cs="Calibri"/>
                <w:b/>
                <w:bCs/>
                <w:color w:val="000000"/>
                <w:sz w:val="16"/>
                <w:szCs w:val="16"/>
              </w:rPr>
              <w:t>1</w:t>
            </w:r>
          </w:p>
        </w:tc>
      </w:tr>
      <w:tr w:rsidR="0033029E" w14:paraId="7267DAD0" w14:textId="77777777" w:rsidTr="000B3A75">
        <w:trPr>
          <w:trHeight w:hRule="exact" w:val="227"/>
        </w:trPr>
        <w:tc>
          <w:tcPr>
            <w:tcW w:w="2884" w:type="pct"/>
            <w:tcBorders>
              <w:top w:val="nil"/>
              <w:left w:val="nil"/>
              <w:bottom w:val="nil"/>
              <w:right w:val="nil"/>
            </w:tcBorders>
            <w:shd w:val="clear" w:color="auto" w:fill="auto"/>
            <w:noWrap/>
            <w:vAlign w:val="center"/>
            <w:hideMark/>
          </w:tcPr>
          <w:p w14:paraId="77871E91" w14:textId="77777777" w:rsidR="0033029E" w:rsidRDefault="0033029E" w:rsidP="00937ED9">
            <w:pPr>
              <w:spacing w:after="120"/>
              <w:rPr>
                <w:rFonts w:ascii="Calibri" w:hAnsi="Calibri" w:cs="Calibri"/>
                <w:color w:val="000000"/>
                <w:sz w:val="16"/>
                <w:szCs w:val="16"/>
              </w:rPr>
            </w:pPr>
            <w:r>
              <w:rPr>
                <w:rFonts w:ascii="Calibri" w:hAnsi="Calibri" w:cs="Calibri"/>
                <w:color w:val="000000"/>
                <w:sz w:val="16"/>
                <w:szCs w:val="16"/>
              </w:rPr>
              <w:t>Remuneração (Salários, gratificações, 13º salário e férias)</w:t>
            </w:r>
          </w:p>
        </w:tc>
        <w:tc>
          <w:tcPr>
            <w:tcW w:w="1058" w:type="pct"/>
            <w:tcBorders>
              <w:top w:val="nil"/>
              <w:left w:val="nil"/>
              <w:bottom w:val="nil"/>
              <w:right w:val="nil"/>
            </w:tcBorders>
            <w:shd w:val="clear" w:color="auto" w:fill="auto"/>
            <w:vAlign w:val="center"/>
            <w:hideMark/>
          </w:tcPr>
          <w:p w14:paraId="15ACAA66" w14:textId="199C757F" w:rsidR="0033029E" w:rsidRDefault="0033029E" w:rsidP="00937ED9">
            <w:pPr>
              <w:spacing w:after="120"/>
              <w:jc w:val="right"/>
              <w:rPr>
                <w:rFonts w:ascii="Calibri" w:hAnsi="Calibri" w:cs="Calibri"/>
                <w:color w:val="000000"/>
                <w:sz w:val="16"/>
                <w:szCs w:val="16"/>
              </w:rPr>
            </w:pPr>
            <w:r>
              <w:rPr>
                <w:rFonts w:ascii="Calibri" w:hAnsi="Calibri" w:cs="Calibri"/>
                <w:color w:val="000000"/>
                <w:sz w:val="16"/>
                <w:szCs w:val="16"/>
              </w:rPr>
              <w:t>(</w:t>
            </w:r>
            <w:r w:rsidR="00201EE1">
              <w:rPr>
                <w:rFonts w:ascii="Calibri" w:hAnsi="Calibri" w:cs="Calibri"/>
                <w:color w:val="000000"/>
                <w:sz w:val="16"/>
                <w:szCs w:val="16"/>
              </w:rPr>
              <w:t>41.362.727</w:t>
            </w:r>
            <w:r>
              <w:rPr>
                <w:rFonts w:ascii="Calibri" w:hAnsi="Calibri" w:cs="Calibri"/>
                <w:color w:val="000000"/>
                <w:sz w:val="16"/>
                <w:szCs w:val="16"/>
              </w:rPr>
              <w:t>)</w:t>
            </w:r>
          </w:p>
        </w:tc>
        <w:tc>
          <w:tcPr>
            <w:tcW w:w="1058" w:type="pct"/>
            <w:tcBorders>
              <w:top w:val="nil"/>
              <w:left w:val="nil"/>
              <w:bottom w:val="nil"/>
              <w:right w:val="nil"/>
            </w:tcBorders>
            <w:shd w:val="clear" w:color="auto" w:fill="auto"/>
            <w:vAlign w:val="center"/>
            <w:hideMark/>
          </w:tcPr>
          <w:p w14:paraId="1C11D011" w14:textId="41A2FDB5" w:rsidR="0033029E" w:rsidRPr="00B13DBD" w:rsidRDefault="0033029E" w:rsidP="00937ED9">
            <w:pPr>
              <w:spacing w:after="120"/>
              <w:jc w:val="right"/>
              <w:rPr>
                <w:rFonts w:ascii="Calibri" w:hAnsi="Calibri" w:cs="Calibri"/>
                <w:color w:val="000000"/>
                <w:sz w:val="16"/>
                <w:szCs w:val="16"/>
              </w:rPr>
            </w:pPr>
            <w:r w:rsidRPr="00B13DBD">
              <w:rPr>
                <w:rFonts w:ascii="Calibri" w:hAnsi="Calibri" w:cs="Calibri"/>
                <w:color w:val="000000"/>
                <w:sz w:val="16"/>
                <w:szCs w:val="16"/>
              </w:rPr>
              <w:t>(</w:t>
            </w:r>
            <w:r w:rsidR="00201EE1">
              <w:rPr>
                <w:rFonts w:ascii="Calibri" w:hAnsi="Calibri" w:cs="Calibri"/>
                <w:color w:val="000000"/>
                <w:sz w:val="16"/>
                <w:szCs w:val="16"/>
              </w:rPr>
              <w:t>38.779.939</w:t>
            </w:r>
            <w:r w:rsidRPr="00B13DBD">
              <w:rPr>
                <w:rFonts w:ascii="Calibri" w:hAnsi="Calibri" w:cs="Calibri"/>
                <w:color w:val="000000"/>
                <w:sz w:val="16"/>
                <w:szCs w:val="16"/>
              </w:rPr>
              <w:t>)</w:t>
            </w:r>
          </w:p>
        </w:tc>
      </w:tr>
      <w:tr w:rsidR="0033029E" w14:paraId="05E4CAEA" w14:textId="77777777" w:rsidTr="000B3A75">
        <w:trPr>
          <w:trHeight w:hRule="exact" w:val="227"/>
        </w:trPr>
        <w:tc>
          <w:tcPr>
            <w:tcW w:w="2884" w:type="pct"/>
            <w:tcBorders>
              <w:top w:val="nil"/>
              <w:left w:val="nil"/>
              <w:bottom w:val="nil"/>
              <w:right w:val="nil"/>
            </w:tcBorders>
            <w:shd w:val="clear" w:color="auto" w:fill="auto"/>
            <w:noWrap/>
            <w:vAlign w:val="center"/>
            <w:hideMark/>
          </w:tcPr>
          <w:p w14:paraId="15425813" w14:textId="77777777" w:rsidR="0033029E" w:rsidRDefault="0033029E" w:rsidP="00937ED9">
            <w:pPr>
              <w:spacing w:after="120"/>
              <w:rPr>
                <w:rFonts w:ascii="Calibri" w:hAnsi="Calibri" w:cs="Calibri"/>
                <w:color w:val="000000"/>
                <w:sz w:val="16"/>
                <w:szCs w:val="16"/>
              </w:rPr>
            </w:pPr>
            <w:r>
              <w:rPr>
                <w:rFonts w:ascii="Calibri" w:hAnsi="Calibri" w:cs="Calibri"/>
                <w:color w:val="000000"/>
                <w:sz w:val="16"/>
                <w:szCs w:val="16"/>
              </w:rPr>
              <w:t>Encargos Sociais (INSS, FGTS e Prev. Complementar)</w:t>
            </w:r>
          </w:p>
        </w:tc>
        <w:tc>
          <w:tcPr>
            <w:tcW w:w="1058" w:type="pct"/>
            <w:tcBorders>
              <w:top w:val="nil"/>
              <w:left w:val="nil"/>
              <w:bottom w:val="nil"/>
              <w:right w:val="nil"/>
            </w:tcBorders>
            <w:shd w:val="clear" w:color="auto" w:fill="auto"/>
            <w:vAlign w:val="center"/>
            <w:hideMark/>
          </w:tcPr>
          <w:p w14:paraId="2D3983C8" w14:textId="28E845EB" w:rsidR="0033029E" w:rsidRDefault="0033029E" w:rsidP="00937ED9">
            <w:pPr>
              <w:spacing w:after="120"/>
              <w:jc w:val="right"/>
              <w:rPr>
                <w:rFonts w:ascii="Calibri" w:hAnsi="Calibri" w:cs="Calibri"/>
                <w:color w:val="000000"/>
                <w:sz w:val="16"/>
                <w:szCs w:val="16"/>
              </w:rPr>
            </w:pPr>
            <w:r>
              <w:rPr>
                <w:rFonts w:ascii="Calibri" w:hAnsi="Calibri" w:cs="Calibri"/>
                <w:color w:val="000000"/>
                <w:sz w:val="16"/>
                <w:szCs w:val="16"/>
              </w:rPr>
              <w:t>(</w:t>
            </w:r>
            <w:r w:rsidR="00201EE1">
              <w:rPr>
                <w:rFonts w:ascii="Calibri" w:hAnsi="Calibri" w:cs="Calibri"/>
                <w:color w:val="000000"/>
                <w:sz w:val="16"/>
                <w:szCs w:val="16"/>
              </w:rPr>
              <w:t>13.674.621</w:t>
            </w:r>
            <w:r>
              <w:rPr>
                <w:rFonts w:ascii="Calibri" w:hAnsi="Calibri" w:cs="Calibri"/>
                <w:color w:val="000000"/>
                <w:sz w:val="16"/>
                <w:szCs w:val="16"/>
              </w:rPr>
              <w:t>)</w:t>
            </w:r>
          </w:p>
        </w:tc>
        <w:tc>
          <w:tcPr>
            <w:tcW w:w="1058" w:type="pct"/>
            <w:tcBorders>
              <w:top w:val="nil"/>
              <w:left w:val="nil"/>
              <w:bottom w:val="nil"/>
              <w:right w:val="nil"/>
            </w:tcBorders>
            <w:shd w:val="clear" w:color="auto" w:fill="auto"/>
            <w:vAlign w:val="center"/>
            <w:hideMark/>
          </w:tcPr>
          <w:p w14:paraId="12814FF3" w14:textId="7AA31CE0" w:rsidR="0033029E" w:rsidRPr="00B13DBD" w:rsidRDefault="00C96250" w:rsidP="00937ED9">
            <w:pPr>
              <w:spacing w:after="120"/>
              <w:jc w:val="right"/>
              <w:rPr>
                <w:rFonts w:ascii="Calibri" w:hAnsi="Calibri" w:cs="Calibri"/>
                <w:color w:val="000000"/>
                <w:sz w:val="16"/>
                <w:szCs w:val="16"/>
              </w:rPr>
            </w:pPr>
            <w:r>
              <w:rPr>
                <w:rFonts w:ascii="Calibri" w:hAnsi="Calibri" w:cs="Calibri"/>
                <w:color w:val="000000"/>
                <w:sz w:val="16"/>
                <w:szCs w:val="16"/>
              </w:rPr>
              <w:t>(</w:t>
            </w:r>
            <w:r w:rsidR="00201EE1">
              <w:rPr>
                <w:rFonts w:ascii="Calibri" w:hAnsi="Calibri" w:cs="Calibri"/>
                <w:color w:val="000000"/>
                <w:sz w:val="16"/>
                <w:szCs w:val="16"/>
              </w:rPr>
              <w:t>14.242.464</w:t>
            </w:r>
            <w:r w:rsidR="0033029E" w:rsidRPr="00B13DBD">
              <w:rPr>
                <w:rFonts w:ascii="Calibri" w:hAnsi="Calibri" w:cs="Calibri"/>
                <w:color w:val="000000"/>
                <w:sz w:val="16"/>
                <w:szCs w:val="16"/>
              </w:rPr>
              <w:t>)</w:t>
            </w:r>
          </w:p>
        </w:tc>
      </w:tr>
      <w:tr w:rsidR="0033029E" w14:paraId="0BBEC47C" w14:textId="77777777" w:rsidTr="000B3A75">
        <w:trPr>
          <w:trHeight w:hRule="exact" w:val="227"/>
        </w:trPr>
        <w:tc>
          <w:tcPr>
            <w:tcW w:w="2884" w:type="pct"/>
            <w:tcBorders>
              <w:top w:val="nil"/>
              <w:left w:val="nil"/>
              <w:bottom w:val="single" w:sz="8" w:space="0" w:color="auto"/>
              <w:right w:val="nil"/>
            </w:tcBorders>
            <w:shd w:val="clear" w:color="auto" w:fill="auto"/>
            <w:noWrap/>
            <w:vAlign w:val="center"/>
            <w:hideMark/>
          </w:tcPr>
          <w:p w14:paraId="354917E0" w14:textId="77777777" w:rsidR="0033029E" w:rsidRDefault="0033029E" w:rsidP="00937ED9">
            <w:pPr>
              <w:spacing w:after="120"/>
              <w:rPr>
                <w:rFonts w:ascii="Calibri" w:hAnsi="Calibri" w:cs="Calibri"/>
                <w:color w:val="000000"/>
                <w:sz w:val="16"/>
                <w:szCs w:val="16"/>
              </w:rPr>
            </w:pPr>
            <w:r>
              <w:rPr>
                <w:rFonts w:ascii="Calibri" w:hAnsi="Calibri" w:cs="Calibri"/>
                <w:color w:val="000000"/>
                <w:sz w:val="16"/>
                <w:szCs w:val="16"/>
              </w:rPr>
              <w:t>Benefícios (transporte, creche, saúde e alimentação)</w:t>
            </w:r>
          </w:p>
        </w:tc>
        <w:tc>
          <w:tcPr>
            <w:tcW w:w="1058" w:type="pct"/>
            <w:tcBorders>
              <w:top w:val="nil"/>
              <w:left w:val="nil"/>
              <w:bottom w:val="single" w:sz="8" w:space="0" w:color="auto"/>
              <w:right w:val="nil"/>
            </w:tcBorders>
            <w:shd w:val="clear" w:color="auto" w:fill="auto"/>
            <w:vAlign w:val="center"/>
            <w:hideMark/>
          </w:tcPr>
          <w:p w14:paraId="5025ADF0" w14:textId="56D61A3B" w:rsidR="0033029E" w:rsidRDefault="0033029E" w:rsidP="00937ED9">
            <w:pPr>
              <w:spacing w:after="120"/>
              <w:jc w:val="right"/>
              <w:rPr>
                <w:rFonts w:ascii="Calibri" w:hAnsi="Calibri" w:cs="Calibri"/>
                <w:color w:val="000000"/>
                <w:sz w:val="16"/>
                <w:szCs w:val="16"/>
              </w:rPr>
            </w:pPr>
            <w:r>
              <w:rPr>
                <w:rFonts w:ascii="Calibri" w:hAnsi="Calibri" w:cs="Calibri"/>
                <w:color w:val="000000"/>
                <w:sz w:val="16"/>
                <w:szCs w:val="16"/>
              </w:rPr>
              <w:t>(</w:t>
            </w:r>
            <w:r w:rsidR="00201EE1">
              <w:rPr>
                <w:rFonts w:ascii="Calibri" w:hAnsi="Calibri" w:cs="Calibri"/>
                <w:color w:val="000000"/>
                <w:sz w:val="16"/>
                <w:szCs w:val="16"/>
              </w:rPr>
              <w:t>6.841.022</w:t>
            </w:r>
            <w:r>
              <w:rPr>
                <w:rFonts w:ascii="Calibri" w:hAnsi="Calibri" w:cs="Calibri"/>
                <w:color w:val="000000"/>
                <w:sz w:val="16"/>
                <w:szCs w:val="16"/>
              </w:rPr>
              <w:t>)</w:t>
            </w:r>
          </w:p>
        </w:tc>
        <w:tc>
          <w:tcPr>
            <w:tcW w:w="1058" w:type="pct"/>
            <w:tcBorders>
              <w:top w:val="nil"/>
              <w:left w:val="nil"/>
              <w:bottom w:val="single" w:sz="8" w:space="0" w:color="auto"/>
              <w:right w:val="nil"/>
            </w:tcBorders>
            <w:shd w:val="clear" w:color="auto" w:fill="auto"/>
            <w:vAlign w:val="center"/>
            <w:hideMark/>
          </w:tcPr>
          <w:p w14:paraId="508EA78E" w14:textId="389C8EF2" w:rsidR="0033029E" w:rsidRPr="00B13DBD" w:rsidRDefault="0033029E" w:rsidP="00937ED9">
            <w:pPr>
              <w:spacing w:after="120"/>
              <w:jc w:val="right"/>
              <w:rPr>
                <w:rFonts w:ascii="Calibri" w:hAnsi="Calibri" w:cs="Calibri"/>
                <w:color w:val="000000"/>
                <w:sz w:val="16"/>
                <w:szCs w:val="16"/>
              </w:rPr>
            </w:pPr>
            <w:r w:rsidRPr="00B13DBD">
              <w:rPr>
                <w:rFonts w:ascii="Calibri" w:hAnsi="Calibri" w:cs="Calibri"/>
                <w:color w:val="000000"/>
                <w:sz w:val="16"/>
                <w:szCs w:val="16"/>
              </w:rPr>
              <w:t>(</w:t>
            </w:r>
            <w:r w:rsidR="00201EE1">
              <w:rPr>
                <w:rFonts w:ascii="Calibri" w:hAnsi="Calibri" w:cs="Calibri"/>
                <w:color w:val="000000"/>
                <w:sz w:val="16"/>
                <w:szCs w:val="16"/>
              </w:rPr>
              <w:t>5.039.645</w:t>
            </w:r>
            <w:r w:rsidRPr="00B13DBD">
              <w:rPr>
                <w:rFonts w:ascii="Calibri" w:hAnsi="Calibri" w:cs="Calibri"/>
                <w:color w:val="000000"/>
                <w:sz w:val="16"/>
                <w:szCs w:val="16"/>
              </w:rPr>
              <w:t>)</w:t>
            </w:r>
          </w:p>
        </w:tc>
      </w:tr>
      <w:tr w:rsidR="0033029E" w14:paraId="38DFE193" w14:textId="77777777" w:rsidTr="000B3A75">
        <w:trPr>
          <w:trHeight w:hRule="exact" w:val="227"/>
        </w:trPr>
        <w:tc>
          <w:tcPr>
            <w:tcW w:w="2884" w:type="pct"/>
            <w:tcBorders>
              <w:top w:val="nil"/>
              <w:left w:val="nil"/>
              <w:bottom w:val="single" w:sz="8" w:space="0" w:color="auto"/>
              <w:right w:val="nil"/>
            </w:tcBorders>
            <w:shd w:val="clear" w:color="auto" w:fill="auto"/>
            <w:noWrap/>
            <w:vAlign w:val="center"/>
            <w:hideMark/>
          </w:tcPr>
          <w:p w14:paraId="308490FB" w14:textId="77777777" w:rsidR="0033029E" w:rsidRDefault="0033029E" w:rsidP="00937ED9">
            <w:pPr>
              <w:spacing w:after="120"/>
              <w:rPr>
                <w:rFonts w:ascii="Calibri" w:hAnsi="Calibri" w:cs="Calibri"/>
                <w:b/>
                <w:bCs/>
                <w:color w:val="000000"/>
                <w:sz w:val="16"/>
                <w:szCs w:val="16"/>
              </w:rPr>
            </w:pPr>
            <w:r>
              <w:rPr>
                <w:rFonts w:ascii="Calibri" w:hAnsi="Calibri" w:cs="Calibri"/>
                <w:b/>
                <w:bCs/>
                <w:color w:val="000000"/>
                <w:sz w:val="16"/>
                <w:szCs w:val="16"/>
              </w:rPr>
              <w:t>Total das Despesas com Pessoal</w:t>
            </w:r>
          </w:p>
        </w:tc>
        <w:tc>
          <w:tcPr>
            <w:tcW w:w="1058" w:type="pct"/>
            <w:tcBorders>
              <w:top w:val="nil"/>
              <w:left w:val="nil"/>
              <w:bottom w:val="single" w:sz="8" w:space="0" w:color="auto"/>
              <w:right w:val="nil"/>
            </w:tcBorders>
            <w:shd w:val="clear" w:color="auto" w:fill="auto"/>
            <w:vAlign w:val="center"/>
            <w:hideMark/>
          </w:tcPr>
          <w:p w14:paraId="68BAAF0B" w14:textId="4709B15E" w:rsidR="0033029E" w:rsidRDefault="0033029E" w:rsidP="00937ED9">
            <w:pPr>
              <w:spacing w:after="120"/>
              <w:jc w:val="right"/>
              <w:rPr>
                <w:rFonts w:ascii="Calibri" w:hAnsi="Calibri" w:cs="Calibri"/>
                <w:b/>
                <w:bCs/>
                <w:color w:val="000000"/>
                <w:sz w:val="16"/>
                <w:szCs w:val="16"/>
              </w:rPr>
            </w:pPr>
            <w:r>
              <w:rPr>
                <w:rFonts w:ascii="Calibri" w:hAnsi="Calibri" w:cs="Calibri"/>
                <w:b/>
                <w:bCs/>
                <w:color w:val="000000"/>
                <w:sz w:val="16"/>
                <w:szCs w:val="16"/>
              </w:rPr>
              <w:t>(</w:t>
            </w:r>
            <w:r w:rsidR="00201EE1">
              <w:rPr>
                <w:rFonts w:ascii="Calibri" w:hAnsi="Calibri" w:cs="Calibri"/>
                <w:b/>
                <w:bCs/>
                <w:color w:val="000000"/>
                <w:sz w:val="16"/>
                <w:szCs w:val="16"/>
              </w:rPr>
              <w:t>61.878.370</w:t>
            </w:r>
            <w:r>
              <w:rPr>
                <w:rFonts w:ascii="Calibri" w:hAnsi="Calibri" w:cs="Calibri"/>
                <w:b/>
                <w:bCs/>
                <w:color w:val="000000"/>
                <w:sz w:val="16"/>
                <w:szCs w:val="16"/>
              </w:rPr>
              <w:t>)</w:t>
            </w:r>
          </w:p>
        </w:tc>
        <w:tc>
          <w:tcPr>
            <w:tcW w:w="1058" w:type="pct"/>
            <w:tcBorders>
              <w:top w:val="nil"/>
              <w:left w:val="nil"/>
              <w:bottom w:val="single" w:sz="8" w:space="0" w:color="auto"/>
              <w:right w:val="nil"/>
            </w:tcBorders>
            <w:shd w:val="clear" w:color="auto" w:fill="auto"/>
            <w:vAlign w:val="center"/>
            <w:hideMark/>
          </w:tcPr>
          <w:p w14:paraId="5CDA2C3C" w14:textId="0208FF7F" w:rsidR="0033029E" w:rsidRPr="00B13DBD" w:rsidRDefault="0033029E" w:rsidP="00937ED9">
            <w:pPr>
              <w:spacing w:after="120"/>
              <w:jc w:val="right"/>
              <w:rPr>
                <w:rFonts w:ascii="Calibri" w:hAnsi="Calibri" w:cs="Calibri"/>
                <w:b/>
                <w:bCs/>
                <w:color w:val="000000"/>
                <w:sz w:val="16"/>
                <w:szCs w:val="16"/>
              </w:rPr>
            </w:pPr>
            <w:r w:rsidRPr="00B13DBD">
              <w:rPr>
                <w:rFonts w:ascii="Calibri" w:hAnsi="Calibri" w:cs="Calibri"/>
                <w:b/>
                <w:bCs/>
                <w:color w:val="000000"/>
                <w:sz w:val="16"/>
                <w:szCs w:val="16"/>
              </w:rPr>
              <w:t>(</w:t>
            </w:r>
            <w:r w:rsidR="00201EE1">
              <w:rPr>
                <w:rFonts w:ascii="Calibri" w:hAnsi="Calibri" w:cs="Calibri"/>
                <w:b/>
                <w:bCs/>
                <w:color w:val="000000"/>
                <w:sz w:val="16"/>
                <w:szCs w:val="16"/>
              </w:rPr>
              <w:t>58.062.048</w:t>
            </w:r>
            <w:r w:rsidRPr="00B13DBD">
              <w:rPr>
                <w:rFonts w:ascii="Calibri" w:hAnsi="Calibri" w:cs="Calibri"/>
                <w:b/>
                <w:bCs/>
                <w:color w:val="000000"/>
                <w:sz w:val="16"/>
                <w:szCs w:val="16"/>
              </w:rPr>
              <w:t>)</w:t>
            </w:r>
          </w:p>
        </w:tc>
      </w:tr>
      <w:tr w:rsidR="0033029E" w14:paraId="7BF60659" w14:textId="77777777" w:rsidTr="000B3A75">
        <w:trPr>
          <w:trHeight w:hRule="exact" w:val="227"/>
        </w:trPr>
        <w:tc>
          <w:tcPr>
            <w:tcW w:w="2884" w:type="pct"/>
            <w:tcBorders>
              <w:top w:val="nil"/>
              <w:left w:val="nil"/>
              <w:bottom w:val="single" w:sz="8" w:space="0" w:color="auto"/>
              <w:right w:val="nil"/>
            </w:tcBorders>
            <w:shd w:val="clear" w:color="auto" w:fill="auto"/>
            <w:noWrap/>
            <w:vAlign w:val="center"/>
            <w:hideMark/>
          </w:tcPr>
          <w:p w14:paraId="7FDD8DD4" w14:textId="77777777" w:rsidR="0033029E" w:rsidRDefault="0033029E" w:rsidP="00937ED9">
            <w:pPr>
              <w:spacing w:after="120"/>
              <w:rPr>
                <w:rFonts w:ascii="Calibri" w:hAnsi="Calibri" w:cs="Calibri"/>
                <w:color w:val="000000"/>
                <w:sz w:val="16"/>
                <w:szCs w:val="16"/>
              </w:rPr>
            </w:pPr>
            <w:r>
              <w:rPr>
                <w:rFonts w:ascii="Calibri" w:hAnsi="Calibri" w:cs="Calibri"/>
                <w:color w:val="000000"/>
                <w:sz w:val="16"/>
                <w:szCs w:val="16"/>
              </w:rPr>
              <w:t xml:space="preserve">Quantidade de Funcionários </w:t>
            </w:r>
          </w:p>
        </w:tc>
        <w:tc>
          <w:tcPr>
            <w:tcW w:w="1058" w:type="pct"/>
            <w:tcBorders>
              <w:top w:val="nil"/>
              <w:left w:val="nil"/>
              <w:bottom w:val="single" w:sz="8" w:space="0" w:color="auto"/>
              <w:right w:val="nil"/>
            </w:tcBorders>
            <w:shd w:val="clear" w:color="auto" w:fill="auto"/>
            <w:vAlign w:val="center"/>
            <w:hideMark/>
          </w:tcPr>
          <w:p w14:paraId="7196FE84" w14:textId="2DE6959F" w:rsidR="0033029E" w:rsidRDefault="008773D1" w:rsidP="00937ED9">
            <w:pPr>
              <w:spacing w:after="120"/>
              <w:jc w:val="right"/>
              <w:rPr>
                <w:rFonts w:ascii="Calibri" w:hAnsi="Calibri" w:cs="Calibri"/>
                <w:color w:val="000000"/>
                <w:sz w:val="16"/>
                <w:szCs w:val="16"/>
              </w:rPr>
            </w:pPr>
            <w:r>
              <w:rPr>
                <w:rFonts w:ascii="Calibri" w:hAnsi="Calibri" w:cs="Calibri"/>
                <w:color w:val="000000"/>
                <w:sz w:val="16"/>
                <w:szCs w:val="16"/>
              </w:rPr>
              <w:t>602</w:t>
            </w:r>
          </w:p>
        </w:tc>
        <w:tc>
          <w:tcPr>
            <w:tcW w:w="1058" w:type="pct"/>
            <w:tcBorders>
              <w:top w:val="nil"/>
              <w:left w:val="nil"/>
              <w:bottom w:val="single" w:sz="8" w:space="0" w:color="auto"/>
              <w:right w:val="nil"/>
            </w:tcBorders>
            <w:shd w:val="clear" w:color="auto" w:fill="auto"/>
            <w:vAlign w:val="center"/>
            <w:hideMark/>
          </w:tcPr>
          <w:p w14:paraId="48AEFB93" w14:textId="2F61F0EC" w:rsidR="0033029E" w:rsidRPr="00B13DBD" w:rsidRDefault="0033029E" w:rsidP="00937ED9">
            <w:pPr>
              <w:spacing w:after="120"/>
              <w:jc w:val="right"/>
              <w:rPr>
                <w:rFonts w:ascii="Calibri" w:hAnsi="Calibri" w:cs="Calibri"/>
                <w:color w:val="000000"/>
                <w:sz w:val="16"/>
                <w:szCs w:val="16"/>
              </w:rPr>
            </w:pPr>
            <w:r w:rsidRPr="00B13DBD">
              <w:rPr>
                <w:rFonts w:ascii="Calibri" w:hAnsi="Calibri" w:cs="Calibri"/>
                <w:color w:val="000000"/>
                <w:sz w:val="16"/>
                <w:szCs w:val="16"/>
              </w:rPr>
              <w:t>66</w:t>
            </w:r>
            <w:r w:rsidR="00B85D27">
              <w:rPr>
                <w:rFonts w:ascii="Calibri" w:hAnsi="Calibri" w:cs="Calibri"/>
                <w:color w:val="000000"/>
                <w:sz w:val="16"/>
                <w:szCs w:val="16"/>
              </w:rPr>
              <w:t>4</w:t>
            </w:r>
          </w:p>
        </w:tc>
      </w:tr>
    </w:tbl>
    <w:p w14:paraId="5533F6AC" w14:textId="110C8F9B" w:rsidR="00651F44" w:rsidRDefault="007F4918" w:rsidP="00155537">
      <w:pPr>
        <w:numPr>
          <w:ilvl w:val="0"/>
          <w:numId w:val="1"/>
        </w:numPr>
        <w:spacing w:before="120" w:after="120"/>
        <w:ind w:left="284" w:right="-142" w:hanging="284"/>
        <w:rPr>
          <w:rFonts w:ascii="Calibri" w:hAnsi="Calibri" w:cs="Calibri"/>
          <w:b/>
          <w:color w:val="000000"/>
          <w:sz w:val="22"/>
          <w:szCs w:val="22"/>
        </w:rPr>
      </w:pPr>
      <w:r w:rsidRPr="002E2B5B">
        <w:rPr>
          <w:rFonts w:ascii="Calibri" w:hAnsi="Calibri" w:cs="Calibri"/>
          <w:b/>
          <w:color w:val="000000"/>
          <w:sz w:val="22"/>
          <w:szCs w:val="22"/>
        </w:rPr>
        <w:t>Gerais e</w:t>
      </w:r>
      <w:r w:rsidR="00C3606D" w:rsidRPr="002E2B5B">
        <w:rPr>
          <w:rFonts w:ascii="Calibri" w:hAnsi="Calibri" w:cs="Calibri"/>
          <w:b/>
          <w:color w:val="000000"/>
          <w:sz w:val="22"/>
          <w:szCs w:val="22"/>
        </w:rPr>
        <w:t xml:space="preserve"> Administrativas</w:t>
      </w:r>
    </w:p>
    <w:p w14:paraId="458B11E1" w14:textId="5B0E8935" w:rsidR="00651F44" w:rsidRDefault="000C106E" w:rsidP="00937ED9">
      <w:pPr>
        <w:spacing w:before="120" w:after="120"/>
        <w:jc w:val="both"/>
        <w:rPr>
          <w:rFonts w:ascii="Calibri" w:hAnsi="Calibri" w:cs="Calibri"/>
          <w:color w:val="000000"/>
          <w:sz w:val="22"/>
          <w:szCs w:val="22"/>
        </w:rPr>
      </w:pPr>
      <w:r w:rsidRPr="002E2B5B">
        <w:rPr>
          <w:rFonts w:ascii="Calibri" w:hAnsi="Calibri" w:cs="Calibri"/>
          <w:color w:val="000000"/>
          <w:sz w:val="22"/>
          <w:szCs w:val="22"/>
        </w:rPr>
        <w:t>As Despesas G</w:t>
      </w:r>
      <w:r w:rsidR="00651F44" w:rsidRPr="002E2B5B">
        <w:rPr>
          <w:rFonts w:ascii="Calibri" w:hAnsi="Calibri" w:cs="Calibri"/>
          <w:color w:val="000000"/>
          <w:sz w:val="22"/>
          <w:szCs w:val="22"/>
        </w:rPr>
        <w:t>erais e Administrativas totalizaram</w:t>
      </w:r>
      <w:r w:rsidR="00C22DC1" w:rsidRPr="002E2B5B">
        <w:rPr>
          <w:rFonts w:ascii="Calibri" w:hAnsi="Calibri" w:cs="Calibri"/>
          <w:color w:val="000000"/>
          <w:sz w:val="22"/>
          <w:szCs w:val="22"/>
        </w:rPr>
        <w:t xml:space="preserve"> o valor de </w:t>
      </w:r>
      <w:r w:rsidR="00651F44" w:rsidRPr="002E2B5B">
        <w:rPr>
          <w:rFonts w:ascii="Calibri" w:hAnsi="Calibri" w:cs="Calibri"/>
          <w:color w:val="000000"/>
          <w:sz w:val="22"/>
          <w:szCs w:val="22"/>
        </w:rPr>
        <w:t>R$</w:t>
      </w:r>
      <w:r w:rsidR="00346FAD" w:rsidRPr="002E2B5B">
        <w:rPr>
          <w:rFonts w:ascii="Calibri" w:hAnsi="Calibri" w:cs="Calibri"/>
          <w:color w:val="000000"/>
          <w:sz w:val="22"/>
          <w:szCs w:val="22"/>
        </w:rPr>
        <w:t xml:space="preserve"> </w:t>
      </w:r>
      <w:r w:rsidR="00155537">
        <w:rPr>
          <w:rFonts w:ascii="Calibri" w:hAnsi="Calibri" w:cs="Calibri"/>
          <w:color w:val="000000"/>
          <w:sz w:val="22"/>
          <w:szCs w:val="22"/>
        </w:rPr>
        <w:t>12,43</w:t>
      </w:r>
      <w:r w:rsidR="008E63AE" w:rsidRPr="002E2B5B">
        <w:rPr>
          <w:rFonts w:ascii="Calibri" w:hAnsi="Calibri" w:cs="Calibri"/>
          <w:color w:val="000000"/>
          <w:sz w:val="22"/>
          <w:szCs w:val="22"/>
        </w:rPr>
        <w:t xml:space="preserve"> milhões</w:t>
      </w:r>
      <w:r w:rsidR="00216A83">
        <w:rPr>
          <w:rFonts w:ascii="Calibri" w:hAnsi="Calibri" w:cs="Calibri"/>
          <w:color w:val="000000"/>
          <w:sz w:val="22"/>
          <w:szCs w:val="22"/>
        </w:rPr>
        <w:t>:</w:t>
      </w:r>
    </w:p>
    <w:tbl>
      <w:tblPr>
        <w:tblW w:w="5000" w:type="pct"/>
        <w:tblCellMar>
          <w:left w:w="70" w:type="dxa"/>
          <w:right w:w="70" w:type="dxa"/>
        </w:tblCellMar>
        <w:tblLook w:val="04A0" w:firstRow="1" w:lastRow="0" w:firstColumn="1" w:lastColumn="0" w:noHBand="0" w:noVBand="1"/>
      </w:tblPr>
      <w:tblGrid>
        <w:gridCol w:w="5543"/>
        <w:gridCol w:w="804"/>
        <w:gridCol w:w="2060"/>
        <w:gridCol w:w="2060"/>
      </w:tblGrid>
      <w:tr w:rsidR="00A2342A" w14:paraId="250C1101" w14:textId="77777777" w:rsidTr="00A45D37">
        <w:trPr>
          <w:trHeight w:hRule="exact" w:val="227"/>
        </w:trPr>
        <w:tc>
          <w:tcPr>
            <w:tcW w:w="3032" w:type="pct"/>
            <w:gridSpan w:val="2"/>
            <w:tcBorders>
              <w:top w:val="single" w:sz="8" w:space="0" w:color="auto"/>
              <w:left w:val="nil"/>
              <w:bottom w:val="single" w:sz="8" w:space="0" w:color="auto"/>
              <w:right w:val="nil"/>
            </w:tcBorders>
            <w:shd w:val="clear" w:color="auto" w:fill="auto"/>
            <w:noWrap/>
            <w:vAlign w:val="center"/>
            <w:hideMark/>
          </w:tcPr>
          <w:p w14:paraId="401452DD" w14:textId="77777777" w:rsidR="00A2342A" w:rsidRDefault="00A2342A" w:rsidP="00937ED9">
            <w:pPr>
              <w:spacing w:after="120"/>
              <w:rPr>
                <w:rFonts w:ascii="Calibri" w:hAnsi="Calibri" w:cs="Calibri"/>
                <w:b/>
                <w:bCs/>
                <w:color w:val="000000"/>
                <w:sz w:val="16"/>
                <w:szCs w:val="16"/>
              </w:rPr>
            </w:pPr>
            <w:r>
              <w:rPr>
                <w:rFonts w:ascii="Calibri" w:hAnsi="Calibri" w:cs="Calibri"/>
                <w:b/>
                <w:bCs/>
                <w:color w:val="000000"/>
                <w:sz w:val="16"/>
                <w:szCs w:val="16"/>
              </w:rPr>
              <w:t>DESPESAS GERAIS E ADMINISTRATIVAS</w:t>
            </w:r>
          </w:p>
        </w:tc>
        <w:tc>
          <w:tcPr>
            <w:tcW w:w="984" w:type="pct"/>
            <w:tcBorders>
              <w:top w:val="single" w:sz="8" w:space="0" w:color="auto"/>
              <w:left w:val="nil"/>
              <w:bottom w:val="single" w:sz="8" w:space="0" w:color="auto"/>
              <w:right w:val="nil"/>
            </w:tcBorders>
            <w:shd w:val="clear" w:color="auto" w:fill="auto"/>
            <w:vAlign w:val="center"/>
            <w:hideMark/>
          </w:tcPr>
          <w:p w14:paraId="66BBC6EB" w14:textId="1BE4DEDB" w:rsidR="00A2342A" w:rsidRDefault="00A2342A" w:rsidP="00937ED9">
            <w:pPr>
              <w:spacing w:after="120"/>
              <w:jc w:val="right"/>
              <w:rPr>
                <w:rFonts w:ascii="Calibri" w:hAnsi="Calibri" w:cs="Calibri"/>
                <w:b/>
                <w:bCs/>
                <w:color w:val="000000"/>
                <w:sz w:val="16"/>
                <w:szCs w:val="16"/>
              </w:rPr>
            </w:pPr>
            <w:r>
              <w:rPr>
                <w:rFonts w:ascii="Calibri" w:hAnsi="Calibri" w:cs="Calibri"/>
                <w:b/>
                <w:bCs/>
                <w:color w:val="000000"/>
                <w:sz w:val="16"/>
                <w:szCs w:val="16"/>
              </w:rPr>
              <w:t>3</w:t>
            </w:r>
            <w:r w:rsidR="00155537">
              <w:rPr>
                <w:rFonts w:ascii="Calibri" w:hAnsi="Calibri" w:cs="Calibri"/>
                <w:b/>
                <w:bCs/>
                <w:color w:val="000000"/>
                <w:sz w:val="16"/>
                <w:szCs w:val="16"/>
              </w:rPr>
              <w:t>0</w:t>
            </w:r>
            <w:r>
              <w:rPr>
                <w:rFonts w:ascii="Calibri" w:hAnsi="Calibri" w:cs="Calibri"/>
                <w:b/>
                <w:bCs/>
                <w:color w:val="000000"/>
                <w:sz w:val="16"/>
                <w:szCs w:val="16"/>
              </w:rPr>
              <w:t>/</w:t>
            </w:r>
            <w:r w:rsidR="00C46708">
              <w:rPr>
                <w:rFonts w:ascii="Calibri" w:hAnsi="Calibri" w:cs="Calibri"/>
                <w:b/>
                <w:bCs/>
                <w:color w:val="000000"/>
                <w:sz w:val="16"/>
                <w:szCs w:val="16"/>
              </w:rPr>
              <w:t>0</w:t>
            </w:r>
            <w:r w:rsidR="00155537">
              <w:rPr>
                <w:rFonts w:ascii="Calibri" w:hAnsi="Calibri" w:cs="Calibri"/>
                <w:b/>
                <w:bCs/>
                <w:color w:val="000000"/>
                <w:sz w:val="16"/>
                <w:szCs w:val="16"/>
              </w:rPr>
              <w:t>6</w:t>
            </w:r>
            <w:r>
              <w:rPr>
                <w:rFonts w:ascii="Calibri" w:hAnsi="Calibri" w:cs="Calibri"/>
                <w:b/>
                <w:bCs/>
                <w:color w:val="000000"/>
                <w:sz w:val="16"/>
                <w:szCs w:val="16"/>
              </w:rPr>
              <w:t>/202</w:t>
            </w:r>
            <w:r w:rsidR="00C46708">
              <w:rPr>
                <w:rFonts w:ascii="Calibri" w:hAnsi="Calibri" w:cs="Calibri"/>
                <w:b/>
                <w:bCs/>
                <w:color w:val="000000"/>
                <w:sz w:val="16"/>
                <w:szCs w:val="16"/>
              </w:rPr>
              <w:t>2</w:t>
            </w:r>
          </w:p>
        </w:tc>
        <w:tc>
          <w:tcPr>
            <w:tcW w:w="984" w:type="pct"/>
            <w:tcBorders>
              <w:top w:val="single" w:sz="8" w:space="0" w:color="auto"/>
              <w:left w:val="nil"/>
              <w:bottom w:val="single" w:sz="8" w:space="0" w:color="auto"/>
              <w:right w:val="nil"/>
            </w:tcBorders>
            <w:shd w:val="clear" w:color="auto" w:fill="auto"/>
            <w:vAlign w:val="center"/>
            <w:hideMark/>
          </w:tcPr>
          <w:p w14:paraId="4CCB0F05" w14:textId="671ADE1C" w:rsidR="00A2342A" w:rsidRPr="00E92C8D" w:rsidRDefault="00A2342A" w:rsidP="00937ED9">
            <w:pPr>
              <w:spacing w:after="120"/>
              <w:jc w:val="right"/>
              <w:rPr>
                <w:rFonts w:ascii="Calibri" w:hAnsi="Calibri" w:cs="Calibri"/>
                <w:b/>
                <w:bCs/>
                <w:color w:val="000000"/>
                <w:sz w:val="16"/>
                <w:szCs w:val="16"/>
              </w:rPr>
            </w:pPr>
            <w:r w:rsidRPr="00E92C8D">
              <w:rPr>
                <w:rFonts w:ascii="Calibri" w:hAnsi="Calibri" w:cs="Calibri"/>
                <w:b/>
                <w:bCs/>
                <w:color w:val="000000"/>
                <w:sz w:val="16"/>
                <w:szCs w:val="16"/>
              </w:rPr>
              <w:t>3</w:t>
            </w:r>
            <w:r w:rsidR="00155537">
              <w:rPr>
                <w:rFonts w:ascii="Calibri" w:hAnsi="Calibri" w:cs="Calibri"/>
                <w:b/>
                <w:bCs/>
                <w:color w:val="000000"/>
                <w:sz w:val="16"/>
                <w:szCs w:val="16"/>
              </w:rPr>
              <w:t>0</w:t>
            </w:r>
            <w:r w:rsidRPr="00E92C8D">
              <w:rPr>
                <w:rFonts w:ascii="Calibri" w:hAnsi="Calibri" w:cs="Calibri"/>
                <w:b/>
                <w:bCs/>
                <w:color w:val="000000"/>
                <w:sz w:val="16"/>
                <w:szCs w:val="16"/>
              </w:rPr>
              <w:t>/</w:t>
            </w:r>
            <w:r w:rsidR="00C46708">
              <w:rPr>
                <w:rFonts w:ascii="Calibri" w:hAnsi="Calibri" w:cs="Calibri"/>
                <w:b/>
                <w:bCs/>
                <w:color w:val="000000"/>
                <w:sz w:val="16"/>
                <w:szCs w:val="16"/>
              </w:rPr>
              <w:t>0</w:t>
            </w:r>
            <w:r w:rsidR="00155537">
              <w:rPr>
                <w:rFonts w:ascii="Calibri" w:hAnsi="Calibri" w:cs="Calibri"/>
                <w:b/>
                <w:bCs/>
                <w:color w:val="000000"/>
                <w:sz w:val="16"/>
                <w:szCs w:val="16"/>
              </w:rPr>
              <w:t>6</w:t>
            </w:r>
            <w:r w:rsidRPr="00E92C8D">
              <w:rPr>
                <w:rFonts w:ascii="Calibri" w:hAnsi="Calibri" w:cs="Calibri"/>
                <w:b/>
                <w:bCs/>
                <w:color w:val="000000"/>
                <w:sz w:val="16"/>
                <w:szCs w:val="16"/>
              </w:rPr>
              <w:t>/202</w:t>
            </w:r>
            <w:r w:rsidR="00C46708">
              <w:rPr>
                <w:rFonts w:ascii="Calibri" w:hAnsi="Calibri" w:cs="Calibri"/>
                <w:b/>
                <w:bCs/>
                <w:color w:val="000000"/>
                <w:sz w:val="16"/>
                <w:szCs w:val="16"/>
              </w:rPr>
              <w:t>1</w:t>
            </w:r>
          </w:p>
        </w:tc>
      </w:tr>
      <w:tr w:rsidR="00A2342A" w14:paraId="61B30741" w14:textId="77777777" w:rsidTr="00A45D37">
        <w:trPr>
          <w:trHeight w:hRule="exact" w:val="227"/>
        </w:trPr>
        <w:tc>
          <w:tcPr>
            <w:tcW w:w="3032" w:type="pct"/>
            <w:gridSpan w:val="2"/>
            <w:tcBorders>
              <w:top w:val="nil"/>
              <w:left w:val="nil"/>
              <w:bottom w:val="nil"/>
              <w:right w:val="nil"/>
            </w:tcBorders>
            <w:shd w:val="clear" w:color="auto" w:fill="auto"/>
            <w:noWrap/>
            <w:vAlign w:val="center"/>
            <w:hideMark/>
          </w:tcPr>
          <w:p w14:paraId="5AF51333" w14:textId="19491ABB" w:rsidR="00A2342A" w:rsidRDefault="007D0F74" w:rsidP="00937ED9">
            <w:pPr>
              <w:spacing w:after="120"/>
              <w:rPr>
                <w:rFonts w:ascii="Calibri" w:hAnsi="Calibri" w:cs="Calibri"/>
                <w:color w:val="000000"/>
                <w:sz w:val="16"/>
                <w:szCs w:val="16"/>
              </w:rPr>
            </w:pPr>
            <w:r>
              <w:rPr>
                <w:rFonts w:ascii="Calibri" w:hAnsi="Calibri" w:cs="Calibri"/>
                <w:color w:val="000000"/>
                <w:sz w:val="16"/>
                <w:szCs w:val="16"/>
              </w:rPr>
              <w:t>Custa</w:t>
            </w:r>
            <w:r w:rsidR="00A2342A">
              <w:rPr>
                <w:rFonts w:ascii="Calibri" w:hAnsi="Calibri" w:cs="Calibri"/>
                <w:color w:val="000000"/>
                <w:sz w:val="16"/>
                <w:szCs w:val="16"/>
              </w:rPr>
              <w:t xml:space="preserve"> judiciais</w:t>
            </w:r>
          </w:p>
        </w:tc>
        <w:tc>
          <w:tcPr>
            <w:tcW w:w="984" w:type="pct"/>
            <w:tcBorders>
              <w:top w:val="nil"/>
              <w:left w:val="nil"/>
              <w:bottom w:val="nil"/>
              <w:right w:val="nil"/>
            </w:tcBorders>
            <w:shd w:val="clear" w:color="auto" w:fill="auto"/>
            <w:vAlign w:val="center"/>
            <w:hideMark/>
          </w:tcPr>
          <w:p w14:paraId="06EE8271" w14:textId="1225C768" w:rsidR="00A2342A" w:rsidRDefault="00A2342A" w:rsidP="00937ED9">
            <w:pPr>
              <w:spacing w:after="120"/>
              <w:jc w:val="right"/>
              <w:rPr>
                <w:rFonts w:ascii="Calibri" w:hAnsi="Calibri" w:cs="Calibri"/>
                <w:color w:val="000000"/>
                <w:sz w:val="16"/>
                <w:szCs w:val="16"/>
              </w:rPr>
            </w:pPr>
            <w:r>
              <w:rPr>
                <w:rFonts w:ascii="Calibri" w:hAnsi="Calibri" w:cs="Calibri"/>
                <w:color w:val="000000"/>
                <w:sz w:val="16"/>
                <w:szCs w:val="16"/>
              </w:rPr>
              <w:t>(</w:t>
            </w:r>
            <w:r w:rsidR="007D0F74">
              <w:rPr>
                <w:rFonts w:ascii="Calibri" w:hAnsi="Calibri" w:cs="Calibri"/>
                <w:color w:val="000000"/>
                <w:sz w:val="16"/>
                <w:szCs w:val="16"/>
              </w:rPr>
              <w:t>185.185</w:t>
            </w:r>
            <w:r>
              <w:rPr>
                <w:rFonts w:ascii="Calibri" w:hAnsi="Calibri" w:cs="Calibri"/>
                <w:color w:val="000000"/>
                <w:sz w:val="16"/>
                <w:szCs w:val="16"/>
              </w:rPr>
              <w:t>)</w:t>
            </w:r>
          </w:p>
        </w:tc>
        <w:tc>
          <w:tcPr>
            <w:tcW w:w="984" w:type="pct"/>
            <w:tcBorders>
              <w:top w:val="nil"/>
              <w:left w:val="nil"/>
              <w:bottom w:val="nil"/>
              <w:right w:val="nil"/>
            </w:tcBorders>
            <w:shd w:val="clear" w:color="auto" w:fill="auto"/>
            <w:vAlign w:val="center"/>
            <w:hideMark/>
          </w:tcPr>
          <w:p w14:paraId="070EE6A5" w14:textId="3F0A1696" w:rsidR="00A2342A" w:rsidRPr="00E92C8D" w:rsidRDefault="00C46708" w:rsidP="00937ED9">
            <w:pPr>
              <w:spacing w:after="120"/>
              <w:jc w:val="right"/>
              <w:rPr>
                <w:rFonts w:ascii="Calibri" w:hAnsi="Calibri" w:cs="Calibri"/>
                <w:color w:val="000000"/>
                <w:sz w:val="16"/>
                <w:szCs w:val="16"/>
              </w:rPr>
            </w:pPr>
            <w:r w:rsidRPr="002E2B5B">
              <w:rPr>
                <w:rFonts w:ascii="Calibri" w:hAnsi="Calibri" w:cs="Calibri"/>
                <w:color w:val="000000"/>
                <w:sz w:val="16"/>
                <w:szCs w:val="16"/>
              </w:rPr>
              <w:t>(</w:t>
            </w:r>
            <w:r w:rsidR="00BA50B5">
              <w:rPr>
                <w:rFonts w:ascii="Calibri" w:hAnsi="Calibri" w:cs="Calibri"/>
                <w:color w:val="000000"/>
                <w:sz w:val="16"/>
                <w:szCs w:val="16"/>
              </w:rPr>
              <w:t>3.341.304</w:t>
            </w:r>
            <w:r w:rsidRPr="002E2B5B">
              <w:rPr>
                <w:rFonts w:ascii="Calibri" w:hAnsi="Calibri" w:cs="Calibri"/>
                <w:color w:val="000000"/>
                <w:sz w:val="16"/>
                <w:szCs w:val="16"/>
              </w:rPr>
              <w:t>)</w:t>
            </w:r>
          </w:p>
        </w:tc>
      </w:tr>
      <w:tr w:rsidR="00A2342A" w14:paraId="28C08A5B" w14:textId="77777777" w:rsidTr="00A45D37">
        <w:trPr>
          <w:trHeight w:hRule="exact" w:val="227"/>
        </w:trPr>
        <w:tc>
          <w:tcPr>
            <w:tcW w:w="3032" w:type="pct"/>
            <w:gridSpan w:val="2"/>
            <w:tcBorders>
              <w:top w:val="nil"/>
              <w:left w:val="nil"/>
              <w:bottom w:val="nil"/>
              <w:right w:val="nil"/>
            </w:tcBorders>
            <w:shd w:val="clear" w:color="auto" w:fill="auto"/>
            <w:noWrap/>
            <w:vAlign w:val="center"/>
            <w:hideMark/>
          </w:tcPr>
          <w:p w14:paraId="2C2A351C" w14:textId="77777777" w:rsidR="00A2342A" w:rsidRDefault="00A2342A" w:rsidP="00937ED9">
            <w:pPr>
              <w:spacing w:after="120"/>
              <w:rPr>
                <w:rFonts w:ascii="Calibri" w:hAnsi="Calibri" w:cs="Calibri"/>
                <w:color w:val="000000"/>
                <w:sz w:val="16"/>
                <w:szCs w:val="16"/>
              </w:rPr>
            </w:pPr>
            <w:r>
              <w:rPr>
                <w:rFonts w:ascii="Calibri" w:hAnsi="Calibri" w:cs="Calibri"/>
                <w:color w:val="000000"/>
                <w:sz w:val="16"/>
                <w:szCs w:val="16"/>
              </w:rPr>
              <w:t>Material de Expediente e Combustíveis</w:t>
            </w:r>
          </w:p>
        </w:tc>
        <w:tc>
          <w:tcPr>
            <w:tcW w:w="984" w:type="pct"/>
            <w:tcBorders>
              <w:top w:val="nil"/>
              <w:left w:val="nil"/>
              <w:bottom w:val="nil"/>
              <w:right w:val="nil"/>
            </w:tcBorders>
            <w:shd w:val="clear" w:color="auto" w:fill="auto"/>
            <w:noWrap/>
            <w:vAlign w:val="center"/>
            <w:hideMark/>
          </w:tcPr>
          <w:p w14:paraId="6A444D9C" w14:textId="5E1002C6" w:rsidR="00A2342A" w:rsidRDefault="00A2342A" w:rsidP="00937ED9">
            <w:pPr>
              <w:spacing w:after="120"/>
              <w:jc w:val="right"/>
              <w:rPr>
                <w:rFonts w:ascii="Calibri" w:hAnsi="Calibri" w:cs="Calibri"/>
                <w:color w:val="000000"/>
                <w:sz w:val="16"/>
                <w:szCs w:val="16"/>
              </w:rPr>
            </w:pPr>
            <w:r>
              <w:rPr>
                <w:rFonts w:ascii="Calibri" w:hAnsi="Calibri" w:cs="Calibri"/>
                <w:color w:val="000000"/>
                <w:sz w:val="16"/>
                <w:szCs w:val="16"/>
              </w:rPr>
              <w:t>(</w:t>
            </w:r>
            <w:r w:rsidR="00155537">
              <w:rPr>
                <w:rFonts w:ascii="Calibri" w:hAnsi="Calibri" w:cs="Calibri"/>
                <w:color w:val="000000"/>
                <w:sz w:val="16"/>
                <w:szCs w:val="16"/>
              </w:rPr>
              <w:t>121.447</w:t>
            </w:r>
            <w:r>
              <w:rPr>
                <w:rFonts w:ascii="Calibri" w:hAnsi="Calibri" w:cs="Calibri"/>
                <w:color w:val="000000"/>
                <w:sz w:val="16"/>
                <w:szCs w:val="16"/>
              </w:rPr>
              <w:t>)</w:t>
            </w:r>
          </w:p>
        </w:tc>
        <w:tc>
          <w:tcPr>
            <w:tcW w:w="984" w:type="pct"/>
            <w:tcBorders>
              <w:top w:val="nil"/>
              <w:left w:val="nil"/>
              <w:bottom w:val="nil"/>
              <w:right w:val="nil"/>
            </w:tcBorders>
            <w:shd w:val="clear" w:color="auto" w:fill="auto"/>
            <w:vAlign w:val="center"/>
            <w:hideMark/>
          </w:tcPr>
          <w:p w14:paraId="59623CBA" w14:textId="77124834" w:rsidR="00A2342A" w:rsidRPr="00E92C8D" w:rsidRDefault="00C46708" w:rsidP="00937ED9">
            <w:pPr>
              <w:spacing w:after="120"/>
              <w:jc w:val="right"/>
              <w:rPr>
                <w:rFonts w:ascii="Calibri" w:hAnsi="Calibri" w:cs="Calibri"/>
                <w:color w:val="000000"/>
                <w:sz w:val="16"/>
                <w:szCs w:val="16"/>
              </w:rPr>
            </w:pPr>
            <w:r w:rsidRPr="002E2B5B">
              <w:rPr>
                <w:rFonts w:ascii="Calibri" w:hAnsi="Calibri" w:cs="Calibri"/>
                <w:color w:val="000000"/>
                <w:sz w:val="16"/>
                <w:szCs w:val="16"/>
              </w:rPr>
              <w:t>(</w:t>
            </w:r>
            <w:r w:rsidR="00BA50B5">
              <w:rPr>
                <w:rFonts w:ascii="Calibri" w:hAnsi="Calibri" w:cs="Calibri"/>
                <w:color w:val="000000"/>
                <w:sz w:val="16"/>
                <w:szCs w:val="16"/>
              </w:rPr>
              <w:t>122.311</w:t>
            </w:r>
            <w:r w:rsidRPr="002E2B5B">
              <w:rPr>
                <w:rFonts w:ascii="Calibri" w:hAnsi="Calibri" w:cs="Calibri"/>
                <w:color w:val="000000"/>
                <w:sz w:val="16"/>
                <w:szCs w:val="16"/>
              </w:rPr>
              <w:t>)</w:t>
            </w:r>
          </w:p>
        </w:tc>
      </w:tr>
      <w:tr w:rsidR="00A2342A" w14:paraId="4A48DEB8" w14:textId="77777777" w:rsidTr="00A45D37">
        <w:trPr>
          <w:trHeight w:hRule="exact" w:val="227"/>
        </w:trPr>
        <w:tc>
          <w:tcPr>
            <w:tcW w:w="3032" w:type="pct"/>
            <w:gridSpan w:val="2"/>
            <w:tcBorders>
              <w:top w:val="nil"/>
              <w:left w:val="nil"/>
              <w:bottom w:val="nil"/>
              <w:right w:val="nil"/>
            </w:tcBorders>
            <w:shd w:val="clear" w:color="auto" w:fill="auto"/>
            <w:noWrap/>
            <w:vAlign w:val="center"/>
            <w:hideMark/>
          </w:tcPr>
          <w:p w14:paraId="7D889647" w14:textId="77777777" w:rsidR="00A2342A" w:rsidRDefault="00A2342A" w:rsidP="00937ED9">
            <w:pPr>
              <w:spacing w:after="120"/>
              <w:rPr>
                <w:rFonts w:ascii="Calibri" w:hAnsi="Calibri" w:cs="Calibri"/>
                <w:color w:val="000000"/>
                <w:sz w:val="16"/>
                <w:szCs w:val="16"/>
              </w:rPr>
            </w:pPr>
            <w:r>
              <w:rPr>
                <w:rFonts w:ascii="Calibri" w:hAnsi="Calibri" w:cs="Calibri"/>
                <w:color w:val="000000"/>
                <w:sz w:val="16"/>
                <w:szCs w:val="16"/>
              </w:rPr>
              <w:t>Assessoria, Consultoria, Locação de mão-de-obra, limpeza e vigilância</w:t>
            </w:r>
          </w:p>
        </w:tc>
        <w:tc>
          <w:tcPr>
            <w:tcW w:w="984" w:type="pct"/>
            <w:tcBorders>
              <w:top w:val="nil"/>
              <w:left w:val="nil"/>
              <w:bottom w:val="nil"/>
              <w:right w:val="nil"/>
            </w:tcBorders>
            <w:shd w:val="clear" w:color="auto" w:fill="auto"/>
            <w:noWrap/>
            <w:vAlign w:val="center"/>
            <w:hideMark/>
          </w:tcPr>
          <w:p w14:paraId="7BFA1E18" w14:textId="407DEB32" w:rsidR="00A2342A" w:rsidRDefault="00A2342A" w:rsidP="00937ED9">
            <w:pPr>
              <w:spacing w:after="120"/>
              <w:jc w:val="right"/>
              <w:rPr>
                <w:rFonts w:ascii="Calibri" w:hAnsi="Calibri" w:cs="Calibri"/>
                <w:color w:val="000000"/>
                <w:sz w:val="16"/>
                <w:szCs w:val="16"/>
              </w:rPr>
            </w:pPr>
            <w:r>
              <w:rPr>
                <w:rFonts w:ascii="Calibri" w:hAnsi="Calibri" w:cs="Calibri"/>
                <w:color w:val="000000"/>
                <w:sz w:val="16"/>
                <w:szCs w:val="16"/>
              </w:rPr>
              <w:t>(</w:t>
            </w:r>
            <w:r w:rsidR="00155537">
              <w:rPr>
                <w:rFonts w:ascii="Calibri" w:hAnsi="Calibri" w:cs="Calibri"/>
                <w:color w:val="000000"/>
                <w:sz w:val="16"/>
                <w:szCs w:val="16"/>
              </w:rPr>
              <w:t>9.747.465</w:t>
            </w:r>
            <w:r>
              <w:rPr>
                <w:rFonts w:ascii="Calibri" w:hAnsi="Calibri" w:cs="Calibri"/>
                <w:color w:val="000000"/>
                <w:sz w:val="16"/>
                <w:szCs w:val="16"/>
              </w:rPr>
              <w:t>)</w:t>
            </w:r>
          </w:p>
        </w:tc>
        <w:tc>
          <w:tcPr>
            <w:tcW w:w="984" w:type="pct"/>
            <w:tcBorders>
              <w:top w:val="nil"/>
              <w:left w:val="nil"/>
              <w:bottom w:val="nil"/>
              <w:right w:val="nil"/>
            </w:tcBorders>
            <w:shd w:val="clear" w:color="auto" w:fill="auto"/>
            <w:vAlign w:val="center"/>
            <w:hideMark/>
          </w:tcPr>
          <w:p w14:paraId="45618C1C" w14:textId="50B2B6A0" w:rsidR="00A2342A" w:rsidRPr="00E92C8D" w:rsidRDefault="00C46708" w:rsidP="00937ED9">
            <w:pPr>
              <w:spacing w:after="120"/>
              <w:jc w:val="right"/>
              <w:rPr>
                <w:rFonts w:ascii="Calibri" w:hAnsi="Calibri" w:cs="Calibri"/>
                <w:color w:val="000000"/>
                <w:sz w:val="16"/>
                <w:szCs w:val="16"/>
              </w:rPr>
            </w:pPr>
            <w:r w:rsidRPr="002E2B5B">
              <w:rPr>
                <w:rFonts w:ascii="Calibri" w:hAnsi="Calibri" w:cs="Calibri"/>
                <w:color w:val="000000"/>
                <w:sz w:val="16"/>
                <w:szCs w:val="16"/>
              </w:rPr>
              <w:t>(</w:t>
            </w:r>
            <w:r w:rsidR="00BA50B5">
              <w:rPr>
                <w:rFonts w:ascii="Calibri" w:hAnsi="Calibri" w:cs="Calibri"/>
                <w:color w:val="000000"/>
                <w:sz w:val="16"/>
                <w:szCs w:val="16"/>
              </w:rPr>
              <w:t>11.184.762</w:t>
            </w:r>
            <w:r w:rsidRPr="002E2B5B">
              <w:rPr>
                <w:rFonts w:ascii="Calibri" w:hAnsi="Calibri" w:cs="Calibri"/>
                <w:color w:val="000000"/>
                <w:sz w:val="16"/>
                <w:szCs w:val="16"/>
              </w:rPr>
              <w:t>)</w:t>
            </w:r>
          </w:p>
        </w:tc>
      </w:tr>
      <w:tr w:rsidR="00A2342A" w14:paraId="2F2A9C65" w14:textId="77777777" w:rsidTr="00A45D37">
        <w:trPr>
          <w:trHeight w:hRule="exact" w:val="227"/>
        </w:trPr>
        <w:tc>
          <w:tcPr>
            <w:tcW w:w="3032" w:type="pct"/>
            <w:gridSpan w:val="2"/>
            <w:tcBorders>
              <w:top w:val="nil"/>
              <w:left w:val="nil"/>
              <w:bottom w:val="nil"/>
              <w:right w:val="nil"/>
            </w:tcBorders>
            <w:shd w:val="clear" w:color="auto" w:fill="auto"/>
            <w:noWrap/>
            <w:vAlign w:val="center"/>
            <w:hideMark/>
          </w:tcPr>
          <w:p w14:paraId="68951CCC" w14:textId="77777777" w:rsidR="00A2342A" w:rsidRDefault="00A2342A" w:rsidP="00937ED9">
            <w:pPr>
              <w:spacing w:after="120"/>
              <w:rPr>
                <w:rFonts w:ascii="Calibri" w:hAnsi="Calibri" w:cs="Calibri"/>
                <w:color w:val="000000"/>
                <w:sz w:val="16"/>
                <w:szCs w:val="16"/>
              </w:rPr>
            </w:pPr>
            <w:r>
              <w:rPr>
                <w:rFonts w:ascii="Calibri" w:hAnsi="Calibri" w:cs="Calibri"/>
                <w:color w:val="000000"/>
                <w:sz w:val="16"/>
                <w:szCs w:val="16"/>
              </w:rPr>
              <w:t>Locação de Imóveis e Equipamentos</w:t>
            </w:r>
          </w:p>
        </w:tc>
        <w:tc>
          <w:tcPr>
            <w:tcW w:w="984" w:type="pct"/>
            <w:tcBorders>
              <w:top w:val="nil"/>
              <w:left w:val="nil"/>
              <w:bottom w:val="nil"/>
              <w:right w:val="nil"/>
            </w:tcBorders>
            <w:shd w:val="clear" w:color="auto" w:fill="auto"/>
            <w:noWrap/>
            <w:vAlign w:val="center"/>
            <w:hideMark/>
          </w:tcPr>
          <w:p w14:paraId="3B7EA3CA" w14:textId="745D7EEF" w:rsidR="00A2342A" w:rsidRDefault="00A2342A" w:rsidP="00937ED9">
            <w:pPr>
              <w:spacing w:after="120"/>
              <w:jc w:val="right"/>
              <w:rPr>
                <w:rFonts w:ascii="Calibri" w:hAnsi="Calibri" w:cs="Calibri"/>
                <w:color w:val="000000"/>
                <w:sz w:val="16"/>
                <w:szCs w:val="16"/>
              </w:rPr>
            </w:pPr>
            <w:r>
              <w:rPr>
                <w:rFonts w:ascii="Calibri" w:hAnsi="Calibri" w:cs="Calibri"/>
                <w:color w:val="000000"/>
                <w:sz w:val="16"/>
                <w:szCs w:val="16"/>
              </w:rPr>
              <w:t>(</w:t>
            </w:r>
            <w:r w:rsidR="00155537">
              <w:rPr>
                <w:rFonts w:ascii="Calibri" w:hAnsi="Calibri" w:cs="Calibri"/>
                <w:color w:val="000000"/>
                <w:sz w:val="16"/>
                <w:szCs w:val="16"/>
              </w:rPr>
              <w:t>2.154.740</w:t>
            </w:r>
            <w:r>
              <w:rPr>
                <w:rFonts w:ascii="Calibri" w:hAnsi="Calibri" w:cs="Calibri"/>
                <w:color w:val="000000"/>
                <w:sz w:val="16"/>
                <w:szCs w:val="16"/>
              </w:rPr>
              <w:t>)</w:t>
            </w:r>
          </w:p>
        </w:tc>
        <w:tc>
          <w:tcPr>
            <w:tcW w:w="984" w:type="pct"/>
            <w:tcBorders>
              <w:top w:val="nil"/>
              <w:left w:val="nil"/>
              <w:bottom w:val="nil"/>
              <w:right w:val="nil"/>
            </w:tcBorders>
            <w:shd w:val="clear" w:color="auto" w:fill="auto"/>
            <w:vAlign w:val="center"/>
            <w:hideMark/>
          </w:tcPr>
          <w:p w14:paraId="32526B5E" w14:textId="4D6ECC37" w:rsidR="005D15C6" w:rsidRPr="00E92C8D" w:rsidRDefault="00C46708" w:rsidP="00937ED9">
            <w:pPr>
              <w:spacing w:after="120"/>
              <w:jc w:val="right"/>
              <w:rPr>
                <w:rFonts w:ascii="Calibri" w:hAnsi="Calibri" w:cs="Calibri"/>
                <w:color w:val="000000"/>
                <w:sz w:val="16"/>
                <w:szCs w:val="16"/>
              </w:rPr>
            </w:pPr>
            <w:r w:rsidRPr="002E2B5B">
              <w:rPr>
                <w:rFonts w:ascii="Calibri" w:hAnsi="Calibri" w:cs="Calibri"/>
                <w:color w:val="000000"/>
                <w:sz w:val="16"/>
                <w:szCs w:val="16"/>
              </w:rPr>
              <w:t>(</w:t>
            </w:r>
            <w:r w:rsidR="00BA50B5">
              <w:rPr>
                <w:rFonts w:ascii="Calibri" w:hAnsi="Calibri" w:cs="Calibri"/>
                <w:color w:val="000000"/>
                <w:sz w:val="16"/>
                <w:szCs w:val="16"/>
              </w:rPr>
              <w:t>619.150</w:t>
            </w:r>
            <w:r w:rsidRPr="002E2B5B">
              <w:rPr>
                <w:rFonts w:ascii="Calibri" w:hAnsi="Calibri" w:cs="Calibri"/>
                <w:color w:val="000000"/>
                <w:sz w:val="16"/>
                <w:szCs w:val="16"/>
              </w:rPr>
              <w:t>)</w:t>
            </w:r>
          </w:p>
          <w:p w14:paraId="045E4285" w14:textId="2E9D474D" w:rsidR="00A2342A" w:rsidRPr="00E92C8D" w:rsidRDefault="00A2342A" w:rsidP="00BA50B5">
            <w:pPr>
              <w:spacing w:after="120"/>
              <w:rPr>
                <w:rFonts w:ascii="Calibri" w:hAnsi="Calibri" w:cs="Calibri"/>
                <w:color w:val="000000"/>
                <w:sz w:val="16"/>
                <w:szCs w:val="16"/>
              </w:rPr>
            </w:pPr>
          </w:p>
        </w:tc>
      </w:tr>
      <w:tr w:rsidR="00A2342A" w14:paraId="62B2E761" w14:textId="77777777" w:rsidTr="00A45D37">
        <w:trPr>
          <w:trHeight w:hRule="exact" w:val="227"/>
        </w:trPr>
        <w:tc>
          <w:tcPr>
            <w:tcW w:w="3032" w:type="pct"/>
            <w:gridSpan w:val="2"/>
            <w:tcBorders>
              <w:top w:val="nil"/>
              <w:left w:val="nil"/>
              <w:bottom w:val="nil"/>
              <w:right w:val="nil"/>
            </w:tcBorders>
            <w:shd w:val="clear" w:color="auto" w:fill="auto"/>
            <w:noWrap/>
            <w:vAlign w:val="center"/>
            <w:hideMark/>
          </w:tcPr>
          <w:p w14:paraId="10BE8B63" w14:textId="77777777" w:rsidR="00A2342A" w:rsidRDefault="00A2342A" w:rsidP="00937ED9">
            <w:pPr>
              <w:spacing w:after="120"/>
              <w:rPr>
                <w:rFonts w:ascii="Calibri" w:hAnsi="Calibri" w:cs="Calibri"/>
                <w:color w:val="000000"/>
                <w:sz w:val="16"/>
                <w:szCs w:val="16"/>
              </w:rPr>
            </w:pPr>
            <w:r>
              <w:rPr>
                <w:rFonts w:ascii="Calibri" w:hAnsi="Calibri" w:cs="Calibri"/>
                <w:color w:val="000000"/>
                <w:sz w:val="16"/>
                <w:szCs w:val="16"/>
              </w:rPr>
              <w:lastRenderedPageBreak/>
              <w:t>Energia, Água e Telecomunicações</w:t>
            </w:r>
          </w:p>
        </w:tc>
        <w:tc>
          <w:tcPr>
            <w:tcW w:w="984" w:type="pct"/>
            <w:tcBorders>
              <w:top w:val="nil"/>
              <w:left w:val="nil"/>
              <w:bottom w:val="nil"/>
              <w:right w:val="nil"/>
            </w:tcBorders>
            <w:shd w:val="clear" w:color="auto" w:fill="auto"/>
            <w:noWrap/>
            <w:vAlign w:val="center"/>
            <w:hideMark/>
          </w:tcPr>
          <w:p w14:paraId="78F60D62" w14:textId="2E169BEE" w:rsidR="00A2342A" w:rsidRDefault="00A2342A" w:rsidP="00937ED9">
            <w:pPr>
              <w:spacing w:after="120"/>
              <w:jc w:val="right"/>
              <w:rPr>
                <w:rFonts w:ascii="Calibri" w:hAnsi="Calibri" w:cs="Calibri"/>
                <w:color w:val="000000"/>
                <w:sz w:val="16"/>
                <w:szCs w:val="16"/>
              </w:rPr>
            </w:pPr>
            <w:r>
              <w:rPr>
                <w:rFonts w:ascii="Calibri" w:hAnsi="Calibri" w:cs="Calibri"/>
                <w:color w:val="000000"/>
                <w:sz w:val="16"/>
                <w:szCs w:val="16"/>
              </w:rPr>
              <w:t>(</w:t>
            </w:r>
            <w:r w:rsidR="00BA50B5">
              <w:rPr>
                <w:rFonts w:ascii="Calibri" w:hAnsi="Calibri" w:cs="Calibri"/>
                <w:color w:val="000000"/>
                <w:sz w:val="16"/>
                <w:szCs w:val="16"/>
              </w:rPr>
              <w:t>125.263</w:t>
            </w:r>
            <w:r>
              <w:rPr>
                <w:rFonts w:ascii="Calibri" w:hAnsi="Calibri" w:cs="Calibri"/>
                <w:color w:val="000000"/>
                <w:sz w:val="16"/>
                <w:szCs w:val="16"/>
              </w:rPr>
              <w:t>)</w:t>
            </w:r>
          </w:p>
        </w:tc>
        <w:tc>
          <w:tcPr>
            <w:tcW w:w="984" w:type="pct"/>
            <w:tcBorders>
              <w:top w:val="nil"/>
              <w:left w:val="nil"/>
              <w:bottom w:val="nil"/>
              <w:right w:val="nil"/>
            </w:tcBorders>
            <w:shd w:val="clear" w:color="auto" w:fill="auto"/>
            <w:vAlign w:val="center"/>
            <w:hideMark/>
          </w:tcPr>
          <w:p w14:paraId="126C6031" w14:textId="5C470545" w:rsidR="00A2342A" w:rsidRPr="00E92C8D" w:rsidRDefault="00C46708" w:rsidP="00937ED9">
            <w:pPr>
              <w:spacing w:after="120"/>
              <w:jc w:val="right"/>
              <w:rPr>
                <w:rFonts w:ascii="Calibri" w:hAnsi="Calibri" w:cs="Calibri"/>
                <w:color w:val="000000"/>
                <w:sz w:val="16"/>
                <w:szCs w:val="16"/>
              </w:rPr>
            </w:pPr>
            <w:r w:rsidRPr="002E2B5B">
              <w:rPr>
                <w:rFonts w:ascii="Calibri" w:hAnsi="Calibri" w:cs="Calibri"/>
                <w:color w:val="000000"/>
                <w:sz w:val="16"/>
                <w:szCs w:val="16"/>
              </w:rPr>
              <w:t>(</w:t>
            </w:r>
            <w:r w:rsidR="00BA50B5">
              <w:rPr>
                <w:rFonts w:ascii="Calibri" w:hAnsi="Calibri" w:cs="Calibri"/>
                <w:color w:val="000000"/>
                <w:sz w:val="16"/>
                <w:szCs w:val="16"/>
              </w:rPr>
              <w:t>137.047</w:t>
            </w:r>
            <w:r w:rsidRPr="002E2B5B">
              <w:rPr>
                <w:rFonts w:ascii="Calibri" w:hAnsi="Calibri" w:cs="Calibri"/>
                <w:color w:val="000000"/>
                <w:sz w:val="16"/>
                <w:szCs w:val="16"/>
              </w:rPr>
              <w:t>)</w:t>
            </w:r>
          </w:p>
        </w:tc>
      </w:tr>
      <w:tr w:rsidR="00A2342A" w14:paraId="0CC4357A" w14:textId="77777777" w:rsidTr="00A45D37">
        <w:trPr>
          <w:trHeight w:hRule="exact" w:val="227"/>
        </w:trPr>
        <w:tc>
          <w:tcPr>
            <w:tcW w:w="3032" w:type="pct"/>
            <w:gridSpan w:val="2"/>
            <w:tcBorders>
              <w:top w:val="nil"/>
              <w:left w:val="nil"/>
              <w:bottom w:val="nil"/>
              <w:right w:val="nil"/>
            </w:tcBorders>
            <w:shd w:val="clear" w:color="auto" w:fill="auto"/>
            <w:noWrap/>
            <w:vAlign w:val="center"/>
            <w:hideMark/>
          </w:tcPr>
          <w:p w14:paraId="04635B32" w14:textId="77777777" w:rsidR="00A2342A" w:rsidRDefault="00A2342A" w:rsidP="00937ED9">
            <w:pPr>
              <w:spacing w:after="120"/>
              <w:rPr>
                <w:rFonts w:ascii="Calibri" w:hAnsi="Calibri" w:cs="Calibri"/>
                <w:color w:val="000000"/>
                <w:sz w:val="16"/>
                <w:szCs w:val="16"/>
              </w:rPr>
            </w:pPr>
            <w:r>
              <w:rPr>
                <w:rFonts w:ascii="Calibri" w:hAnsi="Calibri" w:cs="Calibri"/>
                <w:color w:val="000000"/>
                <w:sz w:val="16"/>
                <w:szCs w:val="16"/>
              </w:rPr>
              <w:t>Impostos e Taxas</w:t>
            </w:r>
          </w:p>
        </w:tc>
        <w:tc>
          <w:tcPr>
            <w:tcW w:w="984" w:type="pct"/>
            <w:tcBorders>
              <w:top w:val="nil"/>
              <w:left w:val="nil"/>
              <w:bottom w:val="nil"/>
              <w:right w:val="nil"/>
            </w:tcBorders>
            <w:shd w:val="clear" w:color="auto" w:fill="auto"/>
            <w:noWrap/>
            <w:vAlign w:val="center"/>
            <w:hideMark/>
          </w:tcPr>
          <w:p w14:paraId="72AE304D" w14:textId="1706FA84" w:rsidR="00A2342A" w:rsidRDefault="00A2342A" w:rsidP="00937ED9">
            <w:pPr>
              <w:spacing w:after="120"/>
              <w:jc w:val="right"/>
              <w:rPr>
                <w:rFonts w:ascii="Calibri" w:hAnsi="Calibri" w:cs="Calibri"/>
                <w:color w:val="000000"/>
                <w:sz w:val="16"/>
                <w:szCs w:val="16"/>
              </w:rPr>
            </w:pPr>
            <w:r>
              <w:rPr>
                <w:rFonts w:ascii="Calibri" w:hAnsi="Calibri" w:cs="Calibri"/>
                <w:color w:val="000000"/>
                <w:sz w:val="16"/>
                <w:szCs w:val="16"/>
              </w:rPr>
              <w:t>(</w:t>
            </w:r>
            <w:r w:rsidR="00BA50B5">
              <w:rPr>
                <w:rFonts w:ascii="Calibri" w:hAnsi="Calibri" w:cs="Calibri"/>
                <w:color w:val="000000"/>
                <w:sz w:val="16"/>
                <w:szCs w:val="16"/>
              </w:rPr>
              <w:t>25.848</w:t>
            </w:r>
            <w:r>
              <w:rPr>
                <w:rFonts w:ascii="Calibri" w:hAnsi="Calibri" w:cs="Calibri"/>
                <w:color w:val="000000"/>
                <w:sz w:val="16"/>
                <w:szCs w:val="16"/>
              </w:rPr>
              <w:t>)</w:t>
            </w:r>
          </w:p>
        </w:tc>
        <w:tc>
          <w:tcPr>
            <w:tcW w:w="984" w:type="pct"/>
            <w:tcBorders>
              <w:top w:val="nil"/>
              <w:left w:val="nil"/>
              <w:bottom w:val="nil"/>
              <w:right w:val="nil"/>
            </w:tcBorders>
            <w:shd w:val="clear" w:color="auto" w:fill="auto"/>
            <w:vAlign w:val="center"/>
            <w:hideMark/>
          </w:tcPr>
          <w:p w14:paraId="1F800172" w14:textId="68886AC8" w:rsidR="00A2342A" w:rsidRPr="00E92C8D" w:rsidRDefault="00C46708" w:rsidP="00937ED9">
            <w:pPr>
              <w:spacing w:after="120"/>
              <w:jc w:val="right"/>
              <w:rPr>
                <w:rFonts w:ascii="Calibri" w:hAnsi="Calibri" w:cs="Calibri"/>
                <w:color w:val="000000"/>
                <w:sz w:val="16"/>
                <w:szCs w:val="16"/>
              </w:rPr>
            </w:pPr>
            <w:r w:rsidRPr="002E2B5B">
              <w:rPr>
                <w:rFonts w:ascii="Calibri" w:hAnsi="Calibri" w:cs="Calibri"/>
                <w:color w:val="000000"/>
                <w:sz w:val="16"/>
                <w:szCs w:val="16"/>
              </w:rPr>
              <w:t>(</w:t>
            </w:r>
            <w:r w:rsidR="00BA50B5">
              <w:rPr>
                <w:rFonts w:ascii="Calibri" w:hAnsi="Calibri" w:cs="Calibri"/>
                <w:color w:val="000000"/>
                <w:sz w:val="16"/>
                <w:szCs w:val="16"/>
              </w:rPr>
              <w:t>305.832</w:t>
            </w:r>
            <w:r w:rsidRPr="002E2B5B">
              <w:rPr>
                <w:rFonts w:ascii="Calibri" w:hAnsi="Calibri" w:cs="Calibri"/>
                <w:color w:val="000000"/>
                <w:sz w:val="16"/>
                <w:szCs w:val="16"/>
              </w:rPr>
              <w:t>)</w:t>
            </w:r>
          </w:p>
        </w:tc>
      </w:tr>
      <w:tr w:rsidR="00A45D37" w14:paraId="32D4D5B3" w14:textId="77777777" w:rsidTr="00A45D37">
        <w:trPr>
          <w:trHeight w:hRule="exact" w:val="227"/>
        </w:trPr>
        <w:tc>
          <w:tcPr>
            <w:tcW w:w="2648" w:type="pct"/>
            <w:tcBorders>
              <w:top w:val="single" w:sz="8" w:space="0" w:color="auto"/>
              <w:left w:val="nil"/>
              <w:bottom w:val="single" w:sz="8" w:space="0" w:color="auto"/>
              <w:right w:val="nil"/>
            </w:tcBorders>
            <w:shd w:val="clear" w:color="auto" w:fill="auto"/>
            <w:noWrap/>
            <w:vAlign w:val="center"/>
            <w:hideMark/>
          </w:tcPr>
          <w:p w14:paraId="5E445299" w14:textId="77777777" w:rsidR="00A45D37" w:rsidRDefault="00A45D37" w:rsidP="00937ED9">
            <w:pPr>
              <w:spacing w:after="120"/>
              <w:rPr>
                <w:rFonts w:ascii="Calibri" w:hAnsi="Calibri" w:cs="Calibri"/>
                <w:b/>
                <w:bCs/>
                <w:color w:val="000000"/>
                <w:sz w:val="16"/>
                <w:szCs w:val="16"/>
              </w:rPr>
            </w:pPr>
            <w:r>
              <w:rPr>
                <w:rFonts w:ascii="Calibri" w:hAnsi="Calibri" w:cs="Calibri"/>
                <w:b/>
                <w:bCs/>
                <w:color w:val="000000"/>
                <w:sz w:val="16"/>
                <w:szCs w:val="16"/>
              </w:rPr>
              <w:t xml:space="preserve">TOTAL </w:t>
            </w:r>
          </w:p>
        </w:tc>
        <w:tc>
          <w:tcPr>
            <w:tcW w:w="384" w:type="pct"/>
            <w:tcBorders>
              <w:top w:val="single" w:sz="8" w:space="0" w:color="auto"/>
              <w:left w:val="nil"/>
              <w:bottom w:val="single" w:sz="8" w:space="0" w:color="auto"/>
              <w:right w:val="nil"/>
            </w:tcBorders>
            <w:shd w:val="clear" w:color="auto" w:fill="auto"/>
            <w:noWrap/>
            <w:vAlign w:val="center"/>
            <w:hideMark/>
          </w:tcPr>
          <w:p w14:paraId="7E21AA25" w14:textId="77777777" w:rsidR="00A45D37" w:rsidRDefault="00A45D37" w:rsidP="00937ED9">
            <w:pPr>
              <w:spacing w:after="120"/>
              <w:jc w:val="right"/>
              <w:rPr>
                <w:rFonts w:ascii="Calibri" w:hAnsi="Calibri" w:cs="Calibri"/>
                <w:b/>
                <w:bCs/>
                <w:color w:val="000000"/>
                <w:sz w:val="16"/>
                <w:szCs w:val="16"/>
              </w:rPr>
            </w:pPr>
            <w:r>
              <w:rPr>
                <w:rFonts w:ascii="Calibri" w:hAnsi="Calibri" w:cs="Calibri"/>
                <w:b/>
                <w:bCs/>
                <w:color w:val="000000"/>
                <w:sz w:val="16"/>
                <w:szCs w:val="16"/>
              </w:rPr>
              <w:t> </w:t>
            </w:r>
          </w:p>
        </w:tc>
        <w:tc>
          <w:tcPr>
            <w:tcW w:w="984" w:type="pct"/>
            <w:tcBorders>
              <w:top w:val="single" w:sz="8" w:space="0" w:color="auto"/>
              <w:left w:val="nil"/>
              <w:bottom w:val="single" w:sz="8" w:space="0" w:color="auto"/>
              <w:right w:val="nil"/>
            </w:tcBorders>
            <w:shd w:val="clear" w:color="auto" w:fill="auto"/>
            <w:noWrap/>
            <w:vAlign w:val="center"/>
            <w:hideMark/>
          </w:tcPr>
          <w:p w14:paraId="6C89433A" w14:textId="108603C2" w:rsidR="00A45D37" w:rsidRDefault="00A45D37" w:rsidP="00937ED9">
            <w:pPr>
              <w:spacing w:after="120"/>
              <w:jc w:val="right"/>
              <w:rPr>
                <w:rFonts w:ascii="Calibri" w:hAnsi="Calibri" w:cs="Calibri"/>
                <w:b/>
                <w:bCs/>
                <w:color w:val="000000"/>
                <w:sz w:val="16"/>
                <w:szCs w:val="16"/>
              </w:rPr>
            </w:pPr>
            <w:r>
              <w:rPr>
                <w:rFonts w:ascii="Calibri" w:hAnsi="Calibri" w:cs="Calibri"/>
                <w:b/>
                <w:bCs/>
                <w:color w:val="000000"/>
                <w:sz w:val="16"/>
                <w:szCs w:val="16"/>
              </w:rPr>
              <w:t>(</w:t>
            </w:r>
            <w:r w:rsidR="00BA50B5">
              <w:rPr>
                <w:rFonts w:ascii="Calibri" w:hAnsi="Calibri" w:cs="Calibri"/>
                <w:b/>
                <w:bCs/>
                <w:color w:val="000000"/>
                <w:sz w:val="16"/>
                <w:szCs w:val="16"/>
              </w:rPr>
              <w:t>12.</w:t>
            </w:r>
            <w:r w:rsidR="007D0F74">
              <w:rPr>
                <w:rFonts w:ascii="Calibri" w:hAnsi="Calibri" w:cs="Calibri"/>
                <w:b/>
                <w:bCs/>
                <w:color w:val="000000"/>
                <w:sz w:val="16"/>
                <w:szCs w:val="16"/>
              </w:rPr>
              <w:t>359</w:t>
            </w:r>
            <w:r w:rsidR="00BA50B5">
              <w:rPr>
                <w:rFonts w:ascii="Calibri" w:hAnsi="Calibri" w:cs="Calibri"/>
                <w:b/>
                <w:bCs/>
                <w:color w:val="000000"/>
                <w:sz w:val="16"/>
                <w:szCs w:val="16"/>
              </w:rPr>
              <w:t>.</w:t>
            </w:r>
            <w:r w:rsidR="007D0F74">
              <w:rPr>
                <w:rFonts w:ascii="Calibri" w:hAnsi="Calibri" w:cs="Calibri"/>
                <w:b/>
                <w:bCs/>
                <w:color w:val="000000"/>
                <w:sz w:val="16"/>
                <w:szCs w:val="16"/>
              </w:rPr>
              <w:t>948</w:t>
            </w:r>
            <w:r>
              <w:rPr>
                <w:rFonts w:ascii="Calibri" w:hAnsi="Calibri" w:cs="Calibri"/>
                <w:b/>
                <w:bCs/>
                <w:color w:val="000000"/>
                <w:sz w:val="16"/>
                <w:szCs w:val="16"/>
              </w:rPr>
              <w:t>)</w:t>
            </w:r>
          </w:p>
        </w:tc>
        <w:tc>
          <w:tcPr>
            <w:tcW w:w="984" w:type="pct"/>
            <w:tcBorders>
              <w:top w:val="single" w:sz="8" w:space="0" w:color="auto"/>
              <w:left w:val="nil"/>
              <w:bottom w:val="single" w:sz="8" w:space="0" w:color="auto"/>
              <w:right w:val="nil"/>
            </w:tcBorders>
            <w:shd w:val="clear" w:color="auto" w:fill="auto"/>
            <w:vAlign w:val="center"/>
            <w:hideMark/>
          </w:tcPr>
          <w:p w14:paraId="68E4F696" w14:textId="6DE94739" w:rsidR="00A45D37" w:rsidRPr="00E92C8D" w:rsidRDefault="00A45D37" w:rsidP="00937ED9">
            <w:pPr>
              <w:spacing w:after="120"/>
              <w:jc w:val="right"/>
              <w:rPr>
                <w:rFonts w:ascii="Calibri" w:hAnsi="Calibri" w:cs="Calibri"/>
                <w:b/>
                <w:bCs/>
                <w:color w:val="000000"/>
                <w:sz w:val="16"/>
                <w:szCs w:val="16"/>
              </w:rPr>
            </w:pPr>
            <w:r w:rsidRPr="00E92C8D">
              <w:rPr>
                <w:rFonts w:ascii="Calibri" w:hAnsi="Calibri" w:cs="Calibri"/>
                <w:b/>
                <w:bCs/>
                <w:color w:val="000000"/>
                <w:sz w:val="16"/>
                <w:szCs w:val="16"/>
              </w:rPr>
              <w:t>(</w:t>
            </w:r>
            <w:r w:rsidR="00BA50B5">
              <w:rPr>
                <w:rFonts w:ascii="Calibri" w:hAnsi="Calibri" w:cs="Calibri"/>
                <w:b/>
                <w:bCs/>
                <w:color w:val="000000"/>
                <w:sz w:val="16"/>
                <w:szCs w:val="16"/>
              </w:rPr>
              <w:t>15.710.406</w:t>
            </w:r>
            <w:r w:rsidRPr="00E92C8D">
              <w:rPr>
                <w:rFonts w:ascii="Calibri" w:hAnsi="Calibri" w:cs="Calibri"/>
                <w:b/>
                <w:bCs/>
                <w:color w:val="000000"/>
                <w:sz w:val="16"/>
                <w:szCs w:val="16"/>
              </w:rPr>
              <w:t>)</w:t>
            </w:r>
          </w:p>
        </w:tc>
      </w:tr>
    </w:tbl>
    <w:p w14:paraId="209A3CD2" w14:textId="3216018C" w:rsidR="007F4918" w:rsidRDefault="00980858" w:rsidP="00937ED9">
      <w:pPr>
        <w:spacing w:before="120" w:after="120"/>
        <w:ind w:right="57"/>
        <w:jc w:val="both"/>
        <w:rPr>
          <w:rFonts w:ascii="Calibri" w:hAnsi="Calibri" w:cs="Calibri"/>
          <w:sz w:val="22"/>
          <w:szCs w:val="22"/>
        </w:rPr>
      </w:pPr>
      <w:r w:rsidRPr="002E2B5B">
        <w:rPr>
          <w:rFonts w:ascii="Calibri" w:hAnsi="Calibri" w:cs="Calibri"/>
          <w:sz w:val="22"/>
          <w:szCs w:val="22"/>
        </w:rPr>
        <w:t>A</w:t>
      </w:r>
      <w:r w:rsidR="002827B8" w:rsidRPr="002E2B5B">
        <w:rPr>
          <w:rFonts w:ascii="Calibri" w:hAnsi="Calibri" w:cs="Calibri"/>
          <w:sz w:val="22"/>
          <w:szCs w:val="22"/>
        </w:rPr>
        <w:t xml:space="preserve">s despesas de </w:t>
      </w:r>
      <w:r w:rsidR="009E6EA7">
        <w:rPr>
          <w:rFonts w:ascii="Calibri" w:hAnsi="Calibri" w:cs="Calibri"/>
          <w:sz w:val="22"/>
          <w:szCs w:val="22"/>
        </w:rPr>
        <w:t>L</w:t>
      </w:r>
      <w:r w:rsidR="002827B8" w:rsidRPr="002E2B5B">
        <w:rPr>
          <w:rFonts w:ascii="Calibri" w:hAnsi="Calibri" w:cs="Calibri"/>
          <w:sz w:val="22"/>
          <w:szCs w:val="22"/>
        </w:rPr>
        <w:t xml:space="preserve">ocação foram sensibilizadas pela adoção do CPC – 06 (R2), conforme Nota </w:t>
      </w:r>
      <w:r w:rsidRPr="002E2B5B">
        <w:rPr>
          <w:rFonts w:ascii="Calibri" w:hAnsi="Calibri" w:cs="Calibri"/>
          <w:sz w:val="22"/>
          <w:szCs w:val="22"/>
        </w:rPr>
        <w:t>1</w:t>
      </w:r>
      <w:r w:rsidR="005158B6">
        <w:rPr>
          <w:rFonts w:ascii="Calibri" w:hAnsi="Calibri" w:cs="Calibri"/>
          <w:sz w:val="22"/>
          <w:szCs w:val="22"/>
        </w:rPr>
        <w:t>5</w:t>
      </w:r>
      <w:r w:rsidRPr="002E2B5B">
        <w:rPr>
          <w:rFonts w:ascii="Calibri" w:hAnsi="Calibri" w:cs="Calibri"/>
          <w:sz w:val="22"/>
          <w:szCs w:val="22"/>
        </w:rPr>
        <w:t>.</w:t>
      </w:r>
    </w:p>
    <w:p w14:paraId="6937D2E2" w14:textId="65291535" w:rsidR="00155537" w:rsidRDefault="009E6EA7" w:rsidP="00937ED9">
      <w:pPr>
        <w:spacing w:before="120" w:after="120"/>
        <w:ind w:right="57"/>
        <w:jc w:val="both"/>
        <w:rPr>
          <w:rFonts w:ascii="Calibri" w:hAnsi="Calibri" w:cs="Calibri"/>
          <w:sz w:val="22"/>
          <w:szCs w:val="22"/>
        </w:rPr>
      </w:pPr>
      <w:r w:rsidRPr="00274E7C">
        <w:rPr>
          <w:rFonts w:ascii="Calibri" w:hAnsi="Calibri" w:cs="Calibri"/>
          <w:sz w:val="22"/>
          <w:szCs w:val="22"/>
        </w:rPr>
        <w:t xml:space="preserve">As despesas de </w:t>
      </w:r>
      <w:r w:rsidR="007D0F74" w:rsidRPr="00274E7C">
        <w:rPr>
          <w:rFonts w:ascii="Calibri" w:hAnsi="Calibri" w:cs="Calibri"/>
          <w:sz w:val="22"/>
          <w:szCs w:val="22"/>
        </w:rPr>
        <w:t>Custa</w:t>
      </w:r>
      <w:r w:rsidR="00274E7C" w:rsidRPr="00274E7C">
        <w:rPr>
          <w:rFonts w:ascii="Calibri" w:hAnsi="Calibri" w:cs="Calibri"/>
          <w:sz w:val="22"/>
          <w:szCs w:val="22"/>
        </w:rPr>
        <w:t>s</w:t>
      </w:r>
      <w:r w:rsidRPr="00274E7C">
        <w:rPr>
          <w:rFonts w:ascii="Calibri" w:hAnsi="Calibri" w:cs="Calibri"/>
          <w:sz w:val="22"/>
          <w:szCs w:val="22"/>
        </w:rPr>
        <w:t xml:space="preserve"> </w:t>
      </w:r>
      <w:r w:rsidR="00274E7C" w:rsidRPr="00274E7C">
        <w:rPr>
          <w:rFonts w:ascii="Calibri" w:hAnsi="Calibri" w:cs="Calibri"/>
          <w:sz w:val="22"/>
          <w:szCs w:val="22"/>
        </w:rPr>
        <w:t>J</w:t>
      </w:r>
      <w:r w:rsidRPr="00274E7C">
        <w:rPr>
          <w:rFonts w:ascii="Calibri" w:hAnsi="Calibri" w:cs="Calibri"/>
          <w:sz w:val="22"/>
          <w:szCs w:val="22"/>
        </w:rPr>
        <w:t>udiciais foram sensibilizadas devido à reclassificação dos valores relativos às sentenças Judiciais – Ativo Civil RGPS</w:t>
      </w:r>
      <w:r w:rsidR="00A8553C" w:rsidRPr="00274E7C">
        <w:rPr>
          <w:rFonts w:ascii="Calibri" w:hAnsi="Calibri" w:cs="Calibri"/>
          <w:sz w:val="22"/>
          <w:szCs w:val="22"/>
        </w:rPr>
        <w:t xml:space="preserve">, parte como “Despesa com Pessoal”, referente às remunerações </w:t>
      </w:r>
      <w:r w:rsidR="00995A6A" w:rsidRPr="00274E7C">
        <w:rPr>
          <w:rFonts w:ascii="Calibri" w:hAnsi="Calibri" w:cs="Calibri"/>
          <w:sz w:val="22"/>
          <w:szCs w:val="22"/>
        </w:rPr>
        <w:t>estabelecidas</w:t>
      </w:r>
      <w:r w:rsidR="00A8553C" w:rsidRPr="00274E7C">
        <w:rPr>
          <w:rFonts w:ascii="Calibri" w:hAnsi="Calibri" w:cs="Calibri"/>
          <w:sz w:val="22"/>
          <w:szCs w:val="22"/>
        </w:rPr>
        <w:t xml:space="preserve"> judicialmente, parte</w:t>
      </w:r>
      <w:r w:rsidRPr="00274E7C">
        <w:rPr>
          <w:rFonts w:ascii="Calibri" w:hAnsi="Calibri" w:cs="Calibri"/>
          <w:sz w:val="22"/>
          <w:szCs w:val="22"/>
        </w:rPr>
        <w:t xml:space="preserve"> como “Outras despesas” compondo a rubrica “Provisão/Reversão para Contingências”</w:t>
      </w:r>
      <w:r w:rsidR="00274E7C" w:rsidRPr="00274E7C">
        <w:rPr>
          <w:rFonts w:ascii="Calibri" w:hAnsi="Calibri" w:cs="Calibri"/>
          <w:sz w:val="22"/>
          <w:szCs w:val="22"/>
        </w:rPr>
        <w:t xml:space="preserve">. </w:t>
      </w:r>
      <w:r w:rsidR="00274E7C">
        <w:rPr>
          <w:rFonts w:ascii="Calibri" w:hAnsi="Calibri" w:cs="Calibri"/>
          <w:sz w:val="22"/>
          <w:szCs w:val="22"/>
        </w:rPr>
        <w:t>Além disso</w:t>
      </w:r>
      <w:r w:rsidR="00263C8E">
        <w:rPr>
          <w:rFonts w:ascii="Calibri" w:hAnsi="Calibri" w:cs="Calibri"/>
          <w:sz w:val="22"/>
          <w:szCs w:val="22"/>
        </w:rPr>
        <w:t>,</w:t>
      </w:r>
      <w:r w:rsidR="00274E7C">
        <w:rPr>
          <w:rFonts w:ascii="Calibri" w:hAnsi="Calibri" w:cs="Calibri"/>
          <w:sz w:val="22"/>
          <w:szCs w:val="22"/>
        </w:rPr>
        <w:t xml:space="preserve"> houve a</w:t>
      </w:r>
      <w:r w:rsidR="00274E7C" w:rsidRPr="00274E7C">
        <w:rPr>
          <w:rFonts w:ascii="Calibri" w:hAnsi="Calibri" w:cs="Calibri"/>
          <w:sz w:val="22"/>
          <w:szCs w:val="22"/>
        </w:rPr>
        <w:t xml:space="preserve"> reclassificação dos valores relativos a</w:t>
      </w:r>
      <w:r w:rsidR="00274E7C">
        <w:rPr>
          <w:rFonts w:ascii="Calibri" w:hAnsi="Calibri" w:cs="Calibri"/>
          <w:sz w:val="22"/>
          <w:szCs w:val="22"/>
        </w:rPr>
        <w:t xml:space="preserve"> “Sentenças judiciais – serviços de terceiros PF” para a “Despesa Financeira”, considerando que se trata de atualização monetária dos Precatórios de Terceiros.</w:t>
      </w:r>
    </w:p>
    <w:p w14:paraId="526351D3" w14:textId="2714B6A3" w:rsidR="00BE6F7B" w:rsidRPr="002E2B5B" w:rsidRDefault="004E146F" w:rsidP="00937ED9">
      <w:pPr>
        <w:spacing w:before="120" w:after="120"/>
        <w:jc w:val="both"/>
        <w:rPr>
          <w:rFonts w:ascii="Calibri" w:hAnsi="Calibri" w:cs="Calibri"/>
          <w:b/>
          <w:sz w:val="22"/>
          <w:szCs w:val="22"/>
        </w:rPr>
      </w:pPr>
      <w:r w:rsidRPr="005947BB">
        <w:rPr>
          <w:rFonts w:ascii="Calibri" w:hAnsi="Calibri" w:cs="Calibri"/>
          <w:b/>
          <w:sz w:val="22"/>
          <w:szCs w:val="22"/>
        </w:rPr>
        <w:t>NO</w:t>
      </w:r>
      <w:r w:rsidR="00434FB3" w:rsidRPr="005947BB">
        <w:rPr>
          <w:rFonts w:ascii="Calibri" w:hAnsi="Calibri" w:cs="Calibri"/>
          <w:b/>
          <w:sz w:val="22"/>
          <w:szCs w:val="22"/>
        </w:rPr>
        <w:t>TA 1</w:t>
      </w:r>
      <w:r w:rsidR="001A1B68" w:rsidRPr="005947BB">
        <w:rPr>
          <w:rFonts w:ascii="Calibri" w:hAnsi="Calibri" w:cs="Calibri"/>
          <w:b/>
          <w:sz w:val="22"/>
          <w:szCs w:val="22"/>
        </w:rPr>
        <w:t>9</w:t>
      </w:r>
      <w:r w:rsidRPr="005947BB">
        <w:rPr>
          <w:rFonts w:ascii="Calibri" w:hAnsi="Calibri" w:cs="Calibri"/>
          <w:b/>
          <w:sz w:val="22"/>
          <w:szCs w:val="22"/>
        </w:rPr>
        <w:t xml:space="preserve"> – OUTRAS RECEITAS</w:t>
      </w:r>
      <w:r w:rsidR="006C0B4D" w:rsidRPr="005947BB">
        <w:rPr>
          <w:rFonts w:ascii="Calibri" w:hAnsi="Calibri" w:cs="Calibri"/>
          <w:b/>
          <w:sz w:val="22"/>
          <w:szCs w:val="22"/>
        </w:rPr>
        <w:t>/DESPESAS</w:t>
      </w:r>
      <w:r w:rsidRPr="005947BB">
        <w:rPr>
          <w:rFonts w:ascii="Calibri" w:hAnsi="Calibri" w:cs="Calibri"/>
          <w:b/>
          <w:sz w:val="22"/>
          <w:szCs w:val="22"/>
        </w:rPr>
        <w:t xml:space="preserve"> OPERACIONAIS</w:t>
      </w:r>
    </w:p>
    <w:p w14:paraId="061A63C0" w14:textId="7E4B9CF0" w:rsidR="00750F82" w:rsidRDefault="004E146F" w:rsidP="00937ED9">
      <w:pPr>
        <w:spacing w:before="120" w:after="120"/>
        <w:ind w:right="57"/>
        <w:jc w:val="both"/>
        <w:rPr>
          <w:rFonts w:ascii="Calibri" w:hAnsi="Calibri" w:cs="Calibri"/>
          <w:sz w:val="22"/>
          <w:szCs w:val="22"/>
        </w:rPr>
      </w:pPr>
      <w:r w:rsidRPr="002E2B5B">
        <w:rPr>
          <w:rFonts w:ascii="Calibri" w:hAnsi="Calibri" w:cs="Calibri"/>
          <w:sz w:val="22"/>
          <w:szCs w:val="22"/>
        </w:rPr>
        <w:t>A rubrica “Outras Receitas</w:t>
      </w:r>
      <w:r w:rsidR="006C0B4D" w:rsidRPr="002E2B5B">
        <w:rPr>
          <w:rFonts w:ascii="Calibri" w:hAnsi="Calibri" w:cs="Calibri"/>
          <w:sz w:val="22"/>
          <w:szCs w:val="22"/>
        </w:rPr>
        <w:t xml:space="preserve">/Despesas </w:t>
      </w:r>
      <w:r w:rsidRPr="002E2B5B">
        <w:rPr>
          <w:rFonts w:ascii="Calibri" w:hAnsi="Calibri" w:cs="Calibri"/>
          <w:sz w:val="22"/>
          <w:szCs w:val="22"/>
        </w:rPr>
        <w:t xml:space="preserve">Operacionais” </w:t>
      </w:r>
      <w:r w:rsidR="002C7DBE" w:rsidRPr="002E2B5B">
        <w:rPr>
          <w:rFonts w:ascii="Calibri" w:hAnsi="Calibri" w:cs="Calibri"/>
          <w:sz w:val="22"/>
          <w:szCs w:val="22"/>
        </w:rPr>
        <w:t xml:space="preserve">apresentou </w:t>
      </w:r>
      <w:r w:rsidR="00B812FB" w:rsidRPr="002E2B5B">
        <w:rPr>
          <w:rFonts w:ascii="Calibri" w:hAnsi="Calibri" w:cs="Calibri"/>
          <w:sz w:val="22"/>
          <w:szCs w:val="22"/>
        </w:rPr>
        <w:t>o valor</w:t>
      </w:r>
      <w:r w:rsidR="00BC605C">
        <w:rPr>
          <w:rFonts w:ascii="Calibri" w:hAnsi="Calibri" w:cs="Calibri"/>
          <w:sz w:val="22"/>
          <w:szCs w:val="22"/>
        </w:rPr>
        <w:t xml:space="preserve"> </w:t>
      </w:r>
      <w:r w:rsidR="00B812FB" w:rsidRPr="002E2B5B">
        <w:rPr>
          <w:rFonts w:ascii="Calibri" w:hAnsi="Calibri" w:cs="Calibri"/>
          <w:sz w:val="22"/>
          <w:szCs w:val="22"/>
        </w:rPr>
        <w:t xml:space="preserve">de R$ </w:t>
      </w:r>
      <w:r w:rsidR="00B22B6D">
        <w:rPr>
          <w:rFonts w:ascii="Calibri" w:hAnsi="Calibri" w:cs="Calibri"/>
          <w:sz w:val="22"/>
          <w:szCs w:val="22"/>
        </w:rPr>
        <w:t>39,32</w:t>
      </w:r>
      <w:r w:rsidR="00CA15BC">
        <w:rPr>
          <w:rFonts w:ascii="Calibri" w:hAnsi="Calibri" w:cs="Calibri"/>
          <w:sz w:val="22"/>
          <w:szCs w:val="22"/>
        </w:rPr>
        <w:t xml:space="preserve"> m</w:t>
      </w:r>
      <w:r w:rsidR="005B302C" w:rsidRPr="002E2B5B">
        <w:rPr>
          <w:rFonts w:ascii="Calibri" w:hAnsi="Calibri" w:cs="Calibri"/>
          <w:sz w:val="22"/>
          <w:szCs w:val="22"/>
        </w:rPr>
        <w:t>il</w:t>
      </w:r>
      <w:r w:rsidR="00CA15BC">
        <w:rPr>
          <w:rFonts w:ascii="Calibri" w:hAnsi="Calibri" w:cs="Calibri"/>
          <w:sz w:val="22"/>
          <w:szCs w:val="22"/>
        </w:rPr>
        <w:t>hões</w:t>
      </w:r>
      <w:r w:rsidR="005B302C" w:rsidRPr="002E2B5B">
        <w:rPr>
          <w:rFonts w:ascii="Calibri" w:hAnsi="Calibri" w:cs="Calibri"/>
          <w:sz w:val="22"/>
          <w:szCs w:val="22"/>
        </w:rPr>
        <w:t xml:space="preserve"> e</w:t>
      </w:r>
      <w:r w:rsidR="00B812FB" w:rsidRPr="002E2B5B">
        <w:rPr>
          <w:rFonts w:ascii="Calibri" w:hAnsi="Calibri" w:cs="Calibri"/>
          <w:sz w:val="22"/>
          <w:szCs w:val="22"/>
        </w:rPr>
        <w:t xml:space="preserve"> </w:t>
      </w:r>
      <w:r w:rsidRPr="002E2B5B">
        <w:rPr>
          <w:rFonts w:ascii="Calibri" w:hAnsi="Calibri" w:cs="Calibri"/>
          <w:sz w:val="22"/>
          <w:szCs w:val="22"/>
        </w:rPr>
        <w:t xml:space="preserve">compreende </w:t>
      </w:r>
      <w:r w:rsidR="005B302C" w:rsidRPr="002E2B5B">
        <w:rPr>
          <w:rFonts w:ascii="Calibri" w:hAnsi="Calibri" w:cs="Calibri"/>
          <w:sz w:val="22"/>
          <w:szCs w:val="22"/>
        </w:rPr>
        <w:t>as provisões para contingências e suas</w:t>
      </w:r>
      <w:r w:rsidR="00216A83">
        <w:rPr>
          <w:rFonts w:ascii="Calibri" w:hAnsi="Calibri" w:cs="Calibri"/>
          <w:sz w:val="22"/>
          <w:szCs w:val="22"/>
        </w:rPr>
        <w:t xml:space="preserve"> </w:t>
      </w:r>
      <w:r w:rsidRPr="002E2B5B">
        <w:rPr>
          <w:rFonts w:ascii="Calibri" w:hAnsi="Calibri" w:cs="Calibri"/>
          <w:sz w:val="22"/>
          <w:szCs w:val="22"/>
        </w:rPr>
        <w:t>revers</w:t>
      </w:r>
      <w:r w:rsidR="005B302C" w:rsidRPr="002E2B5B">
        <w:rPr>
          <w:rFonts w:ascii="Calibri" w:hAnsi="Calibri" w:cs="Calibri"/>
          <w:sz w:val="22"/>
          <w:szCs w:val="22"/>
        </w:rPr>
        <w:t>ões</w:t>
      </w:r>
      <w:r w:rsidR="009337AF" w:rsidRPr="002E2B5B">
        <w:rPr>
          <w:rFonts w:ascii="Calibri" w:hAnsi="Calibri" w:cs="Calibri"/>
          <w:sz w:val="22"/>
          <w:szCs w:val="22"/>
        </w:rPr>
        <w:t>,</w:t>
      </w:r>
      <w:r w:rsidR="008F0BEC" w:rsidRPr="002E2B5B">
        <w:rPr>
          <w:rFonts w:ascii="Calibri" w:hAnsi="Calibri" w:cs="Calibri"/>
          <w:sz w:val="22"/>
          <w:szCs w:val="22"/>
        </w:rPr>
        <w:t xml:space="preserve"> T</w:t>
      </w:r>
      <w:r w:rsidR="00B812FB" w:rsidRPr="002E2B5B">
        <w:rPr>
          <w:rFonts w:ascii="Calibri" w:hAnsi="Calibri" w:cs="Calibri"/>
          <w:sz w:val="22"/>
          <w:szCs w:val="22"/>
        </w:rPr>
        <w:t>ermo</w:t>
      </w:r>
      <w:r w:rsidR="008F0BEC" w:rsidRPr="002E2B5B">
        <w:rPr>
          <w:rFonts w:ascii="Calibri" w:hAnsi="Calibri" w:cs="Calibri"/>
          <w:sz w:val="22"/>
          <w:szCs w:val="22"/>
        </w:rPr>
        <w:t xml:space="preserve"> de Execução Descentralizada</w:t>
      </w:r>
      <w:r w:rsidR="00D518C0" w:rsidRPr="002E2B5B">
        <w:rPr>
          <w:rFonts w:ascii="Calibri" w:hAnsi="Calibri" w:cs="Calibri"/>
          <w:sz w:val="22"/>
          <w:szCs w:val="22"/>
        </w:rPr>
        <w:t xml:space="preserve"> (</w:t>
      </w:r>
      <w:r w:rsidR="008F0BEC" w:rsidRPr="002E2B5B">
        <w:rPr>
          <w:rFonts w:ascii="Calibri" w:hAnsi="Calibri" w:cs="Calibri"/>
          <w:sz w:val="22"/>
          <w:szCs w:val="22"/>
        </w:rPr>
        <w:t>TED</w:t>
      </w:r>
      <w:r w:rsidR="00D518C0" w:rsidRPr="002E2B5B">
        <w:rPr>
          <w:rFonts w:ascii="Calibri" w:hAnsi="Calibri" w:cs="Calibri"/>
          <w:sz w:val="22"/>
          <w:szCs w:val="22"/>
        </w:rPr>
        <w:t>)</w:t>
      </w:r>
      <w:r w:rsidR="004E38F5" w:rsidRPr="002E2B5B">
        <w:rPr>
          <w:rFonts w:ascii="Calibri" w:hAnsi="Calibri" w:cs="Calibri"/>
          <w:sz w:val="22"/>
          <w:szCs w:val="22"/>
        </w:rPr>
        <w:t xml:space="preserve">, </w:t>
      </w:r>
      <w:r w:rsidR="00B812FB" w:rsidRPr="002E2B5B">
        <w:rPr>
          <w:rFonts w:ascii="Calibri" w:hAnsi="Calibri" w:cs="Calibri"/>
          <w:sz w:val="22"/>
          <w:szCs w:val="22"/>
        </w:rPr>
        <w:t>baixa de de</w:t>
      </w:r>
      <w:r w:rsidR="004E38F5" w:rsidRPr="002E2B5B">
        <w:rPr>
          <w:rFonts w:ascii="Calibri" w:hAnsi="Calibri" w:cs="Calibri"/>
          <w:sz w:val="22"/>
          <w:szCs w:val="22"/>
        </w:rPr>
        <w:t>pósitos retidos de fornecedores</w:t>
      </w:r>
      <w:r w:rsidR="00AB2F4A" w:rsidRPr="002E2B5B">
        <w:rPr>
          <w:rFonts w:ascii="Calibri" w:hAnsi="Calibri" w:cs="Calibri"/>
          <w:sz w:val="22"/>
          <w:szCs w:val="22"/>
        </w:rPr>
        <w:t>,</w:t>
      </w:r>
      <w:r w:rsidR="004E38F5" w:rsidRPr="002E2B5B">
        <w:rPr>
          <w:rFonts w:ascii="Calibri" w:hAnsi="Calibri" w:cs="Calibri"/>
          <w:sz w:val="22"/>
          <w:szCs w:val="22"/>
        </w:rPr>
        <w:t xml:space="preserve"> </w:t>
      </w:r>
      <w:r w:rsidR="00AB2F4A" w:rsidRPr="002E2B5B">
        <w:rPr>
          <w:rFonts w:ascii="Calibri" w:hAnsi="Calibri" w:cs="Calibri"/>
          <w:sz w:val="22"/>
          <w:szCs w:val="22"/>
        </w:rPr>
        <w:t>doações/transferências recebidas</w:t>
      </w:r>
      <w:r w:rsidR="00D518C0" w:rsidRPr="002E2B5B">
        <w:rPr>
          <w:rFonts w:ascii="Calibri" w:hAnsi="Calibri" w:cs="Calibri"/>
          <w:sz w:val="22"/>
          <w:szCs w:val="22"/>
        </w:rPr>
        <w:t xml:space="preserve">, </w:t>
      </w:r>
      <w:r w:rsidR="00D92B38" w:rsidRPr="002E2B5B">
        <w:rPr>
          <w:rFonts w:ascii="Calibri" w:hAnsi="Calibri" w:cs="Calibri"/>
          <w:sz w:val="22"/>
          <w:szCs w:val="22"/>
        </w:rPr>
        <w:t>multas administrativas</w:t>
      </w:r>
      <w:r w:rsidR="005B302C" w:rsidRPr="002E2B5B">
        <w:rPr>
          <w:rFonts w:ascii="Calibri" w:hAnsi="Calibri" w:cs="Calibri"/>
          <w:sz w:val="22"/>
          <w:szCs w:val="22"/>
        </w:rPr>
        <w:t>, baixa de ativos imobilizados e intangíveis e resultado da equivalência patrimonial sobre o investimento da VALEC em outra companhia.</w:t>
      </w:r>
    </w:p>
    <w:tbl>
      <w:tblPr>
        <w:tblW w:w="5000" w:type="pct"/>
        <w:tblCellMar>
          <w:left w:w="70" w:type="dxa"/>
          <w:right w:w="70" w:type="dxa"/>
        </w:tblCellMar>
        <w:tblLook w:val="04A0" w:firstRow="1" w:lastRow="0" w:firstColumn="1" w:lastColumn="0" w:noHBand="0" w:noVBand="1"/>
      </w:tblPr>
      <w:tblGrid>
        <w:gridCol w:w="6414"/>
        <w:gridCol w:w="816"/>
        <w:gridCol w:w="220"/>
        <w:gridCol w:w="23"/>
        <w:gridCol w:w="1413"/>
        <w:gridCol w:w="84"/>
        <w:gridCol w:w="1497"/>
      </w:tblGrid>
      <w:tr w:rsidR="00AD39BE" w14:paraId="7A63DCAF" w14:textId="77777777" w:rsidTr="00263C8E">
        <w:trPr>
          <w:trHeight w:hRule="exact" w:val="227"/>
        </w:trPr>
        <w:tc>
          <w:tcPr>
            <w:tcW w:w="3559" w:type="pct"/>
            <w:gridSpan w:val="3"/>
            <w:tcBorders>
              <w:top w:val="single" w:sz="12" w:space="0" w:color="auto"/>
              <w:left w:val="nil"/>
              <w:bottom w:val="single" w:sz="8" w:space="0" w:color="auto"/>
              <w:right w:val="nil"/>
            </w:tcBorders>
            <w:shd w:val="clear" w:color="auto" w:fill="auto"/>
            <w:noWrap/>
            <w:vAlign w:val="center"/>
            <w:hideMark/>
          </w:tcPr>
          <w:p w14:paraId="0C4F0D20" w14:textId="77777777" w:rsidR="00AD39BE" w:rsidRDefault="00AD39BE" w:rsidP="00937ED9">
            <w:pPr>
              <w:spacing w:after="120"/>
              <w:rPr>
                <w:rFonts w:ascii="Calibri" w:hAnsi="Calibri" w:cs="Calibri"/>
                <w:b/>
                <w:bCs/>
                <w:color w:val="000000"/>
                <w:sz w:val="16"/>
                <w:szCs w:val="16"/>
              </w:rPr>
            </w:pPr>
            <w:r>
              <w:rPr>
                <w:rFonts w:ascii="Calibri" w:hAnsi="Calibri" w:cs="Calibri"/>
                <w:b/>
                <w:bCs/>
                <w:color w:val="000000"/>
                <w:sz w:val="16"/>
                <w:szCs w:val="16"/>
              </w:rPr>
              <w:t>OUTRAS RECEITAS/ DESPESAS OPERACIONAIS</w:t>
            </w:r>
          </w:p>
        </w:tc>
        <w:tc>
          <w:tcPr>
            <w:tcW w:w="686" w:type="pct"/>
            <w:gridSpan w:val="2"/>
            <w:tcBorders>
              <w:top w:val="single" w:sz="12" w:space="0" w:color="auto"/>
              <w:left w:val="nil"/>
              <w:bottom w:val="single" w:sz="8" w:space="0" w:color="auto"/>
              <w:right w:val="nil"/>
            </w:tcBorders>
            <w:shd w:val="clear" w:color="auto" w:fill="auto"/>
            <w:noWrap/>
            <w:vAlign w:val="center"/>
            <w:hideMark/>
          </w:tcPr>
          <w:p w14:paraId="4FB748F5" w14:textId="73E76B16" w:rsidR="00AD39BE" w:rsidRDefault="00AD39BE" w:rsidP="00937ED9">
            <w:pPr>
              <w:spacing w:after="120"/>
              <w:jc w:val="right"/>
              <w:rPr>
                <w:rFonts w:ascii="Calibri" w:hAnsi="Calibri" w:cs="Calibri"/>
                <w:b/>
                <w:bCs/>
                <w:color w:val="000000"/>
                <w:sz w:val="16"/>
                <w:szCs w:val="16"/>
              </w:rPr>
            </w:pPr>
            <w:r>
              <w:rPr>
                <w:rFonts w:ascii="Calibri" w:hAnsi="Calibri" w:cs="Calibri"/>
                <w:b/>
                <w:bCs/>
                <w:color w:val="000000"/>
                <w:sz w:val="16"/>
                <w:szCs w:val="16"/>
              </w:rPr>
              <w:t>3</w:t>
            </w:r>
            <w:r w:rsidR="00B22B6D">
              <w:rPr>
                <w:rFonts w:ascii="Calibri" w:hAnsi="Calibri" w:cs="Calibri"/>
                <w:b/>
                <w:bCs/>
                <w:color w:val="000000"/>
                <w:sz w:val="16"/>
                <w:szCs w:val="16"/>
              </w:rPr>
              <w:t>0</w:t>
            </w:r>
            <w:r>
              <w:rPr>
                <w:rFonts w:ascii="Calibri" w:hAnsi="Calibri" w:cs="Calibri"/>
                <w:b/>
                <w:bCs/>
                <w:color w:val="000000"/>
                <w:sz w:val="16"/>
                <w:szCs w:val="16"/>
              </w:rPr>
              <w:t>/</w:t>
            </w:r>
            <w:r w:rsidR="007708B6">
              <w:rPr>
                <w:rFonts w:ascii="Calibri" w:hAnsi="Calibri" w:cs="Calibri"/>
                <w:b/>
                <w:bCs/>
                <w:color w:val="000000"/>
                <w:sz w:val="16"/>
                <w:szCs w:val="16"/>
              </w:rPr>
              <w:t>0</w:t>
            </w:r>
            <w:r w:rsidR="00B22B6D">
              <w:rPr>
                <w:rFonts w:ascii="Calibri" w:hAnsi="Calibri" w:cs="Calibri"/>
                <w:b/>
                <w:bCs/>
                <w:color w:val="000000"/>
                <w:sz w:val="16"/>
                <w:szCs w:val="16"/>
              </w:rPr>
              <w:t>6</w:t>
            </w:r>
            <w:r>
              <w:rPr>
                <w:rFonts w:ascii="Calibri" w:hAnsi="Calibri" w:cs="Calibri"/>
                <w:b/>
                <w:bCs/>
                <w:color w:val="000000"/>
                <w:sz w:val="16"/>
                <w:szCs w:val="16"/>
              </w:rPr>
              <w:t>/202</w:t>
            </w:r>
            <w:r w:rsidR="007708B6">
              <w:rPr>
                <w:rFonts w:ascii="Calibri" w:hAnsi="Calibri" w:cs="Calibri"/>
                <w:b/>
                <w:bCs/>
                <w:color w:val="000000"/>
                <w:sz w:val="16"/>
                <w:szCs w:val="16"/>
              </w:rPr>
              <w:t>2</w:t>
            </w:r>
          </w:p>
        </w:tc>
        <w:tc>
          <w:tcPr>
            <w:tcW w:w="755" w:type="pct"/>
            <w:gridSpan w:val="2"/>
            <w:tcBorders>
              <w:top w:val="single" w:sz="12" w:space="0" w:color="auto"/>
              <w:left w:val="nil"/>
              <w:bottom w:val="single" w:sz="8" w:space="0" w:color="auto"/>
              <w:right w:val="nil"/>
            </w:tcBorders>
            <w:shd w:val="clear" w:color="auto" w:fill="auto"/>
            <w:vAlign w:val="center"/>
            <w:hideMark/>
          </w:tcPr>
          <w:p w14:paraId="4576D205" w14:textId="6C205D11" w:rsidR="00AD39BE" w:rsidRPr="00E92C8D" w:rsidRDefault="00AD39BE" w:rsidP="00937ED9">
            <w:pPr>
              <w:spacing w:after="120"/>
              <w:jc w:val="right"/>
              <w:rPr>
                <w:rFonts w:ascii="Calibri" w:hAnsi="Calibri" w:cs="Calibri"/>
                <w:b/>
                <w:bCs/>
                <w:color w:val="000000"/>
                <w:sz w:val="16"/>
                <w:szCs w:val="16"/>
              </w:rPr>
            </w:pPr>
            <w:r w:rsidRPr="00E92C8D">
              <w:rPr>
                <w:rFonts w:ascii="Calibri" w:hAnsi="Calibri" w:cs="Calibri"/>
                <w:b/>
                <w:bCs/>
                <w:color w:val="000000"/>
                <w:sz w:val="16"/>
                <w:szCs w:val="16"/>
              </w:rPr>
              <w:t>3</w:t>
            </w:r>
            <w:r w:rsidR="00B22B6D">
              <w:rPr>
                <w:rFonts w:ascii="Calibri" w:hAnsi="Calibri" w:cs="Calibri"/>
                <w:b/>
                <w:bCs/>
                <w:color w:val="000000"/>
                <w:sz w:val="16"/>
                <w:szCs w:val="16"/>
              </w:rPr>
              <w:t>0</w:t>
            </w:r>
            <w:r w:rsidRPr="00E92C8D">
              <w:rPr>
                <w:rFonts w:ascii="Calibri" w:hAnsi="Calibri" w:cs="Calibri"/>
                <w:b/>
                <w:bCs/>
                <w:color w:val="000000"/>
                <w:sz w:val="16"/>
                <w:szCs w:val="16"/>
              </w:rPr>
              <w:t>/</w:t>
            </w:r>
            <w:r w:rsidR="00E046EB">
              <w:rPr>
                <w:rFonts w:ascii="Calibri" w:hAnsi="Calibri" w:cs="Calibri"/>
                <w:b/>
                <w:bCs/>
                <w:color w:val="000000"/>
                <w:sz w:val="16"/>
                <w:szCs w:val="16"/>
              </w:rPr>
              <w:t>0</w:t>
            </w:r>
            <w:r w:rsidR="00B22B6D">
              <w:rPr>
                <w:rFonts w:ascii="Calibri" w:hAnsi="Calibri" w:cs="Calibri"/>
                <w:b/>
                <w:bCs/>
                <w:color w:val="000000"/>
                <w:sz w:val="16"/>
                <w:szCs w:val="16"/>
              </w:rPr>
              <w:t>6</w:t>
            </w:r>
            <w:r w:rsidRPr="00E92C8D">
              <w:rPr>
                <w:rFonts w:ascii="Calibri" w:hAnsi="Calibri" w:cs="Calibri"/>
                <w:b/>
                <w:bCs/>
                <w:color w:val="000000"/>
                <w:sz w:val="16"/>
                <w:szCs w:val="16"/>
              </w:rPr>
              <w:t>/202</w:t>
            </w:r>
            <w:r w:rsidR="00E046EB">
              <w:rPr>
                <w:rFonts w:ascii="Calibri" w:hAnsi="Calibri" w:cs="Calibri"/>
                <w:b/>
                <w:bCs/>
                <w:color w:val="000000"/>
                <w:sz w:val="16"/>
                <w:szCs w:val="16"/>
              </w:rPr>
              <w:t>1</w:t>
            </w:r>
          </w:p>
        </w:tc>
      </w:tr>
      <w:tr w:rsidR="00AD39BE" w:rsidRPr="005947BB" w14:paraId="4B51EF6E" w14:textId="77777777" w:rsidTr="00B92F90">
        <w:trPr>
          <w:trHeight w:hRule="exact" w:val="227"/>
        </w:trPr>
        <w:tc>
          <w:tcPr>
            <w:tcW w:w="3559" w:type="pct"/>
            <w:gridSpan w:val="3"/>
            <w:tcBorders>
              <w:top w:val="nil"/>
              <w:left w:val="nil"/>
              <w:bottom w:val="nil"/>
              <w:right w:val="nil"/>
            </w:tcBorders>
            <w:shd w:val="clear" w:color="auto" w:fill="auto"/>
            <w:noWrap/>
            <w:vAlign w:val="center"/>
            <w:hideMark/>
          </w:tcPr>
          <w:p w14:paraId="641621BB" w14:textId="77777777" w:rsidR="00AD39BE" w:rsidRPr="005947BB" w:rsidRDefault="00AD39BE" w:rsidP="00937ED9">
            <w:pPr>
              <w:spacing w:after="120"/>
              <w:rPr>
                <w:rFonts w:ascii="Calibri" w:hAnsi="Calibri" w:cs="Calibri"/>
                <w:color w:val="000000"/>
                <w:sz w:val="16"/>
                <w:szCs w:val="16"/>
              </w:rPr>
            </w:pPr>
            <w:r w:rsidRPr="005947BB">
              <w:rPr>
                <w:rFonts w:ascii="Calibri" w:hAnsi="Calibri" w:cs="Calibri"/>
                <w:color w:val="000000"/>
                <w:sz w:val="16"/>
                <w:szCs w:val="16"/>
              </w:rPr>
              <w:t>Provisão para Contingências (Nota 11b)</w:t>
            </w:r>
          </w:p>
        </w:tc>
        <w:tc>
          <w:tcPr>
            <w:tcW w:w="686" w:type="pct"/>
            <w:gridSpan w:val="2"/>
            <w:tcBorders>
              <w:top w:val="nil"/>
              <w:left w:val="nil"/>
              <w:bottom w:val="nil"/>
              <w:right w:val="nil"/>
            </w:tcBorders>
            <w:shd w:val="clear" w:color="auto" w:fill="auto"/>
            <w:noWrap/>
            <w:vAlign w:val="center"/>
            <w:hideMark/>
          </w:tcPr>
          <w:p w14:paraId="4018DC06" w14:textId="5B47DD7D" w:rsidR="00AD39BE" w:rsidRPr="005947BB" w:rsidRDefault="00B22B6D" w:rsidP="00937ED9">
            <w:pPr>
              <w:spacing w:after="120"/>
              <w:jc w:val="right"/>
              <w:rPr>
                <w:rFonts w:ascii="Calibri" w:hAnsi="Calibri" w:cs="Calibri"/>
                <w:color w:val="000000"/>
                <w:sz w:val="16"/>
                <w:szCs w:val="16"/>
              </w:rPr>
            </w:pPr>
            <w:r>
              <w:rPr>
                <w:rFonts w:ascii="Calibri" w:hAnsi="Calibri" w:cs="Calibri"/>
                <w:color w:val="000000"/>
                <w:sz w:val="16"/>
                <w:szCs w:val="16"/>
              </w:rPr>
              <w:t>(3.869.105)</w:t>
            </w:r>
          </w:p>
        </w:tc>
        <w:tc>
          <w:tcPr>
            <w:tcW w:w="755" w:type="pct"/>
            <w:gridSpan w:val="2"/>
            <w:tcBorders>
              <w:top w:val="nil"/>
              <w:left w:val="nil"/>
              <w:bottom w:val="nil"/>
              <w:right w:val="nil"/>
            </w:tcBorders>
            <w:shd w:val="clear" w:color="auto" w:fill="auto"/>
            <w:vAlign w:val="center"/>
            <w:hideMark/>
          </w:tcPr>
          <w:p w14:paraId="14BDAAE6" w14:textId="244863DE" w:rsidR="00AD39BE" w:rsidRPr="005947BB" w:rsidRDefault="00E046EB" w:rsidP="00937ED9">
            <w:pPr>
              <w:spacing w:after="120"/>
              <w:jc w:val="right"/>
              <w:rPr>
                <w:rFonts w:ascii="Calibri" w:hAnsi="Calibri" w:cs="Calibri"/>
                <w:color w:val="000000"/>
                <w:sz w:val="16"/>
                <w:szCs w:val="16"/>
              </w:rPr>
            </w:pPr>
            <w:r w:rsidRPr="005947BB">
              <w:rPr>
                <w:rFonts w:ascii="Calibri" w:hAnsi="Calibri" w:cs="Calibri"/>
                <w:color w:val="000000"/>
                <w:sz w:val="16"/>
                <w:szCs w:val="16"/>
              </w:rPr>
              <w:t>(4</w:t>
            </w:r>
            <w:r w:rsidR="00820AF8">
              <w:rPr>
                <w:rFonts w:ascii="Calibri" w:hAnsi="Calibri" w:cs="Calibri"/>
                <w:color w:val="000000"/>
                <w:sz w:val="16"/>
                <w:szCs w:val="16"/>
              </w:rPr>
              <w:t>5</w:t>
            </w:r>
            <w:r w:rsidRPr="005947BB">
              <w:rPr>
                <w:rFonts w:ascii="Calibri" w:hAnsi="Calibri" w:cs="Calibri"/>
                <w:color w:val="000000"/>
                <w:sz w:val="16"/>
                <w:szCs w:val="16"/>
              </w:rPr>
              <w:t>.</w:t>
            </w:r>
            <w:r w:rsidR="00820AF8">
              <w:rPr>
                <w:rFonts w:ascii="Calibri" w:hAnsi="Calibri" w:cs="Calibri"/>
                <w:color w:val="000000"/>
                <w:sz w:val="16"/>
                <w:szCs w:val="16"/>
              </w:rPr>
              <w:t>591</w:t>
            </w:r>
            <w:r w:rsidRPr="005947BB">
              <w:rPr>
                <w:rFonts w:ascii="Calibri" w:hAnsi="Calibri" w:cs="Calibri"/>
                <w:color w:val="000000"/>
                <w:sz w:val="16"/>
                <w:szCs w:val="16"/>
              </w:rPr>
              <w:t>.</w:t>
            </w:r>
            <w:r w:rsidR="00820AF8">
              <w:rPr>
                <w:rFonts w:ascii="Calibri" w:hAnsi="Calibri" w:cs="Calibri"/>
                <w:color w:val="000000"/>
                <w:sz w:val="16"/>
                <w:szCs w:val="16"/>
              </w:rPr>
              <w:t>52</w:t>
            </w:r>
            <w:r w:rsidRPr="005947BB">
              <w:rPr>
                <w:rFonts w:ascii="Calibri" w:hAnsi="Calibri" w:cs="Calibri"/>
                <w:color w:val="000000"/>
                <w:sz w:val="16"/>
                <w:szCs w:val="16"/>
              </w:rPr>
              <w:t>1)</w:t>
            </w:r>
          </w:p>
        </w:tc>
      </w:tr>
      <w:tr w:rsidR="00B22B6D" w:rsidRPr="005947BB" w14:paraId="3FF82D69" w14:textId="77777777" w:rsidTr="00B92F90">
        <w:trPr>
          <w:trHeight w:hRule="exact" w:val="227"/>
        </w:trPr>
        <w:tc>
          <w:tcPr>
            <w:tcW w:w="3559" w:type="pct"/>
            <w:gridSpan w:val="3"/>
            <w:tcBorders>
              <w:top w:val="nil"/>
              <w:left w:val="nil"/>
              <w:bottom w:val="nil"/>
              <w:right w:val="nil"/>
            </w:tcBorders>
            <w:shd w:val="clear" w:color="auto" w:fill="auto"/>
            <w:noWrap/>
            <w:vAlign w:val="center"/>
          </w:tcPr>
          <w:p w14:paraId="607748D0" w14:textId="241FD570" w:rsidR="00B22B6D" w:rsidRPr="005947BB" w:rsidRDefault="00B22B6D" w:rsidP="00937ED9">
            <w:pPr>
              <w:spacing w:after="120"/>
              <w:rPr>
                <w:rFonts w:ascii="Calibri" w:hAnsi="Calibri" w:cs="Calibri"/>
                <w:color w:val="000000"/>
                <w:sz w:val="16"/>
                <w:szCs w:val="16"/>
              </w:rPr>
            </w:pPr>
            <w:r>
              <w:rPr>
                <w:rFonts w:ascii="Calibri" w:hAnsi="Calibri" w:cs="Calibri"/>
                <w:color w:val="000000"/>
                <w:sz w:val="16"/>
                <w:szCs w:val="16"/>
              </w:rPr>
              <w:t>Sentenças Judiciais – Ativo Civil RGPS</w:t>
            </w:r>
          </w:p>
        </w:tc>
        <w:tc>
          <w:tcPr>
            <w:tcW w:w="686" w:type="pct"/>
            <w:gridSpan w:val="2"/>
            <w:tcBorders>
              <w:top w:val="nil"/>
              <w:left w:val="nil"/>
              <w:bottom w:val="nil"/>
              <w:right w:val="nil"/>
            </w:tcBorders>
            <w:shd w:val="clear" w:color="auto" w:fill="auto"/>
            <w:noWrap/>
            <w:vAlign w:val="center"/>
          </w:tcPr>
          <w:p w14:paraId="5B313B56" w14:textId="33943453" w:rsidR="00B22B6D" w:rsidRDefault="00B22B6D" w:rsidP="00937ED9">
            <w:pPr>
              <w:spacing w:after="120"/>
              <w:jc w:val="right"/>
              <w:rPr>
                <w:rFonts w:ascii="Calibri" w:hAnsi="Calibri" w:cs="Calibri"/>
                <w:color w:val="000000"/>
                <w:sz w:val="16"/>
                <w:szCs w:val="16"/>
              </w:rPr>
            </w:pPr>
            <w:r>
              <w:rPr>
                <w:rFonts w:ascii="Calibri" w:hAnsi="Calibri" w:cs="Calibri"/>
                <w:color w:val="000000"/>
                <w:sz w:val="16"/>
                <w:szCs w:val="16"/>
              </w:rPr>
              <w:t>(3.455.487)</w:t>
            </w:r>
          </w:p>
        </w:tc>
        <w:tc>
          <w:tcPr>
            <w:tcW w:w="755" w:type="pct"/>
            <w:gridSpan w:val="2"/>
            <w:tcBorders>
              <w:top w:val="nil"/>
              <w:left w:val="nil"/>
              <w:bottom w:val="nil"/>
              <w:right w:val="nil"/>
            </w:tcBorders>
            <w:shd w:val="clear" w:color="auto" w:fill="auto"/>
            <w:vAlign w:val="center"/>
          </w:tcPr>
          <w:p w14:paraId="0ABE420A" w14:textId="10BDA5CB" w:rsidR="00B22B6D" w:rsidRPr="005947BB" w:rsidRDefault="00173C0E" w:rsidP="00937ED9">
            <w:pPr>
              <w:spacing w:after="120"/>
              <w:jc w:val="right"/>
              <w:rPr>
                <w:rFonts w:ascii="Calibri" w:hAnsi="Calibri" w:cs="Calibri"/>
                <w:color w:val="000000"/>
                <w:sz w:val="16"/>
                <w:szCs w:val="16"/>
              </w:rPr>
            </w:pPr>
            <w:r>
              <w:rPr>
                <w:rFonts w:ascii="Calibri" w:hAnsi="Calibri" w:cs="Calibri"/>
                <w:color w:val="000000"/>
                <w:sz w:val="16"/>
                <w:szCs w:val="16"/>
              </w:rPr>
              <w:t>0</w:t>
            </w:r>
          </w:p>
        </w:tc>
      </w:tr>
      <w:tr w:rsidR="00AD39BE" w:rsidRPr="005947BB" w14:paraId="4DAFF609" w14:textId="77777777" w:rsidTr="00B92F90">
        <w:trPr>
          <w:trHeight w:hRule="exact" w:val="227"/>
        </w:trPr>
        <w:tc>
          <w:tcPr>
            <w:tcW w:w="3559" w:type="pct"/>
            <w:gridSpan w:val="3"/>
            <w:tcBorders>
              <w:top w:val="nil"/>
              <w:left w:val="nil"/>
              <w:bottom w:val="nil"/>
              <w:right w:val="nil"/>
            </w:tcBorders>
            <w:shd w:val="clear" w:color="auto" w:fill="auto"/>
            <w:noWrap/>
            <w:vAlign w:val="center"/>
            <w:hideMark/>
          </w:tcPr>
          <w:p w14:paraId="215B1971" w14:textId="77777777" w:rsidR="00AD39BE" w:rsidRPr="005947BB" w:rsidRDefault="00AD39BE" w:rsidP="00937ED9">
            <w:pPr>
              <w:spacing w:after="120"/>
              <w:rPr>
                <w:rFonts w:ascii="Calibri" w:hAnsi="Calibri" w:cs="Calibri"/>
                <w:color w:val="000000"/>
                <w:sz w:val="16"/>
                <w:szCs w:val="16"/>
              </w:rPr>
            </w:pPr>
            <w:r w:rsidRPr="005947BB">
              <w:rPr>
                <w:rFonts w:ascii="Calibri" w:hAnsi="Calibri" w:cs="Calibri"/>
                <w:color w:val="000000"/>
                <w:sz w:val="16"/>
                <w:szCs w:val="16"/>
              </w:rPr>
              <w:t>Reversão de provisões para contingências (Nota 11b)</w:t>
            </w:r>
          </w:p>
        </w:tc>
        <w:tc>
          <w:tcPr>
            <w:tcW w:w="686" w:type="pct"/>
            <w:gridSpan w:val="2"/>
            <w:tcBorders>
              <w:top w:val="nil"/>
              <w:left w:val="nil"/>
              <w:bottom w:val="nil"/>
              <w:right w:val="nil"/>
            </w:tcBorders>
            <w:shd w:val="clear" w:color="auto" w:fill="auto"/>
            <w:noWrap/>
            <w:vAlign w:val="center"/>
            <w:hideMark/>
          </w:tcPr>
          <w:p w14:paraId="3EEBCCA8" w14:textId="36CC385B" w:rsidR="00AD39BE" w:rsidRPr="005947BB" w:rsidRDefault="00B22B6D" w:rsidP="00937ED9">
            <w:pPr>
              <w:spacing w:after="120"/>
              <w:jc w:val="right"/>
              <w:rPr>
                <w:rFonts w:ascii="Calibri" w:hAnsi="Calibri" w:cs="Calibri"/>
                <w:color w:val="000000"/>
                <w:sz w:val="16"/>
                <w:szCs w:val="16"/>
              </w:rPr>
            </w:pPr>
            <w:r>
              <w:rPr>
                <w:rFonts w:ascii="Calibri" w:hAnsi="Calibri" w:cs="Calibri"/>
                <w:color w:val="000000"/>
                <w:sz w:val="16"/>
                <w:szCs w:val="16"/>
              </w:rPr>
              <w:t>51.628.968</w:t>
            </w:r>
          </w:p>
        </w:tc>
        <w:tc>
          <w:tcPr>
            <w:tcW w:w="755" w:type="pct"/>
            <w:gridSpan w:val="2"/>
            <w:tcBorders>
              <w:top w:val="nil"/>
              <w:left w:val="nil"/>
              <w:bottom w:val="nil"/>
              <w:right w:val="nil"/>
            </w:tcBorders>
            <w:shd w:val="clear" w:color="auto" w:fill="auto"/>
            <w:vAlign w:val="center"/>
            <w:hideMark/>
          </w:tcPr>
          <w:p w14:paraId="7717233E" w14:textId="5E0EC8CF" w:rsidR="00AD39BE" w:rsidRPr="005947BB" w:rsidRDefault="00E046EB" w:rsidP="00937ED9">
            <w:pPr>
              <w:spacing w:after="120"/>
              <w:jc w:val="right"/>
              <w:rPr>
                <w:rFonts w:ascii="Calibri" w:hAnsi="Calibri" w:cs="Calibri"/>
                <w:color w:val="000000"/>
                <w:sz w:val="16"/>
                <w:szCs w:val="16"/>
              </w:rPr>
            </w:pPr>
            <w:r w:rsidRPr="005947BB">
              <w:rPr>
                <w:rFonts w:ascii="Calibri" w:hAnsi="Calibri" w:cs="Calibri"/>
                <w:color w:val="000000"/>
                <w:sz w:val="16"/>
                <w:szCs w:val="16"/>
              </w:rPr>
              <w:t>0</w:t>
            </w:r>
          </w:p>
        </w:tc>
      </w:tr>
      <w:tr w:rsidR="00AD39BE" w14:paraId="5B466001" w14:textId="77777777" w:rsidTr="00B92F90">
        <w:trPr>
          <w:trHeight w:hRule="exact" w:val="227"/>
        </w:trPr>
        <w:tc>
          <w:tcPr>
            <w:tcW w:w="3559" w:type="pct"/>
            <w:gridSpan w:val="3"/>
            <w:tcBorders>
              <w:top w:val="nil"/>
              <w:left w:val="nil"/>
              <w:bottom w:val="nil"/>
              <w:right w:val="nil"/>
            </w:tcBorders>
            <w:shd w:val="clear" w:color="auto" w:fill="auto"/>
            <w:noWrap/>
            <w:vAlign w:val="center"/>
            <w:hideMark/>
          </w:tcPr>
          <w:p w14:paraId="727EA27D" w14:textId="77777777" w:rsidR="00AD39BE" w:rsidRDefault="00AD39BE" w:rsidP="00937ED9">
            <w:pPr>
              <w:spacing w:after="120"/>
              <w:rPr>
                <w:rFonts w:ascii="Calibri" w:hAnsi="Calibri" w:cs="Calibri"/>
                <w:color w:val="000000"/>
                <w:sz w:val="16"/>
                <w:szCs w:val="16"/>
              </w:rPr>
            </w:pPr>
            <w:r>
              <w:rPr>
                <w:rFonts w:ascii="Calibri" w:hAnsi="Calibri" w:cs="Calibri"/>
                <w:color w:val="000000"/>
                <w:sz w:val="16"/>
                <w:szCs w:val="16"/>
              </w:rPr>
              <w:t>Termo de Execução Descentralizada (TED) (Nota 4c1)</w:t>
            </w:r>
          </w:p>
        </w:tc>
        <w:tc>
          <w:tcPr>
            <w:tcW w:w="686" w:type="pct"/>
            <w:gridSpan w:val="2"/>
            <w:tcBorders>
              <w:top w:val="nil"/>
              <w:left w:val="nil"/>
              <w:bottom w:val="nil"/>
              <w:right w:val="nil"/>
            </w:tcBorders>
            <w:shd w:val="clear" w:color="auto" w:fill="auto"/>
            <w:noWrap/>
            <w:vAlign w:val="center"/>
            <w:hideMark/>
          </w:tcPr>
          <w:p w14:paraId="7F2C92D6" w14:textId="4497764D" w:rsidR="00AD39BE" w:rsidRDefault="00173C0E" w:rsidP="00937ED9">
            <w:pPr>
              <w:spacing w:after="120"/>
              <w:jc w:val="right"/>
              <w:rPr>
                <w:rFonts w:ascii="Calibri" w:hAnsi="Calibri" w:cs="Calibri"/>
                <w:color w:val="000000"/>
                <w:sz w:val="16"/>
                <w:szCs w:val="16"/>
              </w:rPr>
            </w:pPr>
            <w:r>
              <w:rPr>
                <w:rFonts w:ascii="Calibri" w:hAnsi="Calibri" w:cs="Calibri"/>
                <w:color w:val="000000"/>
                <w:sz w:val="16"/>
                <w:szCs w:val="16"/>
              </w:rPr>
              <w:t>891.16</w:t>
            </w:r>
            <w:r w:rsidR="00B33D5E">
              <w:rPr>
                <w:rFonts w:ascii="Calibri" w:hAnsi="Calibri" w:cs="Calibri"/>
                <w:color w:val="000000"/>
                <w:sz w:val="16"/>
                <w:szCs w:val="16"/>
              </w:rPr>
              <w:t>1</w:t>
            </w:r>
          </w:p>
        </w:tc>
        <w:tc>
          <w:tcPr>
            <w:tcW w:w="755" w:type="pct"/>
            <w:gridSpan w:val="2"/>
            <w:tcBorders>
              <w:top w:val="nil"/>
              <w:left w:val="nil"/>
              <w:bottom w:val="nil"/>
              <w:right w:val="nil"/>
            </w:tcBorders>
            <w:shd w:val="clear" w:color="auto" w:fill="auto"/>
            <w:vAlign w:val="center"/>
            <w:hideMark/>
          </w:tcPr>
          <w:p w14:paraId="6C0A1EA4" w14:textId="301BAE78" w:rsidR="00AD39BE" w:rsidRPr="00E92C8D" w:rsidRDefault="00820AF8" w:rsidP="00937ED9">
            <w:pPr>
              <w:spacing w:after="120"/>
              <w:jc w:val="right"/>
              <w:rPr>
                <w:rFonts w:ascii="Calibri" w:hAnsi="Calibri" w:cs="Calibri"/>
                <w:color w:val="000000"/>
                <w:sz w:val="16"/>
                <w:szCs w:val="16"/>
              </w:rPr>
            </w:pPr>
            <w:r>
              <w:rPr>
                <w:rFonts w:ascii="Calibri" w:hAnsi="Calibri" w:cs="Calibri"/>
                <w:color w:val="000000"/>
                <w:sz w:val="16"/>
                <w:szCs w:val="16"/>
              </w:rPr>
              <w:t>868.934</w:t>
            </w:r>
          </w:p>
        </w:tc>
      </w:tr>
      <w:tr w:rsidR="00AD39BE" w14:paraId="78081C3F" w14:textId="77777777" w:rsidTr="00B92F90">
        <w:trPr>
          <w:trHeight w:hRule="exact" w:val="227"/>
        </w:trPr>
        <w:tc>
          <w:tcPr>
            <w:tcW w:w="3559" w:type="pct"/>
            <w:gridSpan w:val="3"/>
            <w:tcBorders>
              <w:top w:val="nil"/>
              <w:left w:val="nil"/>
              <w:bottom w:val="nil"/>
              <w:right w:val="nil"/>
            </w:tcBorders>
            <w:shd w:val="clear" w:color="auto" w:fill="auto"/>
            <w:noWrap/>
            <w:vAlign w:val="center"/>
            <w:hideMark/>
          </w:tcPr>
          <w:p w14:paraId="35DDEBE4" w14:textId="77777777" w:rsidR="00AD39BE" w:rsidRDefault="00AD39BE" w:rsidP="00937ED9">
            <w:pPr>
              <w:spacing w:after="120"/>
              <w:rPr>
                <w:rFonts w:ascii="Calibri" w:hAnsi="Calibri" w:cs="Calibri"/>
                <w:color w:val="000000"/>
                <w:sz w:val="16"/>
                <w:szCs w:val="16"/>
              </w:rPr>
            </w:pPr>
            <w:r>
              <w:rPr>
                <w:rFonts w:ascii="Calibri" w:hAnsi="Calibri" w:cs="Calibri"/>
                <w:color w:val="000000"/>
                <w:sz w:val="16"/>
                <w:szCs w:val="16"/>
              </w:rPr>
              <w:t>Baixa de passivos (desapropriação, fornecedores e depósitos retidos de fornecedores)</w:t>
            </w:r>
          </w:p>
        </w:tc>
        <w:tc>
          <w:tcPr>
            <w:tcW w:w="686" w:type="pct"/>
            <w:gridSpan w:val="2"/>
            <w:tcBorders>
              <w:top w:val="nil"/>
              <w:left w:val="nil"/>
              <w:bottom w:val="nil"/>
              <w:right w:val="nil"/>
            </w:tcBorders>
            <w:shd w:val="clear" w:color="auto" w:fill="auto"/>
            <w:noWrap/>
            <w:vAlign w:val="center"/>
            <w:hideMark/>
          </w:tcPr>
          <w:p w14:paraId="1DAF6864" w14:textId="50E5DF07" w:rsidR="00AD39BE" w:rsidRDefault="007708B6" w:rsidP="00937ED9">
            <w:pPr>
              <w:spacing w:after="120"/>
              <w:jc w:val="right"/>
              <w:rPr>
                <w:rFonts w:ascii="Calibri" w:hAnsi="Calibri" w:cs="Calibri"/>
                <w:color w:val="000000"/>
                <w:sz w:val="16"/>
                <w:szCs w:val="16"/>
              </w:rPr>
            </w:pPr>
            <w:r>
              <w:rPr>
                <w:rFonts w:ascii="Calibri" w:hAnsi="Calibri" w:cs="Calibri"/>
                <w:color w:val="000000"/>
                <w:sz w:val="16"/>
                <w:szCs w:val="16"/>
              </w:rPr>
              <w:t>44.355</w:t>
            </w:r>
          </w:p>
        </w:tc>
        <w:tc>
          <w:tcPr>
            <w:tcW w:w="755" w:type="pct"/>
            <w:gridSpan w:val="2"/>
            <w:tcBorders>
              <w:top w:val="nil"/>
              <w:left w:val="nil"/>
              <w:bottom w:val="nil"/>
              <w:right w:val="nil"/>
            </w:tcBorders>
            <w:shd w:val="clear" w:color="auto" w:fill="auto"/>
            <w:vAlign w:val="center"/>
            <w:hideMark/>
          </w:tcPr>
          <w:p w14:paraId="6D4480A5" w14:textId="68072C00" w:rsidR="00AD39BE" w:rsidRPr="00E92C8D" w:rsidRDefault="00E046EB" w:rsidP="00937ED9">
            <w:pPr>
              <w:spacing w:after="120"/>
              <w:jc w:val="right"/>
              <w:rPr>
                <w:rFonts w:ascii="Calibri" w:hAnsi="Calibri" w:cs="Calibri"/>
                <w:color w:val="000000"/>
                <w:sz w:val="16"/>
                <w:szCs w:val="16"/>
              </w:rPr>
            </w:pPr>
            <w:r>
              <w:rPr>
                <w:rFonts w:ascii="Calibri" w:hAnsi="Calibri" w:cs="Calibri"/>
                <w:color w:val="000000"/>
                <w:sz w:val="16"/>
                <w:szCs w:val="16"/>
              </w:rPr>
              <w:t>2.314</w:t>
            </w:r>
          </w:p>
        </w:tc>
      </w:tr>
      <w:tr w:rsidR="00173C0E" w14:paraId="4FC398BA" w14:textId="77777777" w:rsidTr="00B92F90">
        <w:trPr>
          <w:trHeight w:hRule="exact" w:val="227"/>
        </w:trPr>
        <w:tc>
          <w:tcPr>
            <w:tcW w:w="3559" w:type="pct"/>
            <w:gridSpan w:val="3"/>
            <w:tcBorders>
              <w:top w:val="nil"/>
              <w:left w:val="nil"/>
              <w:bottom w:val="nil"/>
              <w:right w:val="nil"/>
            </w:tcBorders>
            <w:shd w:val="clear" w:color="auto" w:fill="auto"/>
            <w:noWrap/>
            <w:vAlign w:val="center"/>
          </w:tcPr>
          <w:p w14:paraId="096C4E83" w14:textId="346D2965" w:rsidR="00173C0E" w:rsidRDefault="00173C0E" w:rsidP="00937ED9">
            <w:pPr>
              <w:spacing w:after="120"/>
              <w:rPr>
                <w:rFonts w:ascii="Calibri" w:hAnsi="Calibri" w:cs="Calibri"/>
                <w:color w:val="000000"/>
                <w:sz w:val="16"/>
                <w:szCs w:val="16"/>
              </w:rPr>
            </w:pPr>
            <w:r>
              <w:rPr>
                <w:rFonts w:ascii="Calibri" w:hAnsi="Calibri" w:cs="Calibri"/>
                <w:color w:val="000000"/>
                <w:sz w:val="16"/>
                <w:szCs w:val="16"/>
              </w:rPr>
              <w:t>Baixa de Passivo relativo a contratos de arrendamento (Nota 15)</w:t>
            </w:r>
          </w:p>
        </w:tc>
        <w:tc>
          <w:tcPr>
            <w:tcW w:w="686" w:type="pct"/>
            <w:gridSpan w:val="2"/>
            <w:tcBorders>
              <w:top w:val="nil"/>
              <w:left w:val="nil"/>
              <w:bottom w:val="nil"/>
              <w:right w:val="nil"/>
            </w:tcBorders>
            <w:shd w:val="clear" w:color="auto" w:fill="auto"/>
            <w:noWrap/>
            <w:vAlign w:val="center"/>
          </w:tcPr>
          <w:p w14:paraId="1B0CB70F" w14:textId="4C85C26D" w:rsidR="00173C0E" w:rsidRDefault="00173C0E" w:rsidP="00937ED9">
            <w:pPr>
              <w:spacing w:after="120"/>
              <w:jc w:val="right"/>
              <w:rPr>
                <w:rFonts w:ascii="Calibri" w:hAnsi="Calibri" w:cs="Calibri"/>
                <w:color w:val="000000"/>
                <w:sz w:val="16"/>
                <w:szCs w:val="16"/>
              </w:rPr>
            </w:pPr>
            <w:r>
              <w:rPr>
                <w:rFonts w:ascii="Calibri" w:hAnsi="Calibri" w:cs="Calibri"/>
                <w:color w:val="000000"/>
                <w:sz w:val="16"/>
                <w:szCs w:val="16"/>
              </w:rPr>
              <w:t>1.721.299</w:t>
            </w:r>
          </w:p>
        </w:tc>
        <w:tc>
          <w:tcPr>
            <w:tcW w:w="755" w:type="pct"/>
            <w:gridSpan w:val="2"/>
            <w:tcBorders>
              <w:top w:val="nil"/>
              <w:left w:val="nil"/>
              <w:bottom w:val="nil"/>
              <w:right w:val="nil"/>
            </w:tcBorders>
            <w:shd w:val="clear" w:color="auto" w:fill="auto"/>
            <w:vAlign w:val="center"/>
          </w:tcPr>
          <w:p w14:paraId="51D76828" w14:textId="5AD9D46B" w:rsidR="00173C0E" w:rsidRDefault="00173C0E" w:rsidP="00937ED9">
            <w:pPr>
              <w:spacing w:after="120"/>
              <w:jc w:val="right"/>
              <w:rPr>
                <w:rFonts w:ascii="Calibri" w:hAnsi="Calibri" w:cs="Calibri"/>
                <w:color w:val="000000"/>
                <w:sz w:val="16"/>
                <w:szCs w:val="16"/>
              </w:rPr>
            </w:pPr>
            <w:r>
              <w:rPr>
                <w:rFonts w:ascii="Calibri" w:hAnsi="Calibri" w:cs="Calibri"/>
                <w:color w:val="000000"/>
                <w:sz w:val="16"/>
                <w:szCs w:val="16"/>
              </w:rPr>
              <w:t>0</w:t>
            </w:r>
          </w:p>
        </w:tc>
      </w:tr>
      <w:tr w:rsidR="00173C0E" w14:paraId="3D2431D4" w14:textId="77777777" w:rsidTr="00B92F90">
        <w:trPr>
          <w:trHeight w:hRule="exact" w:val="227"/>
        </w:trPr>
        <w:tc>
          <w:tcPr>
            <w:tcW w:w="3559" w:type="pct"/>
            <w:gridSpan w:val="3"/>
            <w:tcBorders>
              <w:top w:val="nil"/>
              <w:left w:val="nil"/>
              <w:bottom w:val="nil"/>
              <w:right w:val="nil"/>
            </w:tcBorders>
            <w:shd w:val="clear" w:color="auto" w:fill="auto"/>
            <w:noWrap/>
            <w:vAlign w:val="center"/>
          </w:tcPr>
          <w:p w14:paraId="79D3D3BC" w14:textId="6CCA54A9" w:rsidR="00173C0E" w:rsidRDefault="00173C0E" w:rsidP="00937ED9">
            <w:pPr>
              <w:spacing w:after="120"/>
              <w:rPr>
                <w:rFonts w:ascii="Calibri" w:hAnsi="Calibri" w:cs="Calibri"/>
                <w:color w:val="000000"/>
                <w:sz w:val="16"/>
                <w:szCs w:val="16"/>
              </w:rPr>
            </w:pPr>
            <w:r>
              <w:rPr>
                <w:rFonts w:ascii="Calibri" w:hAnsi="Calibri" w:cs="Calibri"/>
                <w:color w:val="000000"/>
                <w:sz w:val="16"/>
                <w:szCs w:val="16"/>
              </w:rPr>
              <w:t>Incorporação de passivo redutor Juros a transcorrer relativo a contratos de arrendamento (Nota 15)</w:t>
            </w:r>
          </w:p>
        </w:tc>
        <w:tc>
          <w:tcPr>
            <w:tcW w:w="686" w:type="pct"/>
            <w:gridSpan w:val="2"/>
            <w:tcBorders>
              <w:top w:val="nil"/>
              <w:left w:val="nil"/>
              <w:bottom w:val="nil"/>
              <w:right w:val="nil"/>
            </w:tcBorders>
            <w:shd w:val="clear" w:color="auto" w:fill="auto"/>
            <w:noWrap/>
            <w:vAlign w:val="center"/>
          </w:tcPr>
          <w:p w14:paraId="4E6EC1F7" w14:textId="7108ABF4" w:rsidR="00173C0E" w:rsidRDefault="00173C0E" w:rsidP="00937ED9">
            <w:pPr>
              <w:spacing w:after="120"/>
              <w:jc w:val="right"/>
              <w:rPr>
                <w:rFonts w:ascii="Calibri" w:hAnsi="Calibri" w:cs="Calibri"/>
                <w:color w:val="000000"/>
                <w:sz w:val="16"/>
                <w:szCs w:val="16"/>
              </w:rPr>
            </w:pPr>
            <w:r>
              <w:rPr>
                <w:rFonts w:ascii="Calibri" w:hAnsi="Calibri" w:cs="Calibri"/>
                <w:color w:val="000000"/>
                <w:sz w:val="16"/>
                <w:szCs w:val="16"/>
              </w:rPr>
              <w:t>3.904.489</w:t>
            </w:r>
          </w:p>
        </w:tc>
        <w:tc>
          <w:tcPr>
            <w:tcW w:w="755" w:type="pct"/>
            <w:gridSpan w:val="2"/>
            <w:tcBorders>
              <w:top w:val="nil"/>
              <w:left w:val="nil"/>
              <w:bottom w:val="nil"/>
              <w:right w:val="nil"/>
            </w:tcBorders>
            <w:shd w:val="clear" w:color="auto" w:fill="auto"/>
            <w:vAlign w:val="center"/>
          </w:tcPr>
          <w:p w14:paraId="0A140583" w14:textId="71B6E6B5" w:rsidR="00173C0E" w:rsidRDefault="00173C0E" w:rsidP="00937ED9">
            <w:pPr>
              <w:spacing w:after="120"/>
              <w:jc w:val="right"/>
              <w:rPr>
                <w:rFonts w:ascii="Calibri" w:hAnsi="Calibri" w:cs="Calibri"/>
                <w:color w:val="000000"/>
                <w:sz w:val="16"/>
                <w:szCs w:val="16"/>
              </w:rPr>
            </w:pPr>
            <w:r>
              <w:rPr>
                <w:rFonts w:ascii="Calibri" w:hAnsi="Calibri" w:cs="Calibri"/>
                <w:color w:val="000000"/>
                <w:sz w:val="16"/>
                <w:szCs w:val="16"/>
              </w:rPr>
              <w:t>0</w:t>
            </w:r>
          </w:p>
        </w:tc>
      </w:tr>
      <w:tr w:rsidR="00AD39BE" w14:paraId="106E24AB" w14:textId="77777777" w:rsidTr="00B92F90">
        <w:trPr>
          <w:trHeight w:hRule="exact" w:val="227"/>
        </w:trPr>
        <w:tc>
          <w:tcPr>
            <w:tcW w:w="3559" w:type="pct"/>
            <w:gridSpan w:val="3"/>
            <w:tcBorders>
              <w:top w:val="nil"/>
              <w:left w:val="nil"/>
              <w:bottom w:val="nil"/>
              <w:right w:val="nil"/>
            </w:tcBorders>
            <w:shd w:val="clear" w:color="auto" w:fill="auto"/>
            <w:noWrap/>
            <w:vAlign w:val="center"/>
            <w:hideMark/>
          </w:tcPr>
          <w:p w14:paraId="1DBCFDCB" w14:textId="77777777" w:rsidR="00AD39BE" w:rsidRDefault="00AD39BE" w:rsidP="00937ED9">
            <w:pPr>
              <w:spacing w:after="120"/>
              <w:rPr>
                <w:rFonts w:ascii="Calibri" w:hAnsi="Calibri" w:cs="Calibri"/>
                <w:color w:val="000000"/>
                <w:sz w:val="16"/>
                <w:szCs w:val="16"/>
              </w:rPr>
            </w:pPr>
            <w:r>
              <w:rPr>
                <w:rFonts w:ascii="Calibri" w:hAnsi="Calibri" w:cs="Calibri"/>
                <w:color w:val="000000"/>
                <w:sz w:val="16"/>
                <w:szCs w:val="16"/>
              </w:rPr>
              <w:t>Multas administrativas (Nota 4c2)</w:t>
            </w:r>
          </w:p>
        </w:tc>
        <w:tc>
          <w:tcPr>
            <w:tcW w:w="686" w:type="pct"/>
            <w:gridSpan w:val="2"/>
            <w:tcBorders>
              <w:top w:val="nil"/>
              <w:left w:val="nil"/>
              <w:bottom w:val="nil"/>
              <w:right w:val="nil"/>
            </w:tcBorders>
            <w:shd w:val="clear" w:color="auto" w:fill="auto"/>
            <w:noWrap/>
            <w:vAlign w:val="center"/>
            <w:hideMark/>
          </w:tcPr>
          <w:p w14:paraId="76611F99" w14:textId="27E1D44B" w:rsidR="00AD39BE" w:rsidRDefault="00173C0E" w:rsidP="00937ED9">
            <w:pPr>
              <w:spacing w:after="120"/>
              <w:jc w:val="right"/>
              <w:rPr>
                <w:rFonts w:ascii="Calibri" w:hAnsi="Calibri" w:cs="Calibri"/>
                <w:color w:val="000000"/>
                <w:sz w:val="16"/>
                <w:szCs w:val="16"/>
              </w:rPr>
            </w:pPr>
            <w:r>
              <w:rPr>
                <w:rFonts w:ascii="Calibri" w:hAnsi="Calibri" w:cs="Calibri"/>
                <w:color w:val="000000"/>
                <w:sz w:val="16"/>
                <w:szCs w:val="16"/>
              </w:rPr>
              <w:t>152.497</w:t>
            </w:r>
          </w:p>
        </w:tc>
        <w:tc>
          <w:tcPr>
            <w:tcW w:w="755" w:type="pct"/>
            <w:gridSpan w:val="2"/>
            <w:tcBorders>
              <w:top w:val="nil"/>
              <w:left w:val="nil"/>
              <w:bottom w:val="nil"/>
              <w:right w:val="nil"/>
            </w:tcBorders>
            <w:shd w:val="clear" w:color="auto" w:fill="auto"/>
            <w:vAlign w:val="center"/>
            <w:hideMark/>
          </w:tcPr>
          <w:p w14:paraId="07061C08" w14:textId="528D698C" w:rsidR="00AD39BE" w:rsidRPr="00E92C8D" w:rsidRDefault="00AD39BE" w:rsidP="00937ED9">
            <w:pPr>
              <w:spacing w:after="120"/>
              <w:jc w:val="right"/>
              <w:rPr>
                <w:rFonts w:ascii="Calibri" w:hAnsi="Calibri" w:cs="Calibri"/>
                <w:color w:val="000000"/>
                <w:sz w:val="16"/>
                <w:szCs w:val="16"/>
              </w:rPr>
            </w:pPr>
            <w:r w:rsidRPr="00E92C8D">
              <w:rPr>
                <w:rFonts w:ascii="Calibri" w:hAnsi="Calibri" w:cs="Calibri"/>
                <w:color w:val="000000"/>
                <w:sz w:val="16"/>
                <w:szCs w:val="16"/>
              </w:rPr>
              <w:t>0</w:t>
            </w:r>
          </w:p>
        </w:tc>
      </w:tr>
      <w:tr w:rsidR="00AD39BE" w14:paraId="5226E49C" w14:textId="77777777" w:rsidTr="00B92F90">
        <w:trPr>
          <w:trHeight w:hRule="exact" w:val="227"/>
        </w:trPr>
        <w:tc>
          <w:tcPr>
            <w:tcW w:w="3559" w:type="pct"/>
            <w:gridSpan w:val="3"/>
            <w:tcBorders>
              <w:top w:val="nil"/>
              <w:left w:val="nil"/>
              <w:bottom w:val="nil"/>
              <w:right w:val="nil"/>
            </w:tcBorders>
            <w:shd w:val="clear" w:color="auto" w:fill="auto"/>
            <w:noWrap/>
            <w:vAlign w:val="center"/>
            <w:hideMark/>
          </w:tcPr>
          <w:p w14:paraId="6C816BB7" w14:textId="77777777" w:rsidR="00AD39BE" w:rsidRDefault="00AD39BE" w:rsidP="00937ED9">
            <w:pPr>
              <w:spacing w:after="120"/>
              <w:rPr>
                <w:rFonts w:ascii="Calibri" w:hAnsi="Calibri" w:cs="Calibri"/>
                <w:color w:val="000000"/>
                <w:sz w:val="16"/>
                <w:szCs w:val="16"/>
              </w:rPr>
            </w:pPr>
            <w:r>
              <w:rPr>
                <w:rFonts w:ascii="Calibri" w:hAnsi="Calibri" w:cs="Calibri"/>
                <w:color w:val="000000"/>
                <w:sz w:val="16"/>
                <w:szCs w:val="16"/>
              </w:rPr>
              <w:t>Restituições</w:t>
            </w:r>
          </w:p>
        </w:tc>
        <w:tc>
          <w:tcPr>
            <w:tcW w:w="686" w:type="pct"/>
            <w:gridSpan w:val="2"/>
            <w:tcBorders>
              <w:top w:val="nil"/>
              <w:left w:val="nil"/>
              <w:bottom w:val="nil"/>
              <w:right w:val="nil"/>
            </w:tcBorders>
            <w:shd w:val="clear" w:color="auto" w:fill="auto"/>
            <w:noWrap/>
            <w:vAlign w:val="center"/>
            <w:hideMark/>
          </w:tcPr>
          <w:p w14:paraId="3C0E4324" w14:textId="1F4959BD" w:rsidR="00AD39BE" w:rsidRDefault="007708B6" w:rsidP="00937ED9">
            <w:pPr>
              <w:spacing w:after="120"/>
              <w:jc w:val="right"/>
              <w:rPr>
                <w:rFonts w:ascii="Calibri" w:hAnsi="Calibri" w:cs="Calibri"/>
                <w:color w:val="000000"/>
                <w:sz w:val="16"/>
                <w:szCs w:val="16"/>
              </w:rPr>
            </w:pPr>
            <w:r>
              <w:rPr>
                <w:rFonts w:ascii="Calibri" w:hAnsi="Calibri" w:cs="Calibri"/>
                <w:color w:val="000000"/>
                <w:sz w:val="16"/>
                <w:szCs w:val="16"/>
              </w:rPr>
              <w:t>112.430</w:t>
            </w:r>
          </w:p>
        </w:tc>
        <w:tc>
          <w:tcPr>
            <w:tcW w:w="755" w:type="pct"/>
            <w:gridSpan w:val="2"/>
            <w:tcBorders>
              <w:top w:val="nil"/>
              <w:left w:val="nil"/>
              <w:bottom w:val="nil"/>
              <w:right w:val="nil"/>
            </w:tcBorders>
            <w:shd w:val="clear" w:color="auto" w:fill="auto"/>
            <w:vAlign w:val="center"/>
            <w:hideMark/>
          </w:tcPr>
          <w:p w14:paraId="0A329911" w14:textId="53150E55" w:rsidR="00AD39BE" w:rsidRPr="00E92C8D" w:rsidRDefault="00820AF8" w:rsidP="00937ED9">
            <w:pPr>
              <w:spacing w:after="120"/>
              <w:jc w:val="right"/>
              <w:rPr>
                <w:rFonts w:ascii="Calibri" w:hAnsi="Calibri" w:cs="Calibri"/>
                <w:color w:val="000000"/>
                <w:sz w:val="16"/>
                <w:szCs w:val="16"/>
              </w:rPr>
            </w:pPr>
            <w:r>
              <w:rPr>
                <w:rFonts w:ascii="Calibri" w:hAnsi="Calibri" w:cs="Calibri"/>
                <w:color w:val="000000"/>
                <w:sz w:val="16"/>
                <w:szCs w:val="16"/>
              </w:rPr>
              <w:t>1.844.165</w:t>
            </w:r>
          </w:p>
        </w:tc>
      </w:tr>
      <w:tr w:rsidR="00AD39BE" w:rsidRPr="005947BB" w14:paraId="65CA4DA2" w14:textId="77777777" w:rsidTr="00B92F90">
        <w:trPr>
          <w:trHeight w:hRule="exact" w:val="227"/>
        </w:trPr>
        <w:tc>
          <w:tcPr>
            <w:tcW w:w="3559" w:type="pct"/>
            <w:gridSpan w:val="3"/>
            <w:tcBorders>
              <w:top w:val="nil"/>
              <w:left w:val="nil"/>
              <w:bottom w:val="nil"/>
              <w:right w:val="nil"/>
            </w:tcBorders>
            <w:shd w:val="clear" w:color="auto" w:fill="auto"/>
            <w:noWrap/>
            <w:vAlign w:val="center"/>
            <w:hideMark/>
          </w:tcPr>
          <w:p w14:paraId="391D20CB" w14:textId="06E565D3" w:rsidR="00AD39BE" w:rsidRPr="005947BB" w:rsidRDefault="00AD39BE" w:rsidP="00937ED9">
            <w:pPr>
              <w:spacing w:after="120"/>
              <w:rPr>
                <w:rFonts w:ascii="Calibri" w:hAnsi="Calibri" w:cs="Calibri"/>
                <w:color w:val="000000"/>
                <w:sz w:val="16"/>
                <w:szCs w:val="16"/>
              </w:rPr>
            </w:pPr>
            <w:r w:rsidRPr="005947BB">
              <w:rPr>
                <w:rFonts w:ascii="Calibri" w:hAnsi="Calibri" w:cs="Calibri"/>
                <w:color w:val="000000"/>
                <w:sz w:val="16"/>
                <w:szCs w:val="16"/>
              </w:rPr>
              <w:t>Imposto a Recuperar</w:t>
            </w:r>
            <w:r w:rsidR="00750F82" w:rsidRPr="005947BB">
              <w:rPr>
                <w:rFonts w:ascii="Calibri" w:hAnsi="Calibri" w:cs="Calibri"/>
                <w:color w:val="000000"/>
                <w:sz w:val="16"/>
                <w:szCs w:val="16"/>
              </w:rPr>
              <w:t xml:space="preserve"> (PIS e COFINS)</w:t>
            </w:r>
          </w:p>
        </w:tc>
        <w:tc>
          <w:tcPr>
            <w:tcW w:w="686" w:type="pct"/>
            <w:gridSpan w:val="2"/>
            <w:tcBorders>
              <w:top w:val="nil"/>
              <w:left w:val="nil"/>
              <w:bottom w:val="nil"/>
              <w:right w:val="nil"/>
            </w:tcBorders>
            <w:shd w:val="clear" w:color="auto" w:fill="auto"/>
            <w:noWrap/>
            <w:vAlign w:val="center"/>
            <w:hideMark/>
          </w:tcPr>
          <w:p w14:paraId="2D7FE9B5" w14:textId="46F1EF2F" w:rsidR="00AD39BE" w:rsidRPr="005947BB" w:rsidRDefault="00173C0E" w:rsidP="00937ED9">
            <w:pPr>
              <w:spacing w:after="120"/>
              <w:jc w:val="right"/>
              <w:rPr>
                <w:rFonts w:ascii="Calibri" w:hAnsi="Calibri" w:cs="Calibri"/>
                <w:color w:val="000000"/>
                <w:sz w:val="16"/>
                <w:szCs w:val="16"/>
              </w:rPr>
            </w:pPr>
            <w:r>
              <w:rPr>
                <w:rFonts w:ascii="Calibri" w:hAnsi="Calibri" w:cs="Calibri"/>
                <w:color w:val="000000"/>
                <w:sz w:val="16"/>
                <w:szCs w:val="16"/>
              </w:rPr>
              <w:t>368.15</w:t>
            </w:r>
            <w:r w:rsidR="00B33D5E">
              <w:rPr>
                <w:rFonts w:ascii="Calibri" w:hAnsi="Calibri" w:cs="Calibri"/>
                <w:color w:val="000000"/>
                <w:sz w:val="16"/>
                <w:szCs w:val="16"/>
              </w:rPr>
              <w:t>2</w:t>
            </w:r>
          </w:p>
        </w:tc>
        <w:tc>
          <w:tcPr>
            <w:tcW w:w="755" w:type="pct"/>
            <w:gridSpan w:val="2"/>
            <w:tcBorders>
              <w:top w:val="nil"/>
              <w:left w:val="nil"/>
              <w:bottom w:val="nil"/>
              <w:right w:val="nil"/>
            </w:tcBorders>
            <w:shd w:val="clear" w:color="auto" w:fill="auto"/>
            <w:vAlign w:val="center"/>
            <w:hideMark/>
          </w:tcPr>
          <w:p w14:paraId="1F35960E" w14:textId="7B8A0C9B" w:rsidR="00AD39BE" w:rsidRPr="005947BB" w:rsidRDefault="00820AF8" w:rsidP="00937ED9">
            <w:pPr>
              <w:spacing w:after="120"/>
              <w:jc w:val="right"/>
              <w:rPr>
                <w:rFonts w:ascii="Calibri" w:hAnsi="Calibri" w:cs="Calibri"/>
                <w:color w:val="000000"/>
                <w:sz w:val="16"/>
                <w:szCs w:val="16"/>
              </w:rPr>
            </w:pPr>
            <w:r>
              <w:rPr>
                <w:rFonts w:ascii="Calibri" w:hAnsi="Calibri" w:cs="Calibri"/>
                <w:color w:val="000000"/>
                <w:sz w:val="16"/>
                <w:szCs w:val="16"/>
              </w:rPr>
              <w:t>365.849</w:t>
            </w:r>
          </w:p>
        </w:tc>
      </w:tr>
      <w:tr w:rsidR="00750F82" w:rsidRPr="005947BB" w14:paraId="51D4B125" w14:textId="77777777" w:rsidTr="00B92F90">
        <w:trPr>
          <w:trHeight w:hRule="exact" w:val="227"/>
        </w:trPr>
        <w:tc>
          <w:tcPr>
            <w:tcW w:w="3559" w:type="pct"/>
            <w:gridSpan w:val="3"/>
            <w:tcBorders>
              <w:top w:val="nil"/>
              <w:left w:val="nil"/>
              <w:bottom w:val="nil"/>
              <w:right w:val="nil"/>
            </w:tcBorders>
            <w:shd w:val="clear" w:color="auto" w:fill="auto"/>
            <w:noWrap/>
            <w:vAlign w:val="center"/>
          </w:tcPr>
          <w:p w14:paraId="7F8EA125" w14:textId="368F0A73" w:rsidR="00750F82" w:rsidRPr="005947BB" w:rsidRDefault="00750F82" w:rsidP="00937ED9">
            <w:pPr>
              <w:spacing w:after="120"/>
              <w:rPr>
                <w:rFonts w:ascii="Calibri" w:hAnsi="Calibri" w:cs="Calibri"/>
                <w:color w:val="000000"/>
                <w:sz w:val="16"/>
                <w:szCs w:val="16"/>
              </w:rPr>
            </w:pPr>
            <w:r w:rsidRPr="005947BB">
              <w:rPr>
                <w:rFonts w:ascii="Calibri" w:hAnsi="Calibri" w:cs="Calibri"/>
                <w:color w:val="000000"/>
                <w:sz w:val="16"/>
                <w:szCs w:val="16"/>
              </w:rPr>
              <w:t>Baixa de Tributos a recuperar/compensar</w:t>
            </w:r>
          </w:p>
        </w:tc>
        <w:tc>
          <w:tcPr>
            <w:tcW w:w="686" w:type="pct"/>
            <w:gridSpan w:val="2"/>
            <w:tcBorders>
              <w:top w:val="nil"/>
              <w:left w:val="nil"/>
              <w:bottom w:val="nil"/>
              <w:right w:val="nil"/>
            </w:tcBorders>
            <w:shd w:val="clear" w:color="auto" w:fill="auto"/>
            <w:noWrap/>
            <w:vAlign w:val="center"/>
          </w:tcPr>
          <w:p w14:paraId="1DC91516" w14:textId="5C9FF7B0" w:rsidR="00750F82" w:rsidRPr="005947BB" w:rsidRDefault="00750F82" w:rsidP="00937ED9">
            <w:pPr>
              <w:spacing w:after="120"/>
              <w:jc w:val="right"/>
              <w:rPr>
                <w:rFonts w:ascii="Calibri" w:hAnsi="Calibri" w:cs="Calibri"/>
                <w:color w:val="000000"/>
                <w:sz w:val="16"/>
                <w:szCs w:val="16"/>
              </w:rPr>
            </w:pPr>
            <w:r w:rsidRPr="005947BB">
              <w:rPr>
                <w:rFonts w:ascii="Calibri" w:hAnsi="Calibri" w:cs="Calibri"/>
                <w:color w:val="000000"/>
                <w:sz w:val="16"/>
                <w:szCs w:val="16"/>
              </w:rPr>
              <w:t>(</w:t>
            </w:r>
            <w:r w:rsidR="00173C0E">
              <w:rPr>
                <w:rFonts w:ascii="Calibri" w:hAnsi="Calibri" w:cs="Calibri"/>
                <w:color w:val="000000"/>
                <w:sz w:val="16"/>
                <w:szCs w:val="16"/>
              </w:rPr>
              <w:t>330.425</w:t>
            </w:r>
            <w:r w:rsidRPr="005947BB">
              <w:rPr>
                <w:rFonts w:ascii="Calibri" w:hAnsi="Calibri" w:cs="Calibri"/>
                <w:color w:val="000000"/>
                <w:sz w:val="16"/>
                <w:szCs w:val="16"/>
              </w:rPr>
              <w:t>)</w:t>
            </w:r>
          </w:p>
        </w:tc>
        <w:tc>
          <w:tcPr>
            <w:tcW w:w="755" w:type="pct"/>
            <w:gridSpan w:val="2"/>
            <w:tcBorders>
              <w:top w:val="nil"/>
              <w:left w:val="nil"/>
              <w:bottom w:val="nil"/>
              <w:right w:val="nil"/>
            </w:tcBorders>
            <w:shd w:val="clear" w:color="auto" w:fill="auto"/>
            <w:vAlign w:val="center"/>
          </w:tcPr>
          <w:p w14:paraId="463A9E38" w14:textId="750C58ED" w:rsidR="00750F82" w:rsidRPr="005947BB" w:rsidRDefault="00E92C8D" w:rsidP="00937ED9">
            <w:pPr>
              <w:spacing w:after="120"/>
              <w:jc w:val="right"/>
              <w:rPr>
                <w:rFonts w:ascii="Calibri" w:hAnsi="Calibri" w:cs="Calibri"/>
                <w:color w:val="000000"/>
                <w:sz w:val="16"/>
                <w:szCs w:val="16"/>
              </w:rPr>
            </w:pPr>
            <w:r w:rsidRPr="005947BB">
              <w:rPr>
                <w:rFonts w:ascii="Calibri" w:hAnsi="Calibri" w:cs="Calibri"/>
                <w:color w:val="000000"/>
                <w:sz w:val="16"/>
                <w:szCs w:val="16"/>
              </w:rPr>
              <w:t>0</w:t>
            </w:r>
          </w:p>
        </w:tc>
      </w:tr>
      <w:tr w:rsidR="00AD39BE" w:rsidRPr="00411555" w14:paraId="483D9C64" w14:textId="77777777" w:rsidTr="00B92F90">
        <w:trPr>
          <w:trHeight w:hRule="exact" w:val="227"/>
        </w:trPr>
        <w:tc>
          <w:tcPr>
            <w:tcW w:w="3559" w:type="pct"/>
            <w:gridSpan w:val="3"/>
            <w:tcBorders>
              <w:top w:val="nil"/>
              <w:left w:val="nil"/>
              <w:bottom w:val="nil"/>
              <w:right w:val="nil"/>
            </w:tcBorders>
            <w:shd w:val="clear" w:color="auto" w:fill="auto"/>
            <w:noWrap/>
            <w:vAlign w:val="center"/>
            <w:hideMark/>
          </w:tcPr>
          <w:p w14:paraId="1D1122AF" w14:textId="77777777" w:rsidR="00AD39BE" w:rsidRPr="00411555" w:rsidRDefault="00AD39BE" w:rsidP="00937ED9">
            <w:pPr>
              <w:spacing w:after="120"/>
              <w:rPr>
                <w:rFonts w:ascii="Calibri" w:hAnsi="Calibri" w:cs="Calibri"/>
                <w:color w:val="000000"/>
                <w:sz w:val="16"/>
                <w:szCs w:val="16"/>
              </w:rPr>
            </w:pPr>
            <w:r w:rsidRPr="00411555">
              <w:rPr>
                <w:rFonts w:ascii="Calibri" w:hAnsi="Calibri" w:cs="Calibri"/>
                <w:color w:val="000000"/>
                <w:sz w:val="16"/>
                <w:szCs w:val="16"/>
              </w:rPr>
              <w:t>Baixa de Ativos – Imobilizado e Intangível (Nota 8)</w:t>
            </w:r>
          </w:p>
        </w:tc>
        <w:tc>
          <w:tcPr>
            <w:tcW w:w="686" w:type="pct"/>
            <w:gridSpan w:val="2"/>
            <w:tcBorders>
              <w:top w:val="nil"/>
              <w:left w:val="nil"/>
              <w:bottom w:val="nil"/>
              <w:right w:val="nil"/>
            </w:tcBorders>
            <w:shd w:val="clear" w:color="auto" w:fill="auto"/>
            <w:noWrap/>
            <w:vAlign w:val="center"/>
            <w:hideMark/>
          </w:tcPr>
          <w:p w14:paraId="356C5D74" w14:textId="5684CCAD" w:rsidR="00AD39BE" w:rsidRPr="00411555" w:rsidRDefault="00173C0E" w:rsidP="00937ED9">
            <w:pPr>
              <w:spacing w:after="120"/>
              <w:jc w:val="right"/>
              <w:rPr>
                <w:rFonts w:ascii="Calibri" w:hAnsi="Calibri" w:cs="Calibri"/>
                <w:color w:val="000000"/>
                <w:sz w:val="16"/>
                <w:szCs w:val="16"/>
              </w:rPr>
            </w:pPr>
            <w:r>
              <w:rPr>
                <w:rFonts w:ascii="Calibri" w:hAnsi="Calibri" w:cs="Calibri"/>
                <w:color w:val="000000"/>
                <w:sz w:val="16"/>
                <w:szCs w:val="16"/>
              </w:rPr>
              <w:t>(6.075.789)</w:t>
            </w:r>
          </w:p>
        </w:tc>
        <w:tc>
          <w:tcPr>
            <w:tcW w:w="755" w:type="pct"/>
            <w:gridSpan w:val="2"/>
            <w:tcBorders>
              <w:top w:val="nil"/>
              <w:left w:val="nil"/>
              <w:bottom w:val="nil"/>
              <w:right w:val="nil"/>
            </w:tcBorders>
            <w:shd w:val="clear" w:color="auto" w:fill="auto"/>
            <w:vAlign w:val="center"/>
            <w:hideMark/>
          </w:tcPr>
          <w:p w14:paraId="194A08BB" w14:textId="3023424E" w:rsidR="00AD39BE" w:rsidRPr="00411555" w:rsidRDefault="00E046EB" w:rsidP="00937ED9">
            <w:pPr>
              <w:spacing w:after="120"/>
              <w:jc w:val="right"/>
              <w:rPr>
                <w:rFonts w:ascii="Calibri" w:hAnsi="Calibri" w:cs="Calibri"/>
                <w:color w:val="000000"/>
                <w:sz w:val="16"/>
                <w:szCs w:val="16"/>
              </w:rPr>
            </w:pPr>
            <w:r>
              <w:rPr>
                <w:rFonts w:ascii="Calibri" w:hAnsi="Calibri" w:cs="Calibri"/>
                <w:color w:val="000000"/>
                <w:sz w:val="16"/>
                <w:szCs w:val="16"/>
              </w:rPr>
              <w:t>(45.904)</w:t>
            </w:r>
          </w:p>
        </w:tc>
      </w:tr>
      <w:tr w:rsidR="00AD39BE" w:rsidRPr="00411555" w14:paraId="491AD069" w14:textId="77777777" w:rsidTr="00B92F90">
        <w:trPr>
          <w:trHeight w:hRule="exact" w:val="227"/>
        </w:trPr>
        <w:tc>
          <w:tcPr>
            <w:tcW w:w="3454" w:type="pct"/>
            <w:gridSpan w:val="2"/>
            <w:tcBorders>
              <w:top w:val="nil"/>
              <w:left w:val="nil"/>
              <w:bottom w:val="single" w:sz="8" w:space="0" w:color="auto"/>
              <w:right w:val="nil"/>
            </w:tcBorders>
            <w:shd w:val="clear" w:color="auto" w:fill="auto"/>
            <w:noWrap/>
            <w:vAlign w:val="center"/>
            <w:hideMark/>
          </w:tcPr>
          <w:p w14:paraId="7EA5737A" w14:textId="200EEA44" w:rsidR="00AD39BE" w:rsidRPr="00411555" w:rsidRDefault="00AD39BE" w:rsidP="00937ED9">
            <w:pPr>
              <w:spacing w:after="120"/>
              <w:rPr>
                <w:rFonts w:ascii="Calibri" w:hAnsi="Calibri" w:cs="Calibri"/>
                <w:color w:val="000000"/>
                <w:sz w:val="16"/>
                <w:szCs w:val="16"/>
              </w:rPr>
            </w:pPr>
            <w:r w:rsidRPr="00411555">
              <w:rPr>
                <w:rFonts w:ascii="Calibri" w:hAnsi="Calibri" w:cs="Calibri"/>
                <w:color w:val="000000"/>
                <w:sz w:val="16"/>
                <w:szCs w:val="16"/>
              </w:rPr>
              <w:t>Resultado da Equivalência Patrimonial</w:t>
            </w:r>
            <w:r w:rsidR="0015707F">
              <w:rPr>
                <w:rFonts w:ascii="Calibri" w:hAnsi="Calibri" w:cs="Calibri"/>
                <w:color w:val="000000"/>
                <w:sz w:val="16"/>
                <w:szCs w:val="16"/>
              </w:rPr>
              <w:t xml:space="preserve"> </w:t>
            </w:r>
          </w:p>
        </w:tc>
        <w:tc>
          <w:tcPr>
            <w:tcW w:w="105" w:type="pct"/>
            <w:tcBorders>
              <w:top w:val="nil"/>
              <w:left w:val="nil"/>
              <w:bottom w:val="nil"/>
              <w:right w:val="nil"/>
            </w:tcBorders>
            <w:shd w:val="clear" w:color="auto" w:fill="auto"/>
            <w:noWrap/>
            <w:vAlign w:val="center"/>
            <w:hideMark/>
          </w:tcPr>
          <w:p w14:paraId="2C4C16A4" w14:textId="77777777" w:rsidR="00AD39BE" w:rsidRPr="00411555" w:rsidRDefault="00AD39BE" w:rsidP="00937ED9">
            <w:pPr>
              <w:spacing w:after="120"/>
              <w:rPr>
                <w:rFonts w:ascii="Calibri" w:hAnsi="Calibri" w:cs="Calibri"/>
                <w:color w:val="000000"/>
                <w:sz w:val="16"/>
                <w:szCs w:val="16"/>
              </w:rPr>
            </w:pPr>
          </w:p>
        </w:tc>
        <w:tc>
          <w:tcPr>
            <w:tcW w:w="686" w:type="pct"/>
            <w:gridSpan w:val="2"/>
            <w:tcBorders>
              <w:top w:val="nil"/>
              <w:left w:val="nil"/>
              <w:bottom w:val="nil"/>
              <w:right w:val="nil"/>
            </w:tcBorders>
            <w:shd w:val="clear" w:color="auto" w:fill="auto"/>
            <w:noWrap/>
            <w:vAlign w:val="center"/>
            <w:hideMark/>
          </w:tcPr>
          <w:p w14:paraId="7E0D6D36" w14:textId="4695B3BC" w:rsidR="00AD39BE" w:rsidRPr="00411555" w:rsidRDefault="0015707F" w:rsidP="00937ED9">
            <w:pPr>
              <w:spacing w:after="120"/>
              <w:jc w:val="right"/>
              <w:rPr>
                <w:rFonts w:ascii="Calibri" w:hAnsi="Calibri" w:cs="Calibri"/>
                <w:color w:val="000000"/>
                <w:sz w:val="16"/>
                <w:szCs w:val="16"/>
              </w:rPr>
            </w:pPr>
            <w:r>
              <w:rPr>
                <w:rFonts w:ascii="Calibri" w:hAnsi="Calibri" w:cs="Calibri"/>
                <w:color w:val="000000"/>
                <w:sz w:val="16"/>
                <w:szCs w:val="16"/>
              </w:rPr>
              <w:t>(</w:t>
            </w:r>
            <w:r w:rsidR="00CE78FA">
              <w:rPr>
                <w:rFonts w:ascii="Calibri" w:hAnsi="Calibri" w:cs="Calibri"/>
                <w:color w:val="000000"/>
                <w:sz w:val="16"/>
                <w:szCs w:val="16"/>
              </w:rPr>
              <w:t>13.131.344</w:t>
            </w:r>
            <w:r>
              <w:rPr>
                <w:rFonts w:ascii="Calibri" w:hAnsi="Calibri" w:cs="Calibri"/>
                <w:color w:val="000000"/>
                <w:sz w:val="16"/>
                <w:szCs w:val="16"/>
              </w:rPr>
              <w:t>)</w:t>
            </w:r>
          </w:p>
        </w:tc>
        <w:tc>
          <w:tcPr>
            <w:tcW w:w="755" w:type="pct"/>
            <w:gridSpan w:val="2"/>
            <w:tcBorders>
              <w:top w:val="nil"/>
              <w:left w:val="nil"/>
              <w:bottom w:val="nil"/>
              <w:right w:val="nil"/>
            </w:tcBorders>
            <w:shd w:val="clear" w:color="auto" w:fill="auto"/>
            <w:vAlign w:val="center"/>
            <w:hideMark/>
          </w:tcPr>
          <w:p w14:paraId="6423B670" w14:textId="3C7B75D9" w:rsidR="00AD39BE" w:rsidRPr="00411555" w:rsidRDefault="00AD39BE" w:rsidP="00937ED9">
            <w:pPr>
              <w:spacing w:after="120"/>
              <w:jc w:val="right"/>
              <w:rPr>
                <w:rFonts w:ascii="Calibri" w:hAnsi="Calibri" w:cs="Calibri"/>
                <w:color w:val="000000"/>
                <w:sz w:val="16"/>
                <w:szCs w:val="16"/>
              </w:rPr>
            </w:pPr>
            <w:r w:rsidRPr="00411555">
              <w:rPr>
                <w:rFonts w:ascii="Calibri" w:hAnsi="Calibri" w:cs="Calibri"/>
                <w:color w:val="000000"/>
                <w:sz w:val="16"/>
                <w:szCs w:val="16"/>
              </w:rPr>
              <w:t>(</w:t>
            </w:r>
            <w:r w:rsidR="00820AF8">
              <w:rPr>
                <w:rFonts w:ascii="Calibri" w:hAnsi="Calibri" w:cs="Calibri"/>
                <w:color w:val="000000"/>
                <w:sz w:val="16"/>
                <w:szCs w:val="16"/>
              </w:rPr>
              <w:t>16.277.330</w:t>
            </w:r>
            <w:r w:rsidRPr="00411555">
              <w:rPr>
                <w:rFonts w:ascii="Calibri" w:hAnsi="Calibri" w:cs="Calibri"/>
                <w:color w:val="000000"/>
                <w:sz w:val="16"/>
                <w:szCs w:val="16"/>
              </w:rPr>
              <w:t>)</w:t>
            </w:r>
          </w:p>
        </w:tc>
      </w:tr>
      <w:tr w:rsidR="00AD39BE" w:rsidRPr="00411555" w14:paraId="47F4BE26" w14:textId="77777777" w:rsidTr="00B92F90">
        <w:trPr>
          <w:trHeight w:hRule="exact" w:val="227"/>
        </w:trPr>
        <w:tc>
          <w:tcPr>
            <w:tcW w:w="3454" w:type="pct"/>
            <w:gridSpan w:val="2"/>
            <w:tcBorders>
              <w:top w:val="nil"/>
              <w:left w:val="nil"/>
              <w:bottom w:val="single" w:sz="8" w:space="0" w:color="auto"/>
              <w:right w:val="nil"/>
            </w:tcBorders>
            <w:shd w:val="clear" w:color="auto" w:fill="auto"/>
            <w:noWrap/>
            <w:vAlign w:val="center"/>
            <w:hideMark/>
          </w:tcPr>
          <w:p w14:paraId="24BA314D" w14:textId="77777777" w:rsidR="00AD39BE" w:rsidRPr="00411555" w:rsidRDefault="00AD39BE" w:rsidP="00937ED9">
            <w:pPr>
              <w:spacing w:after="120"/>
              <w:rPr>
                <w:rFonts w:ascii="Calibri" w:hAnsi="Calibri" w:cs="Calibri"/>
                <w:b/>
                <w:bCs/>
                <w:color w:val="000000"/>
                <w:sz w:val="16"/>
                <w:szCs w:val="16"/>
              </w:rPr>
            </w:pPr>
            <w:r w:rsidRPr="00411555">
              <w:rPr>
                <w:rFonts w:ascii="Calibri" w:hAnsi="Calibri" w:cs="Calibri"/>
                <w:b/>
                <w:bCs/>
                <w:color w:val="000000"/>
                <w:sz w:val="16"/>
                <w:szCs w:val="16"/>
              </w:rPr>
              <w:t xml:space="preserve"> TOTAL </w:t>
            </w:r>
          </w:p>
        </w:tc>
        <w:tc>
          <w:tcPr>
            <w:tcW w:w="105" w:type="pct"/>
            <w:tcBorders>
              <w:top w:val="single" w:sz="8" w:space="0" w:color="auto"/>
              <w:left w:val="nil"/>
              <w:bottom w:val="single" w:sz="8" w:space="0" w:color="auto"/>
              <w:right w:val="nil"/>
            </w:tcBorders>
            <w:shd w:val="clear" w:color="auto" w:fill="auto"/>
            <w:noWrap/>
            <w:vAlign w:val="center"/>
            <w:hideMark/>
          </w:tcPr>
          <w:p w14:paraId="160212B2" w14:textId="77777777" w:rsidR="00AD39BE" w:rsidRPr="00411555" w:rsidRDefault="00AD39BE" w:rsidP="00937ED9">
            <w:pPr>
              <w:spacing w:after="120"/>
              <w:jc w:val="right"/>
              <w:rPr>
                <w:rFonts w:ascii="Calibri" w:hAnsi="Calibri" w:cs="Calibri"/>
                <w:b/>
                <w:bCs/>
                <w:color w:val="000000"/>
                <w:sz w:val="16"/>
                <w:szCs w:val="16"/>
              </w:rPr>
            </w:pPr>
            <w:r w:rsidRPr="00411555">
              <w:rPr>
                <w:rFonts w:ascii="Calibri" w:hAnsi="Calibri" w:cs="Calibri"/>
                <w:b/>
                <w:bCs/>
                <w:color w:val="000000"/>
                <w:sz w:val="16"/>
                <w:szCs w:val="16"/>
              </w:rPr>
              <w:t> </w:t>
            </w:r>
          </w:p>
        </w:tc>
        <w:tc>
          <w:tcPr>
            <w:tcW w:w="686" w:type="pct"/>
            <w:gridSpan w:val="2"/>
            <w:tcBorders>
              <w:top w:val="single" w:sz="8" w:space="0" w:color="auto"/>
              <w:left w:val="nil"/>
              <w:bottom w:val="single" w:sz="8" w:space="0" w:color="auto"/>
              <w:right w:val="nil"/>
            </w:tcBorders>
            <w:shd w:val="clear" w:color="auto" w:fill="auto"/>
            <w:noWrap/>
            <w:vAlign w:val="center"/>
            <w:hideMark/>
          </w:tcPr>
          <w:p w14:paraId="6893E139" w14:textId="4CEF9E01" w:rsidR="00AD39BE" w:rsidRPr="00411555" w:rsidRDefault="00CE78FA" w:rsidP="00937ED9">
            <w:pPr>
              <w:spacing w:after="120"/>
              <w:jc w:val="right"/>
              <w:rPr>
                <w:rFonts w:ascii="Calibri" w:hAnsi="Calibri" w:cs="Calibri"/>
                <w:b/>
                <w:bCs/>
                <w:color w:val="000000"/>
                <w:sz w:val="16"/>
                <w:szCs w:val="16"/>
              </w:rPr>
            </w:pPr>
            <w:r>
              <w:rPr>
                <w:rFonts w:ascii="Calibri" w:hAnsi="Calibri" w:cs="Calibri"/>
                <w:b/>
                <w:bCs/>
                <w:color w:val="000000"/>
                <w:sz w:val="16"/>
                <w:szCs w:val="16"/>
              </w:rPr>
              <w:t>31.961.201</w:t>
            </w:r>
          </w:p>
        </w:tc>
        <w:tc>
          <w:tcPr>
            <w:tcW w:w="755" w:type="pct"/>
            <w:gridSpan w:val="2"/>
            <w:tcBorders>
              <w:top w:val="single" w:sz="8" w:space="0" w:color="auto"/>
              <w:left w:val="nil"/>
              <w:bottom w:val="single" w:sz="8" w:space="0" w:color="auto"/>
              <w:right w:val="nil"/>
            </w:tcBorders>
            <w:shd w:val="clear" w:color="auto" w:fill="auto"/>
            <w:vAlign w:val="center"/>
            <w:hideMark/>
          </w:tcPr>
          <w:p w14:paraId="0C342825" w14:textId="5EF30541" w:rsidR="00AD39BE" w:rsidRPr="00411555" w:rsidRDefault="00820AF8" w:rsidP="00937ED9">
            <w:pPr>
              <w:spacing w:after="120"/>
              <w:jc w:val="right"/>
              <w:rPr>
                <w:rFonts w:ascii="Calibri" w:hAnsi="Calibri" w:cs="Calibri"/>
                <w:b/>
                <w:bCs/>
                <w:color w:val="000000"/>
                <w:sz w:val="16"/>
                <w:szCs w:val="16"/>
              </w:rPr>
            </w:pPr>
            <w:r>
              <w:rPr>
                <w:rFonts w:ascii="Calibri" w:hAnsi="Calibri" w:cs="Calibri"/>
                <w:b/>
                <w:bCs/>
                <w:color w:val="000000"/>
                <w:sz w:val="16"/>
                <w:szCs w:val="16"/>
              </w:rPr>
              <w:t>(58.833.493)</w:t>
            </w:r>
          </w:p>
        </w:tc>
      </w:tr>
      <w:tr w:rsidR="00AE735D" w:rsidRPr="00411555" w14:paraId="109F2109" w14:textId="77777777" w:rsidTr="00AE735D">
        <w:trPr>
          <w:trHeight w:val="300"/>
        </w:trPr>
        <w:tc>
          <w:tcPr>
            <w:tcW w:w="3064" w:type="pct"/>
            <w:vMerge w:val="restart"/>
            <w:tcBorders>
              <w:top w:val="nil"/>
              <w:left w:val="nil"/>
              <w:bottom w:val="single" w:sz="8" w:space="0" w:color="000000"/>
              <w:right w:val="nil"/>
            </w:tcBorders>
            <w:shd w:val="clear" w:color="auto" w:fill="auto"/>
            <w:noWrap/>
            <w:vAlign w:val="bottom"/>
            <w:hideMark/>
          </w:tcPr>
          <w:p w14:paraId="728FEA1A" w14:textId="3A503A94" w:rsidR="00AE735D" w:rsidRPr="00411555" w:rsidRDefault="00D22F5E" w:rsidP="00937ED9">
            <w:pPr>
              <w:spacing w:before="120" w:after="120"/>
              <w:rPr>
                <w:rFonts w:ascii="Calibri" w:hAnsi="Calibri" w:cs="Calibri"/>
                <w:b/>
                <w:sz w:val="22"/>
                <w:szCs w:val="22"/>
              </w:rPr>
            </w:pPr>
            <w:r w:rsidRPr="00411555">
              <w:rPr>
                <w:rFonts w:ascii="Calibri" w:hAnsi="Calibri" w:cs="Calibri"/>
                <w:b/>
                <w:sz w:val="22"/>
                <w:szCs w:val="22"/>
              </w:rPr>
              <w:t xml:space="preserve">NOTA </w:t>
            </w:r>
            <w:r w:rsidR="001A1B68" w:rsidRPr="00411555">
              <w:rPr>
                <w:rFonts w:ascii="Calibri" w:hAnsi="Calibri" w:cs="Calibri"/>
                <w:b/>
                <w:sz w:val="22"/>
                <w:szCs w:val="22"/>
              </w:rPr>
              <w:t>20</w:t>
            </w:r>
            <w:r w:rsidR="001E6E1B" w:rsidRPr="00411555">
              <w:rPr>
                <w:rFonts w:ascii="Calibri" w:hAnsi="Calibri" w:cs="Calibri"/>
                <w:b/>
                <w:sz w:val="22"/>
                <w:szCs w:val="22"/>
              </w:rPr>
              <w:t xml:space="preserve"> – RECEITAS FINANCEIRAS </w:t>
            </w:r>
          </w:p>
          <w:p w14:paraId="37A0A42A" w14:textId="77777777" w:rsidR="00AE735D" w:rsidRPr="00411555" w:rsidRDefault="00AE735D" w:rsidP="00937ED9">
            <w:pPr>
              <w:spacing w:after="120"/>
              <w:rPr>
                <w:rFonts w:ascii="Calibri" w:hAnsi="Calibri" w:cs="Calibri"/>
                <w:b/>
                <w:bCs/>
                <w:color w:val="000000"/>
                <w:sz w:val="16"/>
                <w:szCs w:val="16"/>
              </w:rPr>
            </w:pPr>
            <w:r w:rsidRPr="00411555">
              <w:rPr>
                <w:rFonts w:ascii="Calibri" w:hAnsi="Calibri" w:cs="Calibri"/>
                <w:b/>
                <w:bCs/>
                <w:color w:val="000000"/>
                <w:sz w:val="16"/>
                <w:szCs w:val="16"/>
              </w:rPr>
              <w:t>RECEITAS FINANCEIRAS</w:t>
            </w:r>
          </w:p>
        </w:tc>
        <w:tc>
          <w:tcPr>
            <w:tcW w:w="506" w:type="pct"/>
            <w:gridSpan w:val="3"/>
            <w:vMerge w:val="restart"/>
            <w:tcBorders>
              <w:top w:val="nil"/>
              <w:left w:val="nil"/>
              <w:bottom w:val="single" w:sz="8" w:space="0" w:color="000000"/>
              <w:right w:val="nil"/>
            </w:tcBorders>
            <w:shd w:val="clear" w:color="auto" w:fill="auto"/>
            <w:vAlign w:val="bottom"/>
          </w:tcPr>
          <w:p w14:paraId="28C6A757" w14:textId="77777777" w:rsidR="00AE735D" w:rsidRPr="00411555" w:rsidRDefault="00AE735D" w:rsidP="00937ED9">
            <w:pPr>
              <w:spacing w:after="120"/>
              <w:jc w:val="right"/>
              <w:rPr>
                <w:rFonts w:ascii="Calibri" w:hAnsi="Calibri" w:cs="Calibri"/>
                <w:b/>
                <w:bCs/>
                <w:color w:val="000000"/>
                <w:sz w:val="16"/>
                <w:szCs w:val="16"/>
              </w:rPr>
            </w:pPr>
          </w:p>
        </w:tc>
        <w:tc>
          <w:tcPr>
            <w:tcW w:w="715" w:type="pct"/>
            <w:gridSpan w:val="2"/>
            <w:vMerge w:val="restart"/>
            <w:tcBorders>
              <w:top w:val="nil"/>
              <w:left w:val="nil"/>
              <w:bottom w:val="single" w:sz="8" w:space="0" w:color="000000"/>
              <w:right w:val="nil"/>
            </w:tcBorders>
            <w:shd w:val="clear" w:color="auto" w:fill="auto"/>
            <w:vAlign w:val="bottom"/>
          </w:tcPr>
          <w:p w14:paraId="680E8467" w14:textId="5BE487A0" w:rsidR="00AE735D" w:rsidRPr="00411555" w:rsidRDefault="00C24B9C" w:rsidP="00937ED9">
            <w:pPr>
              <w:spacing w:after="120"/>
              <w:jc w:val="right"/>
              <w:rPr>
                <w:rFonts w:ascii="Calibri" w:hAnsi="Calibri" w:cs="Calibri"/>
                <w:b/>
                <w:bCs/>
                <w:color w:val="000000"/>
                <w:sz w:val="16"/>
                <w:szCs w:val="16"/>
              </w:rPr>
            </w:pPr>
            <w:r w:rsidRPr="00411555">
              <w:rPr>
                <w:rFonts w:ascii="Calibri" w:hAnsi="Calibri" w:cs="Calibri"/>
                <w:b/>
                <w:bCs/>
                <w:color w:val="000000"/>
                <w:sz w:val="16"/>
                <w:szCs w:val="16"/>
              </w:rPr>
              <w:t>3</w:t>
            </w:r>
            <w:r w:rsidR="002A599C">
              <w:rPr>
                <w:rFonts w:ascii="Calibri" w:hAnsi="Calibri" w:cs="Calibri"/>
                <w:b/>
                <w:bCs/>
                <w:color w:val="000000"/>
                <w:sz w:val="16"/>
                <w:szCs w:val="16"/>
              </w:rPr>
              <w:t>0</w:t>
            </w:r>
            <w:r w:rsidRPr="00411555">
              <w:rPr>
                <w:rFonts w:ascii="Calibri" w:hAnsi="Calibri" w:cs="Calibri"/>
                <w:b/>
                <w:bCs/>
                <w:color w:val="000000"/>
                <w:sz w:val="16"/>
                <w:szCs w:val="16"/>
              </w:rPr>
              <w:t>/</w:t>
            </w:r>
            <w:r w:rsidR="007708B6">
              <w:rPr>
                <w:rFonts w:ascii="Calibri" w:hAnsi="Calibri" w:cs="Calibri"/>
                <w:b/>
                <w:bCs/>
                <w:color w:val="000000"/>
                <w:sz w:val="16"/>
                <w:szCs w:val="16"/>
              </w:rPr>
              <w:t>0</w:t>
            </w:r>
            <w:r w:rsidR="002A599C">
              <w:rPr>
                <w:rFonts w:ascii="Calibri" w:hAnsi="Calibri" w:cs="Calibri"/>
                <w:b/>
                <w:bCs/>
                <w:color w:val="000000"/>
                <w:sz w:val="16"/>
                <w:szCs w:val="16"/>
              </w:rPr>
              <w:t>6</w:t>
            </w:r>
            <w:r w:rsidRPr="00411555">
              <w:rPr>
                <w:rFonts w:ascii="Calibri" w:hAnsi="Calibri" w:cs="Calibri"/>
                <w:b/>
                <w:bCs/>
                <w:color w:val="000000"/>
                <w:sz w:val="16"/>
                <w:szCs w:val="16"/>
              </w:rPr>
              <w:t>/202</w:t>
            </w:r>
            <w:r w:rsidR="007708B6">
              <w:rPr>
                <w:rFonts w:ascii="Calibri" w:hAnsi="Calibri" w:cs="Calibri"/>
                <w:b/>
                <w:bCs/>
                <w:color w:val="000000"/>
                <w:sz w:val="16"/>
                <w:szCs w:val="16"/>
              </w:rPr>
              <w:t>2</w:t>
            </w:r>
          </w:p>
        </w:tc>
        <w:tc>
          <w:tcPr>
            <w:tcW w:w="715" w:type="pct"/>
            <w:tcBorders>
              <w:top w:val="nil"/>
              <w:left w:val="nil"/>
              <w:right w:val="nil"/>
            </w:tcBorders>
            <w:vAlign w:val="bottom"/>
          </w:tcPr>
          <w:p w14:paraId="0FFA4E6B" w14:textId="77777777" w:rsidR="00AE735D" w:rsidRPr="00411555" w:rsidRDefault="00AE735D" w:rsidP="00937ED9">
            <w:pPr>
              <w:spacing w:after="120"/>
              <w:jc w:val="right"/>
              <w:rPr>
                <w:rFonts w:ascii="Calibri" w:hAnsi="Calibri" w:cs="Calibri"/>
                <w:b/>
                <w:bCs/>
                <w:color w:val="000000"/>
                <w:sz w:val="16"/>
                <w:szCs w:val="16"/>
              </w:rPr>
            </w:pPr>
          </w:p>
        </w:tc>
      </w:tr>
      <w:tr w:rsidR="00AE735D" w:rsidRPr="00411555" w14:paraId="11E28711" w14:textId="77777777" w:rsidTr="00AE735D">
        <w:trPr>
          <w:trHeight w:val="315"/>
        </w:trPr>
        <w:tc>
          <w:tcPr>
            <w:tcW w:w="3064" w:type="pct"/>
            <w:vMerge/>
            <w:tcBorders>
              <w:top w:val="nil"/>
              <w:left w:val="nil"/>
              <w:bottom w:val="single" w:sz="8" w:space="0" w:color="000000"/>
              <w:right w:val="nil"/>
            </w:tcBorders>
            <w:vAlign w:val="bottom"/>
            <w:hideMark/>
          </w:tcPr>
          <w:p w14:paraId="43C318A8" w14:textId="77777777" w:rsidR="00AE735D" w:rsidRPr="00411555" w:rsidRDefault="00AE735D" w:rsidP="00937ED9">
            <w:pPr>
              <w:spacing w:after="120"/>
              <w:rPr>
                <w:rFonts w:ascii="Calibri" w:hAnsi="Calibri" w:cs="Calibri"/>
                <w:b/>
                <w:bCs/>
                <w:color w:val="000000"/>
                <w:sz w:val="16"/>
                <w:szCs w:val="16"/>
              </w:rPr>
            </w:pPr>
          </w:p>
        </w:tc>
        <w:tc>
          <w:tcPr>
            <w:tcW w:w="506" w:type="pct"/>
            <w:gridSpan w:val="3"/>
            <w:vMerge/>
            <w:tcBorders>
              <w:top w:val="nil"/>
              <w:left w:val="nil"/>
              <w:bottom w:val="single" w:sz="8" w:space="0" w:color="000000"/>
              <w:right w:val="nil"/>
            </w:tcBorders>
            <w:vAlign w:val="bottom"/>
          </w:tcPr>
          <w:p w14:paraId="2E95BC53" w14:textId="77777777" w:rsidR="00AE735D" w:rsidRPr="00411555" w:rsidRDefault="00AE735D" w:rsidP="00937ED9">
            <w:pPr>
              <w:spacing w:after="120"/>
              <w:rPr>
                <w:rFonts w:ascii="Calibri" w:hAnsi="Calibri" w:cs="Calibri"/>
                <w:b/>
                <w:bCs/>
                <w:color w:val="000000"/>
                <w:sz w:val="16"/>
                <w:szCs w:val="16"/>
              </w:rPr>
            </w:pPr>
          </w:p>
        </w:tc>
        <w:tc>
          <w:tcPr>
            <w:tcW w:w="715" w:type="pct"/>
            <w:gridSpan w:val="2"/>
            <w:vMerge/>
            <w:tcBorders>
              <w:top w:val="nil"/>
              <w:left w:val="nil"/>
              <w:bottom w:val="single" w:sz="8" w:space="0" w:color="000000"/>
              <w:right w:val="nil"/>
            </w:tcBorders>
            <w:shd w:val="clear" w:color="auto" w:fill="auto"/>
            <w:vAlign w:val="bottom"/>
            <w:hideMark/>
          </w:tcPr>
          <w:p w14:paraId="41668715" w14:textId="77777777" w:rsidR="00AE735D" w:rsidRPr="00411555" w:rsidRDefault="00AE735D" w:rsidP="00937ED9">
            <w:pPr>
              <w:spacing w:after="120"/>
              <w:rPr>
                <w:rFonts w:ascii="Calibri" w:hAnsi="Calibri" w:cs="Calibri"/>
                <w:b/>
                <w:bCs/>
                <w:color w:val="000000"/>
                <w:sz w:val="16"/>
                <w:szCs w:val="16"/>
              </w:rPr>
            </w:pPr>
          </w:p>
        </w:tc>
        <w:tc>
          <w:tcPr>
            <w:tcW w:w="715" w:type="pct"/>
            <w:tcBorders>
              <w:left w:val="nil"/>
              <w:bottom w:val="single" w:sz="4" w:space="0" w:color="auto"/>
              <w:right w:val="nil"/>
            </w:tcBorders>
            <w:vAlign w:val="bottom"/>
          </w:tcPr>
          <w:p w14:paraId="1558FCAF" w14:textId="1D2A7B08" w:rsidR="00AE735D" w:rsidRPr="00411555" w:rsidRDefault="00C24B9C" w:rsidP="00937ED9">
            <w:pPr>
              <w:spacing w:after="120"/>
              <w:jc w:val="right"/>
              <w:rPr>
                <w:rFonts w:ascii="Calibri" w:hAnsi="Calibri" w:cs="Calibri"/>
                <w:b/>
                <w:bCs/>
                <w:color w:val="000000"/>
                <w:sz w:val="16"/>
                <w:szCs w:val="16"/>
              </w:rPr>
            </w:pPr>
            <w:r w:rsidRPr="00411555">
              <w:rPr>
                <w:rFonts w:ascii="Calibri" w:hAnsi="Calibri" w:cs="Calibri"/>
                <w:b/>
                <w:bCs/>
                <w:color w:val="000000"/>
                <w:sz w:val="16"/>
                <w:szCs w:val="16"/>
              </w:rPr>
              <w:t>3</w:t>
            </w:r>
            <w:r w:rsidR="00820AF8">
              <w:rPr>
                <w:rFonts w:ascii="Calibri" w:hAnsi="Calibri" w:cs="Calibri"/>
                <w:b/>
                <w:bCs/>
                <w:color w:val="000000"/>
                <w:sz w:val="16"/>
                <w:szCs w:val="16"/>
              </w:rPr>
              <w:t>0</w:t>
            </w:r>
            <w:r w:rsidRPr="00411555">
              <w:rPr>
                <w:rFonts w:ascii="Calibri" w:hAnsi="Calibri" w:cs="Calibri"/>
                <w:b/>
                <w:bCs/>
                <w:color w:val="000000"/>
                <w:sz w:val="16"/>
                <w:szCs w:val="16"/>
              </w:rPr>
              <w:t>/</w:t>
            </w:r>
            <w:r w:rsidR="007708B6">
              <w:rPr>
                <w:rFonts w:ascii="Calibri" w:hAnsi="Calibri" w:cs="Calibri"/>
                <w:b/>
                <w:bCs/>
                <w:color w:val="000000"/>
                <w:sz w:val="16"/>
                <w:szCs w:val="16"/>
              </w:rPr>
              <w:t>0</w:t>
            </w:r>
            <w:r w:rsidR="00820AF8">
              <w:rPr>
                <w:rFonts w:ascii="Calibri" w:hAnsi="Calibri" w:cs="Calibri"/>
                <w:b/>
                <w:bCs/>
                <w:color w:val="000000"/>
                <w:sz w:val="16"/>
                <w:szCs w:val="16"/>
              </w:rPr>
              <w:t>6</w:t>
            </w:r>
            <w:r w:rsidRPr="00411555">
              <w:rPr>
                <w:rFonts w:ascii="Calibri" w:hAnsi="Calibri" w:cs="Calibri"/>
                <w:b/>
                <w:bCs/>
                <w:color w:val="000000"/>
                <w:sz w:val="16"/>
                <w:szCs w:val="16"/>
              </w:rPr>
              <w:t>/202</w:t>
            </w:r>
            <w:r w:rsidR="007708B6">
              <w:rPr>
                <w:rFonts w:ascii="Calibri" w:hAnsi="Calibri" w:cs="Calibri"/>
                <w:b/>
                <w:bCs/>
                <w:color w:val="000000"/>
                <w:sz w:val="16"/>
                <w:szCs w:val="16"/>
              </w:rPr>
              <w:t>1</w:t>
            </w:r>
          </w:p>
        </w:tc>
      </w:tr>
      <w:tr w:rsidR="003950D9" w:rsidRPr="00411555" w14:paraId="122632EC" w14:textId="77777777" w:rsidTr="00E803B5">
        <w:trPr>
          <w:trHeight w:val="315"/>
        </w:trPr>
        <w:tc>
          <w:tcPr>
            <w:tcW w:w="3064" w:type="pct"/>
            <w:tcBorders>
              <w:top w:val="nil"/>
              <w:left w:val="nil"/>
              <w:bottom w:val="nil"/>
              <w:right w:val="nil"/>
            </w:tcBorders>
            <w:shd w:val="clear" w:color="auto" w:fill="auto"/>
            <w:noWrap/>
            <w:vAlign w:val="center"/>
          </w:tcPr>
          <w:p w14:paraId="788695CB" w14:textId="572328A9" w:rsidR="003950D9" w:rsidRPr="00411555" w:rsidRDefault="003950D9" w:rsidP="00937ED9">
            <w:pPr>
              <w:spacing w:after="120"/>
              <w:jc w:val="both"/>
              <w:rPr>
                <w:rFonts w:ascii="Calibri" w:hAnsi="Calibri" w:cs="Calibri"/>
                <w:color w:val="000000"/>
                <w:sz w:val="16"/>
                <w:szCs w:val="16"/>
              </w:rPr>
            </w:pPr>
            <w:r w:rsidRPr="00411555">
              <w:rPr>
                <w:rFonts w:ascii="Calibri" w:hAnsi="Calibri" w:cs="Calibri"/>
                <w:color w:val="000000"/>
                <w:sz w:val="16"/>
                <w:szCs w:val="16"/>
              </w:rPr>
              <w:t>Juros e Encargos de Mora sobre Receitas</w:t>
            </w:r>
          </w:p>
        </w:tc>
        <w:tc>
          <w:tcPr>
            <w:tcW w:w="506" w:type="pct"/>
            <w:gridSpan w:val="3"/>
            <w:tcBorders>
              <w:top w:val="nil"/>
              <w:left w:val="nil"/>
              <w:bottom w:val="nil"/>
              <w:right w:val="nil"/>
            </w:tcBorders>
            <w:shd w:val="clear" w:color="auto" w:fill="auto"/>
            <w:noWrap/>
            <w:vAlign w:val="bottom"/>
          </w:tcPr>
          <w:p w14:paraId="5E2D9497" w14:textId="77777777" w:rsidR="003950D9" w:rsidRPr="00411555" w:rsidRDefault="003950D9" w:rsidP="00937ED9">
            <w:pPr>
              <w:spacing w:after="120"/>
              <w:jc w:val="right"/>
              <w:rPr>
                <w:rFonts w:ascii="Calibri" w:hAnsi="Calibri" w:cs="Calibri"/>
                <w:color w:val="000000"/>
                <w:sz w:val="16"/>
                <w:szCs w:val="16"/>
              </w:rPr>
            </w:pPr>
          </w:p>
        </w:tc>
        <w:tc>
          <w:tcPr>
            <w:tcW w:w="715" w:type="pct"/>
            <w:gridSpan w:val="2"/>
            <w:tcBorders>
              <w:top w:val="nil"/>
              <w:left w:val="nil"/>
              <w:bottom w:val="nil"/>
              <w:right w:val="nil"/>
            </w:tcBorders>
            <w:shd w:val="clear" w:color="auto" w:fill="auto"/>
            <w:noWrap/>
            <w:vAlign w:val="center"/>
          </w:tcPr>
          <w:p w14:paraId="15AA4AD6" w14:textId="18F22667" w:rsidR="003950D9" w:rsidRPr="00411555" w:rsidRDefault="007E2FDF" w:rsidP="00937ED9">
            <w:pPr>
              <w:spacing w:after="120"/>
              <w:jc w:val="right"/>
              <w:rPr>
                <w:rFonts w:ascii="Calibri" w:hAnsi="Calibri" w:cs="Calibri"/>
                <w:color w:val="000000"/>
                <w:sz w:val="16"/>
                <w:szCs w:val="16"/>
              </w:rPr>
            </w:pPr>
            <w:r>
              <w:rPr>
                <w:rFonts w:ascii="Calibri" w:hAnsi="Calibri" w:cs="Calibri"/>
                <w:color w:val="000000"/>
                <w:sz w:val="16"/>
                <w:szCs w:val="16"/>
              </w:rPr>
              <w:t>18.443</w:t>
            </w:r>
          </w:p>
        </w:tc>
        <w:tc>
          <w:tcPr>
            <w:tcW w:w="715" w:type="pct"/>
            <w:tcBorders>
              <w:top w:val="nil"/>
              <w:left w:val="nil"/>
              <w:bottom w:val="nil"/>
              <w:right w:val="nil"/>
            </w:tcBorders>
            <w:vAlign w:val="center"/>
          </w:tcPr>
          <w:p w14:paraId="4105AF63" w14:textId="73768321" w:rsidR="003950D9" w:rsidRPr="00411555" w:rsidRDefault="003950D9" w:rsidP="00937ED9">
            <w:pPr>
              <w:spacing w:after="120"/>
              <w:jc w:val="right"/>
              <w:rPr>
                <w:rFonts w:ascii="Calibri" w:hAnsi="Calibri" w:cs="Calibri"/>
                <w:color w:val="000000"/>
                <w:sz w:val="16"/>
                <w:szCs w:val="16"/>
              </w:rPr>
            </w:pPr>
            <w:r w:rsidRPr="00411555">
              <w:rPr>
                <w:rFonts w:ascii="Calibri" w:hAnsi="Calibri" w:cs="Calibri"/>
                <w:color w:val="000000"/>
                <w:sz w:val="16"/>
                <w:szCs w:val="16"/>
              </w:rPr>
              <w:t>0</w:t>
            </w:r>
          </w:p>
        </w:tc>
      </w:tr>
      <w:tr w:rsidR="00AE735D" w:rsidRPr="00411555" w14:paraId="303A5BB0" w14:textId="77777777" w:rsidTr="00E803B5">
        <w:trPr>
          <w:trHeight w:val="315"/>
        </w:trPr>
        <w:tc>
          <w:tcPr>
            <w:tcW w:w="3064" w:type="pct"/>
            <w:tcBorders>
              <w:top w:val="nil"/>
              <w:left w:val="nil"/>
              <w:bottom w:val="nil"/>
              <w:right w:val="nil"/>
            </w:tcBorders>
            <w:shd w:val="clear" w:color="auto" w:fill="auto"/>
            <w:noWrap/>
            <w:vAlign w:val="center"/>
            <w:hideMark/>
          </w:tcPr>
          <w:p w14:paraId="035EFBAD" w14:textId="560FF726" w:rsidR="00AE735D" w:rsidRPr="00411555" w:rsidRDefault="00AE735D" w:rsidP="00937ED9">
            <w:pPr>
              <w:spacing w:after="120"/>
              <w:rPr>
                <w:rFonts w:ascii="Calibri" w:hAnsi="Calibri" w:cs="Calibri"/>
                <w:color w:val="000000"/>
                <w:sz w:val="16"/>
                <w:szCs w:val="16"/>
              </w:rPr>
            </w:pPr>
            <w:r w:rsidRPr="00411555">
              <w:rPr>
                <w:rFonts w:ascii="Calibri" w:hAnsi="Calibri" w:cs="Calibri"/>
                <w:color w:val="000000"/>
                <w:sz w:val="16"/>
                <w:szCs w:val="16"/>
              </w:rPr>
              <w:t xml:space="preserve">Atualização Monetária dos Contratos de Permissão de Uso de Pátios (Nota </w:t>
            </w:r>
            <w:r w:rsidR="003C3F27" w:rsidRPr="00411555">
              <w:rPr>
                <w:rFonts w:ascii="Calibri" w:hAnsi="Calibri" w:cs="Calibri"/>
                <w:color w:val="000000"/>
                <w:sz w:val="16"/>
                <w:szCs w:val="16"/>
              </w:rPr>
              <w:t>6</w:t>
            </w:r>
            <w:r w:rsidRPr="00411555">
              <w:rPr>
                <w:rFonts w:ascii="Calibri" w:hAnsi="Calibri" w:cs="Calibri"/>
                <w:color w:val="000000"/>
                <w:sz w:val="16"/>
                <w:szCs w:val="16"/>
              </w:rPr>
              <w:t>)</w:t>
            </w:r>
          </w:p>
        </w:tc>
        <w:tc>
          <w:tcPr>
            <w:tcW w:w="506" w:type="pct"/>
            <w:gridSpan w:val="3"/>
            <w:tcBorders>
              <w:top w:val="nil"/>
              <w:left w:val="nil"/>
              <w:bottom w:val="nil"/>
              <w:right w:val="nil"/>
            </w:tcBorders>
            <w:shd w:val="clear" w:color="auto" w:fill="auto"/>
            <w:noWrap/>
            <w:vAlign w:val="bottom"/>
          </w:tcPr>
          <w:p w14:paraId="6DE9DF6E" w14:textId="77777777" w:rsidR="00AE735D" w:rsidRPr="00411555" w:rsidRDefault="00AE735D" w:rsidP="00937ED9">
            <w:pPr>
              <w:spacing w:after="120"/>
              <w:jc w:val="right"/>
              <w:rPr>
                <w:rFonts w:ascii="Calibri" w:hAnsi="Calibri" w:cs="Calibri"/>
                <w:color w:val="000000"/>
                <w:sz w:val="16"/>
                <w:szCs w:val="16"/>
              </w:rPr>
            </w:pPr>
          </w:p>
        </w:tc>
        <w:tc>
          <w:tcPr>
            <w:tcW w:w="715" w:type="pct"/>
            <w:gridSpan w:val="2"/>
            <w:tcBorders>
              <w:top w:val="nil"/>
              <w:left w:val="nil"/>
              <w:bottom w:val="nil"/>
              <w:right w:val="nil"/>
            </w:tcBorders>
            <w:shd w:val="clear" w:color="auto" w:fill="auto"/>
            <w:noWrap/>
            <w:vAlign w:val="center"/>
            <w:hideMark/>
          </w:tcPr>
          <w:p w14:paraId="402D7905" w14:textId="1C4F838A" w:rsidR="00AE735D" w:rsidRPr="00411555" w:rsidRDefault="007E2FDF" w:rsidP="00937ED9">
            <w:pPr>
              <w:spacing w:after="120"/>
              <w:jc w:val="right"/>
              <w:rPr>
                <w:rFonts w:ascii="Calibri" w:hAnsi="Calibri" w:cs="Calibri"/>
                <w:color w:val="000000"/>
                <w:sz w:val="16"/>
                <w:szCs w:val="16"/>
              </w:rPr>
            </w:pPr>
            <w:r>
              <w:rPr>
                <w:rFonts w:ascii="Calibri" w:hAnsi="Calibri" w:cs="Calibri"/>
                <w:color w:val="000000"/>
                <w:sz w:val="16"/>
                <w:szCs w:val="16"/>
              </w:rPr>
              <w:t>3.590.638</w:t>
            </w:r>
          </w:p>
        </w:tc>
        <w:tc>
          <w:tcPr>
            <w:tcW w:w="715" w:type="pct"/>
            <w:tcBorders>
              <w:top w:val="nil"/>
              <w:left w:val="nil"/>
              <w:bottom w:val="nil"/>
              <w:right w:val="nil"/>
            </w:tcBorders>
            <w:vAlign w:val="center"/>
          </w:tcPr>
          <w:p w14:paraId="2B888A9C" w14:textId="3023A126" w:rsidR="00AE735D" w:rsidRPr="00411555" w:rsidRDefault="00820AF8" w:rsidP="00937ED9">
            <w:pPr>
              <w:spacing w:after="120"/>
              <w:jc w:val="right"/>
              <w:rPr>
                <w:rFonts w:ascii="Calibri" w:hAnsi="Calibri" w:cs="Calibri"/>
                <w:color w:val="000000"/>
                <w:sz w:val="16"/>
                <w:szCs w:val="16"/>
              </w:rPr>
            </w:pPr>
            <w:r>
              <w:rPr>
                <w:rFonts w:ascii="Calibri" w:hAnsi="Calibri" w:cs="Calibri"/>
                <w:color w:val="000000"/>
                <w:sz w:val="16"/>
                <w:szCs w:val="16"/>
              </w:rPr>
              <w:t>3.461.839</w:t>
            </w:r>
          </w:p>
        </w:tc>
      </w:tr>
      <w:tr w:rsidR="00AE735D" w:rsidRPr="00411555" w14:paraId="66F8EE4F" w14:textId="77777777" w:rsidTr="00263C8E">
        <w:trPr>
          <w:trHeight w:val="315"/>
        </w:trPr>
        <w:tc>
          <w:tcPr>
            <w:tcW w:w="3064" w:type="pct"/>
            <w:tcBorders>
              <w:top w:val="single" w:sz="8" w:space="0" w:color="auto"/>
              <w:left w:val="nil"/>
              <w:bottom w:val="single" w:sz="12" w:space="0" w:color="auto"/>
              <w:right w:val="nil"/>
            </w:tcBorders>
            <w:shd w:val="clear" w:color="auto" w:fill="auto"/>
            <w:noWrap/>
            <w:vAlign w:val="bottom"/>
            <w:hideMark/>
          </w:tcPr>
          <w:p w14:paraId="49DC40AF" w14:textId="77777777" w:rsidR="00AE735D" w:rsidRPr="00411555" w:rsidRDefault="00AE735D" w:rsidP="00937ED9">
            <w:pPr>
              <w:spacing w:after="120"/>
              <w:rPr>
                <w:rFonts w:ascii="Calibri" w:hAnsi="Calibri" w:cs="Calibri"/>
                <w:b/>
                <w:bCs/>
                <w:color w:val="000000"/>
                <w:sz w:val="16"/>
                <w:szCs w:val="16"/>
              </w:rPr>
            </w:pPr>
            <w:r w:rsidRPr="00411555">
              <w:rPr>
                <w:rFonts w:ascii="Calibri" w:hAnsi="Calibri" w:cs="Calibri"/>
                <w:b/>
                <w:bCs/>
                <w:color w:val="000000"/>
                <w:sz w:val="16"/>
                <w:szCs w:val="16"/>
              </w:rPr>
              <w:t>TOTAL</w:t>
            </w:r>
          </w:p>
        </w:tc>
        <w:tc>
          <w:tcPr>
            <w:tcW w:w="506" w:type="pct"/>
            <w:gridSpan w:val="3"/>
            <w:tcBorders>
              <w:top w:val="single" w:sz="8" w:space="0" w:color="auto"/>
              <w:left w:val="nil"/>
              <w:bottom w:val="single" w:sz="12" w:space="0" w:color="auto"/>
              <w:right w:val="nil"/>
            </w:tcBorders>
            <w:shd w:val="clear" w:color="auto" w:fill="auto"/>
            <w:noWrap/>
            <w:vAlign w:val="bottom"/>
          </w:tcPr>
          <w:p w14:paraId="21AA59EF" w14:textId="77777777" w:rsidR="00AE735D" w:rsidRPr="00411555" w:rsidRDefault="00AE735D" w:rsidP="00937ED9">
            <w:pPr>
              <w:spacing w:after="120"/>
              <w:jc w:val="right"/>
              <w:rPr>
                <w:rFonts w:ascii="Calibri" w:hAnsi="Calibri" w:cs="Calibri"/>
                <w:b/>
                <w:bCs/>
                <w:color w:val="000000"/>
                <w:sz w:val="16"/>
                <w:szCs w:val="16"/>
              </w:rPr>
            </w:pPr>
          </w:p>
        </w:tc>
        <w:tc>
          <w:tcPr>
            <w:tcW w:w="715" w:type="pct"/>
            <w:gridSpan w:val="2"/>
            <w:tcBorders>
              <w:top w:val="single" w:sz="8" w:space="0" w:color="auto"/>
              <w:left w:val="nil"/>
              <w:bottom w:val="single" w:sz="12" w:space="0" w:color="auto"/>
              <w:right w:val="nil"/>
            </w:tcBorders>
            <w:shd w:val="clear" w:color="auto" w:fill="auto"/>
            <w:noWrap/>
            <w:vAlign w:val="center"/>
            <w:hideMark/>
          </w:tcPr>
          <w:p w14:paraId="1F48EFEE" w14:textId="029E019F" w:rsidR="00AE735D" w:rsidRPr="00411555" w:rsidRDefault="007E2FDF" w:rsidP="00937ED9">
            <w:pPr>
              <w:spacing w:after="120"/>
              <w:jc w:val="right"/>
              <w:rPr>
                <w:rFonts w:ascii="Calibri" w:hAnsi="Calibri" w:cs="Calibri"/>
                <w:b/>
                <w:bCs/>
                <w:color w:val="000000"/>
                <w:sz w:val="16"/>
                <w:szCs w:val="16"/>
              </w:rPr>
            </w:pPr>
            <w:r>
              <w:rPr>
                <w:rFonts w:ascii="Calibri" w:hAnsi="Calibri" w:cs="Calibri"/>
                <w:b/>
                <w:bCs/>
                <w:color w:val="000000"/>
                <w:sz w:val="16"/>
                <w:szCs w:val="16"/>
              </w:rPr>
              <w:t>3.609.081</w:t>
            </w:r>
          </w:p>
        </w:tc>
        <w:tc>
          <w:tcPr>
            <w:tcW w:w="715" w:type="pct"/>
            <w:tcBorders>
              <w:top w:val="single" w:sz="8" w:space="0" w:color="auto"/>
              <w:left w:val="nil"/>
              <w:bottom w:val="single" w:sz="12" w:space="0" w:color="auto"/>
              <w:right w:val="nil"/>
            </w:tcBorders>
            <w:vAlign w:val="center"/>
          </w:tcPr>
          <w:p w14:paraId="4C294996" w14:textId="784C1830" w:rsidR="00AE735D" w:rsidRPr="00411555" w:rsidRDefault="00820AF8" w:rsidP="00937ED9">
            <w:pPr>
              <w:spacing w:after="120"/>
              <w:jc w:val="right"/>
              <w:rPr>
                <w:rFonts w:ascii="Calibri" w:hAnsi="Calibri" w:cs="Calibri"/>
                <w:b/>
                <w:bCs/>
                <w:color w:val="000000"/>
                <w:sz w:val="16"/>
                <w:szCs w:val="16"/>
              </w:rPr>
            </w:pPr>
            <w:r>
              <w:rPr>
                <w:rFonts w:ascii="Calibri" w:hAnsi="Calibri" w:cs="Calibri"/>
                <w:b/>
                <w:bCs/>
                <w:color w:val="000000"/>
                <w:sz w:val="16"/>
                <w:szCs w:val="16"/>
              </w:rPr>
              <w:t>3.461.839</w:t>
            </w:r>
          </w:p>
        </w:tc>
      </w:tr>
    </w:tbl>
    <w:p w14:paraId="37436118" w14:textId="7AF3150A" w:rsidR="000763D7" w:rsidRPr="00411555" w:rsidRDefault="001E6E1B" w:rsidP="0017010D">
      <w:pPr>
        <w:spacing w:before="120" w:after="120"/>
        <w:ind w:right="57"/>
        <w:jc w:val="both"/>
        <w:rPr>
          <w:rFonts w:ascii="Calibri" w:hAnsi="Calibri" w:cs="Calibri"/>
          <w:sz w:val="22"/>
          <w:szCs w:val="22"/>
        </w:rPr>
      </w:pPr>
      <w:r w:rsidRPr="00411555">
        <w:rPr>
          <w:rFonts w:ascii="Calibri" w:hAnsi="Calibri" w:cs="Calibri"/>
          <w:sz w:val="22"/>
          <w:szCs w:val="22"/>
        </w:rPr>
        <w:t xml:space="preserve">As receitas financeiras da VALEC </w:t>
      </w:r>
      <w:r w:rsidR="003C3F27" w:rsidRPr="00411555">
        <w:rPr>
          <w:rFonts w:ascii="Calibri" w:hAnsi="Calibri" w:cs="Calibri"/>
          <w:sz w:val="22"/>
          <w:szCs w:val="22"/>
        </w:rPr>
        <w:t xml:space="preserve">reconhecidas </w:t>
      </w:r>
      <w:r w:rsidRPr="00411555">
        <w:rPr>
          <w:rFonts w:ascii="Calibri" w:hAnsi="Calibri" w:cs="Calibri"/>
          <w:sz w:val="22"/>
          <w:szCs w:val="22"/>
        </w:rPr>
        <w:t>são provindas das atualizações monetárias</w:t>
      </w:r>
      <w:r w:rsidR="00454BA0" w:rsidRPr="00411555">
        <w:rPr>
          <w:rFonts w:ascii="Calibri" w:hAnsi="Calibri" w:cs="Calibri"/>
          <w:sz w:val="22"/>
          <w:szCs w:val="22"/>
        </w:rPr>
        <w:t xml:space="preserve"> </w:t>
      </w:r>
      <w:r w:rsidR="00E470A7" w:rsidRPr="00411555">
        <w:rPr>
          <w:rFonts w:ascii="Calibri" w:hAnsi="Calibri" w:cs="Calibri"/>
          <w:sz w:val="22"/>
          <w:szCs w:val="22"/>
        </w:rPr>
        <w:t xml:space="preserve">sobre </w:t>
      </w:r>
      <w:r w:rsidRPr="00411555">
        <w:rPr>
          <w:rFonts w:ascii="Calibri" w:hAnsi="Calibri" w:cs="Calibri"/>
          <w:sz w:val="22"/>
          <w:szCs w:val="22"/>
        </w:rPr>
        <w:t xml:space="preserve">os direitos a receber </w:t>
      </w:r>
      <w:r w:rsidR="003C3F27" w:rsidRPr="00411555">
        <w:rPr>
          <w:rFonts w:ascii="Calibri" w:hAnsi="Calibri" w:cs="Calibri"/>
          <w:sz w:val="22"/>
          <w:szCs w:val="22"/>
        </w:rPr>
        <w:t>do</w:t>
      </w:r>
      <w:r w:rsidRPr="00411555">
        <w:rPr>
          <w:rFonts w:ascii="Calibri" w:hAnsi="Calibri" w:cs="Calibri"/>
          <w:sz w:val="22"/>
          <w:szCs w:val="22"/>
        </w:rPr>
        <w:t xml:space="preserve">s Contratos </w:t>
      </w:r>
      <w:r w:rsidR="005A5C49" w:rsidRPr="00411555">
        <w:rPr>
          <w:rFonts w:ascii="Calibri" w:hAnsi="Calibri" w:cs="Calibri"/>
          <w:sz w:val="22"/>
          <w:szCs w:val="22"/>
        </w:rPr>
        <w:t>de Permissões de Uso de Pátios</w:t>
      </w:r>
      <w:r w:rsidR="002B3435" w:rsidRPr="00411555">
        <w:rPr>
          <w:rFonts w:ascii="Calibri" w:hAnsi="Calibri" w:cs="Calibri"/>
          <w:sz w:val="22"/>
          <w:szCs w:val="22"/>
        </w:rPr>
        <w:t>, bem como juros de mora por recebimento de receitas em atraso.</w:t>
      </w:r>
    </w:p>
    <w:p w14:paraId="018D786B" w14:textId="1ED8D7FF" w:rsidR="000C106E" w:rsidRPr="00411555" w:rsidRDefault="00366626" w:rsidP="00937ED9">
      <w:pPr>
        <w:spacing w:after="120"/>
        <w:ind w:right="-142"/>
        <w:jc w:val="both"/>
        <w:rPr>
          <w:rFonts w:ascii="Calibri" w:hAnsi="Calibri" w:cs="Calibri"/>
          <w:b/>
          <w:sz w:val="22"/>
          <w:szCs w:val="22"/>
        </w:rPr>
      </w:pPr>
      <w:r w:rsidRPr="00411555">
        <w:rPr>
          <w:rFonts w:ascii="Calibri" w:hAnsi="Calibri" w:cs="Calibri"/>
          <w:b/>
          <w:sz w:val="22"/>
          <w:szCs w:val="22"/>
        </w:rPr>
        <w:t xml:space="preserve">NOTA </w:t>
      </w:r>
      <w:r w:rsidR="00505441" w:rsidRPr="00411555">
        <w:rPr>
          <w:rFonts w:ascii="Calibri" w:hAnsi="Calibri" w:cs="Calibri"/>
          <w:b/>
          <w:sz w:val="22"/>
          <w:szCs w:val="22"/>
        </w:rPr>
        <w:t>2</w:t>
      </w:r>
      <w:r w:rsidR="001A1B68" w:rsidRPr="00411555">
        <w:rPr>
          <w:rFonts w:ascii="Calibri" w:hAnsi="Calibri" w:cs="Calibri"/>
          <w:b/>
          <w:sz w:val="22"/>
          <w:szCs w:val="22"/>
        </w:rPr>
        <w:t>1</w:t>
      </w:r>
      <w:r w:rsidR="000C106E" w:rsidRPr="00411555">
        <w:rPr>
          <w:rFonts w:ascii="Calibri" w:hAnsi="Calibri" w:cs="Calibri"/>
          <w:b/>
          <w:sz w:val="22"/>
          <w:szCs w:val="22"/>
        </w:rPr>
        <w:t xml:space="preserve"> – SUBVENÇÃO DO TESOURO NACIONAL – REPASSE PARA CUSTEIO E PESSOAL</w:t>
      </w:r>
    </w:p>
    <w:p w14:paraId="05DBAA72" w14:textId="77774F86" w:rsidR="001159E0" w:rsidRPr="00411555" w:rsidRDefault="005711AA" w:rsidP="00937ED9">
      <w:pPr>
        <w:spacing w:after="120"/>
        <w:ind w:right="57"/>
        <w:jc w:val="both"/>
        <w:rPr>
          <w:rFonts w:ascii="Calibri" w:hAnsi="Calibri" w:cs="Calibri"/>
          <w:sz w:val="22"/>
          <w:szCs w:val="22"/>
        </w:rPr>
      </w:pPr>
      <w:r w:rsidRPr="00411555">
        <w:rPr>
          <w:rFonts w:ascii="Calibri" w:hAnsi="Calibri" w:cs="Calibri"/>
          <w:sz w:val="22"/>
          <w:szCs w:val="22"/>
        </w:rPr>
        <w:t>A</w:t>
      </w:r>
      <w:r w:rsidR="000C106E" w:rsidRPr="00411555">
        <w:rPr>
          <w:rFonts w:ascii="Calibri" w:hAnsi="Calibri" w:cs="Calibri"/>
          <w:sz w:val="22"/>
          <w:szCs w:val="22"/>
        </w:rPr>
        <w:t xml:space="preserve"> subvenção para custeio e pessoal repassada à VALEC pela Secretaria do Tesouro Nacional totalizou</w:t>
      </w:r>
      <w:r w:rsidR="00BD5174">
        <w:rPr>
          <w:rFonts w:ascii="Calibri" w:hAnsi="Calibri" w:cs="Calibri"/>
          <w:sz w:val="22"/>
          <w:szCs w:val="22"/>
        </w:rPr>
        <w:t>,</w:t>
      </w:r>
      <w:r w:rsidR="006F322E" w:rsidRPr="00411555">
        <w:rPr>
          <w:rFonts w:ascii="Calibri" w:hAnsi="Calibri" w:cs="Calibri"/>
          <w:sz w:val="22"/>
          <w:szCs w:val="22"/>
        </w:rPr>
        <w:t xml:space="preserve"> </w:t>
      </w:r>
      <w:r w:rsidR="007708B6">
        <w:rPr>
          <w:rFonts w:ascii="Calibri" w:hAnsi="Calibri" w:cs="Calibri"/>
          <w:sz w:val="22"/>
          <w:szCs w:val="22"/>
        </w:rPr>
        <w:t xml:space="preserve">no </w:t>
      </w:r>
      <w:r w:rsidR="002A599C">
        <w:rPr>
          <w:rFonts w:ascii="Calibri" w:hAnsi="Calibri" w:cs="Calibri"/>
          <w:sz w:val="22"/>
          <w:szCs w:val="22"/>
        </w:rPr>
        <w:t>2</w:t>
      </w:r>
      <w:r w:rsidR="007708B6">
        <w:rPr>
          <w:rFonts w:ascii="Calibri" w:hAnsi="Calibri" w:cs="Calibri"/>
          <w:sz w:val="22"/>
          <w:szCs w:val="22"/>
        </w:rPr>
        <w:t>º trimestre de 2022,</w:t>
      </w:r>
      <w:r w:rsidR="000C106E" w:rsidRPr="00411555">
        <w:rPr>
          <w:rFonts w:ascii="Calibri" w:hAnsi="Calibri" w:cs="Calibri"/>
          <w:sz w:val="22"/>
          <w:szCs w:val="22"/>
        </w:rPr>
        <w:t xml:space="preserve"> R$</w:t>
      </w:r>
      <w:r w:rsidR="00A67FC1" w:rsidRPr="00411555">
        <w:rPr>
          <w:rFonts w:ascii="Calibri" w:hAnsi="Calibri" w:cs="Calibri"/>
          <w:sz w:val="22"/>
          <w:szCs w:val="22"/>
        </w:rPr>
        <w:t xml:space="preserve"> </w:t>
      </w:r>
      <w:r w:rsidR="002A599C">
        <w:rPr>
          <w:rFonts w:ascii="Calibri" w:hAnsi="Calibri" w:cs="Calibri"/>
          <w:sz w:val="22"/>
          <w:szCs w:val="22"/>
        </w:rPr>
        <w:t>74</w:t>
      </w:r>
      <w:r w:rsidR="000A524B" w:rsidRPr="00411555">
        <w:rPr>
          <w:rFonts w:ascii="Calibri" w:hAnsi="Calibri" w:cs="Calibri"/>
          <w:sz w:val="22"/>
          <w:szCs w:val="22"/>
        </w:rPr>
        <w:t>,</w:t>
      </w:r>
      <w:r w:rsidR="002A599C">
        <w:rPr>
          <w:rFonts w:ascii="Calibri" w:hAnsi="Calibri" w:cs="Calibri"/>
          <w:sz w:val="22"/>
          <w:szCs w:val="22"/>
        </w:rPr>
        <w:t xml:space="preserve">99 </w:t>
      </w:r>
      <w:r w:rsidR="003C3F27" w:rsidRPr="00411555">
        <w:rPr>
          <w:rFonts w:ascii="Calibri" w:hAnsi="Calibri" w:cs="Calibri"/>
          <w:sz w:val="22"/>
          <w:szCs w:val="22"/>
        </w:rPr>
        <w:t>milhões</w:t>
      </w:r>
      <w:r w:rsidR="00751553" w:rsidRPr="00411555">
        <w:rPr>
          <w:rFonts w:ascii="Calibri" w:hAnsi="Calibri" w:cs="Calibri"/>
          <w:sz w:val="22"/>
          <w:szCs w:val="22"/>
        </w:rPr>
        <w:t>.</w:t>
      </w:r>
    </w:p>
    <w:tbl>
      <w:tblPr>
        <w:tblW w:w="5000" w:type="pct"/>
        <w:tblCellMar>
          <w:left w:w="70" w:type="dxa"/>
          <w:right w:w="70" w:type="dxa"/>
        </w:tblCellMar>
        <w:tblLook w:val="04A0" w:firstRow="1" w:lastRow="0" w:firstColumn="1" w:lastColumn="0" w:noHBand="0" w:noVBand="1"/>
      </w:tblPr>
      <w:tblGrid>
        <w:gridCol w:w="1605"/>
        <w:gridCol w:w="1605"/>
        <w:gridCol w:w="1606"/>
        <w:gridCol w:w="1606"/>
        <w:gridCol w:w="2058"/>
        <w:gridCol w:w="1987"/>
      </w:tblGrid>
      <w:tr w:rsidR="006F322E" w:rsidRPr="00411555" w14:paraId="3B54AE08" w14:textId="77777777" w:rsidTr="00BD5174">
        <w:trPr>
          <w:trHeight w:hRule="exact" w:val="227"/>
        </w:trPr>
        <w:tc>
          <w:tcPr>
            <w:tcW w:w="767" w:type="pct"/>
            <w:tcBorders>
              <w:top w:val="nil"/>
              <w:left w:val="nil"/>
              <w:bottom w:val="single" w:sz="8" w:space="0" w:color="auto"/>
              <w:right w:val="nil"/>
            </w:tcBorders>
            <w:shd w:val="clear" w:color="auto" w:fill="auto"/>
            <w:vAlign w:val="center"/>
            <w:hideMark/>
          </w:tcPr>
          <w:p w14:paraId="0CCBACAB" w14:textId="77777777" w:rsidR="006F322E" w:rsidRPr="00411555" w:rsidRDefault="006F322E" w:rsidP="00937ED9">
            <w:pPr>
              <w:spacing w:after="120"/>
              <w:jc w:val="both"/>
              <w:rPr>
                <w:rFonts w:ascii="Calibri" w:hAnsi="Calibri" w:cs="Calibri"/>
                <w:b/>
                <w:bCs/>
                <w:color w:val="000000"/>
                <w:sz w:val="16"/>
                <w:szCs w:val="16"/>
              </w:rPr>
            </w:pPr>
            <w:r w:rsidRPr="00411555">
              <w:rPr>
                <w:rFonts w:ascii="Calibri" w:hAnsi="Calibri" w:cs="Calibri"/>
                <w:b/>
                <w:bCs/>
                <w:color w:val="000000"/>
                <w:sz w:val="16"/>
                <w:szCs w:val="16"/>
              </w:rPr>
              <w:t>EMPRESA</w:t>
            </w:r>
          </w:p>
        </w:tc>
        <w:tc>
          <w:tcPr>
            <w:tcW w:w="767" w:type="pct"/>
            <w:tcBorders>
              <w:top w:val="nil"/>
              <w:left w:val="nil"/>
              <w:bottom w:val="single" w:sz="8" w:space="0" w:color="auto"/>
              <w:right w:val="nil"/>
            </w:tcBorders>
            <w:shd w:val="clear" w:color="auto" w:fill="auto"/>
            <w:vAlign w:val="center"/>
            <w:hideMark/>
          </w:tcPr>
          <w:p w14:paraId="7CABC601" w14:textId="77777777" w:rsidR="006F322E" w:rsidRPr="00411555" w:rsidRDefault="006F322E" w:rsidP="00937ED9">
            <w:pPr>
              <w:spacing w:after="120"/>
              <w:jc w:val="right"/>
              <w:rPr>
                <w:rFonts w:ascii="Calibri" w:hAnsi="Calibri" w:cs="Calibri"/>
                <w:b/>
                <w:bCs/>
                <w:color w:val="000000"/>
                <w:sz w:val="16"/>
                <w:szCs w:val="16"/>
              </w:rPr>
            </w:pPr>
            <w:r w:rsidRPr="00411555">
              <w:rPr>
                <w:rFonts w:ascii="Calibri" w:hAnsi="Calibri" w:cs="Calibri"/>
                <w:b/>
                <w:bCs/>
                <w:color w:val="000000"/>
                <w:sz w:val="16"/>
                <w:szCs w:val="16"/>
              </w:rPr>
              <w:t> </w:t>
            </w:r>
          </w:p>
        </w:tc>
        <w:tc>
          <w:tcPr>
            <w:tcW w:w="767" w:type="pct"/>
            <w:tcBorders>
              <w:top w:val="nil"/>
              <w:left w:val="nil"/>
              <w:bottom w:val="single" w:sz="8" w:space="0" w:color="auto"/>
              <w:right w:val="nil"/>
            </w:tcBorders>
            <w:shd w:val="clear" w:color="auto" w:fill="auto"/>
            <w:vAlign w:val="center"/>
            <w:hideMark/>
          </w:tcPr>
          <w:p w14:paraId="64D802CE" w14:textId="77777777" w:rsidR="006F322E" w:rsidRPr="00411555" w:rsidRDefault="006F322E" w:rsidP="00937ED9">
            <w:pPr>
              <w:spacing w:after="120"/>
              <w:jc w:val="right"/>
              <w:rPr>
                <w:rFonts w:ascii="Calibri" w:hAnsi="Calibri" w:cs="Calibri"/>
                <w:b/>
                <w:bCs/>
                <w:color w:val="000000"/>
                <w:sz w:val="16"/>
                <w:szCs w:val="16"/>
              </w:rPr>
            </w:pPr>
            <w:r w:rsidRPr="00411555">
              <w:rPr>
                <w:rFonts w:ascii="Calibri" w:hAnsi="Calibri" w:cs="Calibri"/>
                <w:b/>
                <w:bCs/>
                <w:color w:val="000000"/>
                <w:sz w:val="16"/>
                <w:szCs w:val="16"/>
              </w:rPr>
              <w:t>PESSOAL</w:t>
            </w:r>
          </w:p>
        </w:tc>
        <w:tc>
          <w:tcPr>
            <w:tcW w:w="767" w:type="pct"/>
            <w:tcBorders>
              <w:top w:val="nil"/>
              <w:left w:val="nil"/>
              <w:bottom w:val="single" w:sz="8" w:space="0" w:color="auto"/>
              <w:right w:val="nil"/>
            </w:tcBorders>
            <w:shd w:val="clear" w:color="auto" w:fill="auto"/>
            <w:vAlign w:val="center"/>
            <w:hideMark/>
          </w:tcPr>
          <w:p w14:paraId="4DF08F26" w14:textId="77777777" w:rsidR="006F322E" w:rsidRPr="00411555" w:rsidRDefault="006F322E" w:rsidP="00937ED9">
            <w:pPr>
              <w:spacing w:after="120"/>
              <w:jc w:val="right"/>
              <w:rPr>
                <w:rFonts w:ascii="Calibri" w:hAnsi="Calibri" w:cs="Calibri"/>
                <w:b/>
                <w:bCs/>
                <w:color w:val="000000"/>
                <w:sz w:val="16"/>
                <w:szCs w:val="16"/>
              </w:rPr>
            </w:pPr>
            <w:r w:rsidRPr="00411555">
              <w:rPr>
                <w:rFonts w:ascii="Calibri" w:hAnsi="Calibri" w:cs="Calibri"/>
                <w:b/>
                <w:bCs/>
                <w:color w:val="000000"/>
                <w:sz w:val="16"/>
                <w:szCs w:val="16"/>
              </w:rPr>
              <w:t>CUSTEIO</w:t>
            </w:r>
          </w:p>
        </w:tc>
        <w:tc>
          <w:tcPr>
            <w:tcW w:w="983" w:type="pct"/>
            <w:tcBorders>
              <w:top w:val="nil"/>
              <w:left w:val="nil"/>
              <w:bottom w:val="single" w:sz="8" w:space="0" w:color="auto"/>
              <w:right w:val="nil"/>
            </w:tcBorders>
            <w:shd w:val="clear" w:color="auto" w:fill="auto"/>
            <w:vAlign w:val="center"/>
            <w:hideMark/>
          </w:tcPr>
          <w:p w14:paraId="20B07761" w14:textId="3CE0432D" w:rsidR="006F322E" w:rsidRPr="00411555" w:rsidRDefault="006F322E" w:rsidP="00937ED9">
            <w:pPr>
              <w:spacing w:after="120"/>
              <w:jc w:val="right"/>
              <w:rPr>
                <w:rFonts w:ascii="Calibri" w:hAnsi="Calibri" w:cs="Calibri"/>
                <w:b/>
                <w:bCs/>
                <w:color w:val="000000"/>
                <w:sz w:val="16"/>
                <w:szCs w:val="16"/>
              </w:rPr>
            </w:pPr>
            <w:r w:rsidRPr="00411555">
              <w:rPr>
                <w:rFonts w:ascii="Calibri" w:hAnsi="Calibri" w:cs="Calibri"/>
                <w:b/>
                <w:bCs/>
                <w:color w:val="000000"/>
                <w:sz w:val="16"/>
                <w:szCs w:val="16"/>
              </w:rPr>
              <w:t>3</w:t>
            </w:r>
            <w:r w:rsidR="00677F53">
              <w:rPr>
                <w:rFonts w:ascii="Calibri" w:hAnsi="Calibri" w:cs="Calibri"/>
                <w:b/>
                <w:bCs/>
                <w:color w:val="000000"/>
                <w:sz w:val="16"/>
                <w:szCs w:val="16"/>
              </w:rPr>
              <w:t>0</w:t>
            </w:r>
            <w:r w:rsidRPr="00411555">
              <w:rPr>
                <w:rFonts w:ascii="Calibri" w:hAnsi="Calibri" w:cs="Calibri"/>
                <w:b/>
                <w:bCs/>
                <w:color w:val="000000"/>
                <w:sz w:val="16"/>
                <w:szCs w:val="16"/>
              </w:rPr>
              <w:t>/</w:t>
            </w:r>
            <w:r w:rsidR="00BD5174">
              <w:rPr>
                <w:rFonts w:ascii="Calibri" w:hAnsi="Calibri" w:cs="Calibri"/>
                <w:b/>
                <w:bCs/>
                <w:color w:val="000000"/>
                <w:sz w:val="16"/>
                <w:szCs w:val="16"/>
              </w:rPr>
              <w:t>0</w:t>
            </w:r>
            <w:r w:rsidR="00677F53">
              <w:rPr>
                <w:rFonts w:ascii="Calibri" w:hAnsi="Calibri" w:cs="Calibri"/>
                <w:b/>
                <w:bCs/>
                <w:color w:val="000000"/>
                <w:sz w:val="16"/>
                <w:szCs w:val="16"/>
              </w:rPr>
              <w:t>6</w:t>
            </w:r>
            <w:r w:rsidRPr="00411555">
              <w:rPr>
                <w:rFonts w:ascii="Calibri" w:hAnsi="Calibri" w:cs="Calibri"/>
                <w:b/>
                <w:bCs/>
                <w:color w:val="000000"/>
                <w:sz w:val="16"/>
                <w:szCs w:val="16"/>
              </w:rPr>
              <w:t>/202</w:t>
            </w:r>
            <w:r w:rsidR="00BD5174">
              <w:rPr>
                <w:rFonts w:ascii="Calibri" w:hAnsi="Calibri" w:cs="Calibri"/>
                <w:b/>
                <w:bCs/>
                <w:color w:val="000000"/>
                <w:sz w:val="16"/>
                <w:szCs w:val="16"/>
              </w:rPr>
              <w:t>2</w:t>
            </w:r>
          </w:p>
        </w:tc>
        <w:tc>
          <w:tcPr>
            <w:tcW w:w="949" w:type="pct"/>
            <w:tcBorders>
              <w:top w:val="nil"/>
              <w:left w:val="nil"/>
              <w:bottom w:val="single" w:sz="8" w:space="0" w:color="auto"/>
              <w:right w:val="nil"/>
            </w:tcBorders>
            <w:shd w:val="clear" w:color="auto" w:fill="auto"/>
            <w:vAlign w:val="center"/>
            <w:hideMark/>
          </w:tcPr>
          <w:p w14:paraId="2CE07E29" w14:textId="06C9D2EE" w:rsidR="006F322E" w:rsidRPr="00411555" w:rsidRDefault="006F322E" w:rsidP="00937ED9">
            <w:pPr>
              <w:spacing w:after="120"/>
              <w:jc w:val="right"/>
              <w:rPr>
                <w:rFonts w:ascii="Calibri" w:hAnsi="Calibri" w:cs="Calibri"/>
                <w:b/>
                <w:bCs/>
                <w:color w:val="000000"/>
                <w:sz w:val="16"/>
                <w:szCs w:val="16"/>
              </w:rPr>
            </w:pPr>
            <w:r w:rsidRPr="00411555">
              <w:rPr>
                <w:rFonts w:ascii="Calibri" w:hAnsi="Calibri" w:cs="Calibri"/>
                <w:b/>
                <w:bCs/>
                <w:color w:val="000000"/>
                <w:sz w:val="16"/>
                <w:szCs w:val="16"/>
              </w:rPr>
              <w:t>3</w:t>
            </w:r>
            <w:r w:rsidR="00677F53">
              <w:rPr>
                <w:rFonts w:ascii="Calibri" w:hAnsi="Calibri" w:cs="Calibri"/>
                <w:b/>
                <w:bCs/>
                <w:color w:val="000000"/>
                <w:sz w:val="16"/>
                <w:szCs w:val="16"/>
              </w:rPr>
              <w:t>0</w:t>
            </w:r>
            <w:r w:rsidRPr="00411555">
              <w:rPr>
                <w:rFonts w:ascii="Calibri" w:hAnsi="Calibri" w:cs="Calibri"/>
                <w:b/>
                <w:bCs/>
                <w:color w:val="000000"/>
                <w:sz w:val="16"/>
                <w:szCs w:val="16"/>
              </w:rPr>
              <w:t>/</w:t>
            </w:r>
            <w:r w:rsidR="00BD5174">
              <w:rPr>
                <w:rFonts w:ascii="Calibri" w:hAnsi="Calibri" w:cs="Calibri"/>
                <w:b/>
                <w:bCs/>
                <w:color w:val="000000"/>
                <w:sz w:val="16"/>
                <w:szCs w:val="16"/>
              </w:rPr>
              <w:t>0</w:t>
            </w:r>
            <w:r w:rsidR="00677F53">
              <w:rPr>
                <w:rFonts w:ascii="Calibri" w:hAnsi="Calibri" w:cs="Calibri"/>
                <w:b/>
                <w:bCs/>
                <w:color w:val="000000"/>
                <w:sz w:val="16"/>
                <w:szCs w:val="16"/>
              </w:rPr>
              <w:t>6</w:t>
            </w:r>
            <w:r w:rsidR="000A524B" w:rsidRPr="00411555">
              <w:rPr>
                <w:rFonts w:ascii="Calibri" w:hAnsi="Calibri" w:cs="Calibri"/>
                <w:b/>
                <w:bCs/>
                <w:color w:val="000000"/>
                <w:sz w:val="16"/>
                <w:szCs w:val="16"/>
              </w:rPr>
              <w:t>/</w:t>
            </w:r>
            <w:r w:rsidRPr="00411555">
              <w:rPr>
                <w:rFonts w:ascii="Calibri" w:hAnsi="Calibri" w:cs="Calibri"/>
                <w:b/>
                <w:bCs/>
                <w:color w:val="000000"/>
                <w:sz w:val="16"/>
                <w:szCs w:val="16"/>
              </w:rPr>
              <w:t>202</w:t>
            </w:r>
            <w:r w:rsidR="00BD5174">
              <w:rPr>
                <w:rFonts w:ascii="Calibri" w:hAnsi="Calibri" w:cs="Calibri"/>
                <w:b/>
                <w:bCs/>
                <w:color w:val="000000"/>
                <w:sz w:val="16"/>
                <w:szCs w:val="16"/>
              </w:rPr>
              <w:t>1</w:t>
            </w:r>
          </w:p>
        </w:tc>
      </w:tr>
      <w:tr w:rsidR="00BD5174" w:rsidRPr="00411555" w14:paraId="0658F956" w14:textId="77777777" w:rsidTr="00BD5174">
        <w:trPr>
          <w:trHeight w:hRule="exact" w:val="227"/>
        </w:trPr>
        <w:tc>
          <w:tcPr>
            <w:tcW w:w="767" w:type="pct"/>
            <w:tcBorders>
              <w:top w:val="nil"/>
              <w:left w:val="nil"/>
              <w:bottom w:val="nil"/>
              <w:right w:val="nil"/>
            </w:tcBorders>
            <w:shd w:val="clear" w:color="auto" w:fill="auto"/>
            <w:vAlign w:val="center"/>
            <w:hideMark/>
          </w:tcPr>
          <w:p w14:paraId="3AA53928" w14:textId="77777777" w:rsidR="00BD5174" w:rsidRPr="00411555" w:rsidRDefault="00BD5174" w:rsidP="00BD5174">
            <w:pPr>
              <w:spacing w:after="120"/>
              <w:jc w:val="both"/>
              <w:rPr>
                <w:rFonts w:ascii="Calibri" w:hAnsi="Calibri" w:cs="Calibri"/>
                <w:color w:val="000000"/>
                <w:sz w:val="16"/>
                <w:szCs w:val="16"/>
              </w:rPr>
            </w:pPr>
            <w:r w:rsidRPr="00411555">
              <w:rPr>
                <w:rFonts w:ascii="Calibri" w:hAnsi="Calibri" w:cs="Calibri"/>
                <w:color w:val="000000"/>
                <w:sz w:val="16"/>
                <w:szCs w:val="16"/>
              </w:rPr>
              <w:t>VALEC</w:t>
            </w:r>
          </w:p>
        </w:tc>
        <w:tc>
          <w:tcPr>
            <w:tcW w:w="767" w:type="pct"/>
            <w:tcBorders>
              <w:top w:val="nil"/>
              <w:left w:val="nil"/>
              <w:bottom w:val="nil"/>
              <w:right w:val="nil"/>
            </w:tcBorders>
            <w:shd w:val="clear" w:color="auto" w:fill="auto"/>
            <w:vAlign w:val="center"/>
            <w:hideMark/>
          </w:tcPr>
          <w:p w14:paraId="6F8E7B9C" w14:textId="77777777" w:rsidR="00BD5174" w:rsidRPr="00411555" w:rsidRDefault="00BD5174" w:rsidP="00BD5174">
            <w:pPr>
              <w:spacing w:after="120"/>
              <w:jc w:val="both"/>
              <w:rPr>
                <w:rFonts w:ascii="Calibri" w:hAnsi="Calibri" w:cs="Calibri"/>
                <w:color w:val="000000"/>
                <w:sz w:val="16"/>
                <w:szCs w:val="16"/>
              </w:rPr>
            </w:pPr>
          </w:p>
        </w:tc>
        <w:tc>
          <w:tcPr>
            <w:tcW w:w="767" w:type="pct"/>
            <w:tcBorders>
              <w:top w:val="nil"/>
              <w:left w:val="nil"/>
              <w:bottom w:val="nil"/>
              <w:right w:val="nil"/>
            </w:tcBorders>
            <w:shd w:val="clear" w:color="auto" w:fill="auto"/>
            <w:vAlign w:val="center"/>
            <w:hideMark/>
          </w:tcPr>
          <w:p w14:paraId="482905D5" w14:textId="73FA9AB1" w:rsidR="00BD5174" w:rsidRPr="00411555" w:rsidRDefault="00B711C9" w:rsidP="00BD5174">
            <w:pPr>
              <w:spacing w:after="120"/>
              <w:jc w:val="right"/>
              <w:rPr>
                <w:rFonts w:ascii="Calibri" w:hAnsi="Calibri" w:cs="Calibri"/>
                <w:color w:val="000000"/>
                <w:sz w:val="16"/>
                <w:szCs w:val="16"/>
              </w:rPr>
            </w:pPr>
            <w:r>
              <w:rPr>
                <w:rFonts w:ascii="Calibri" w:hAnsi="Calibri" w:cs="Calibri"/>
                <w:color w:val="000000"/>
                <w:sz w:val="16"/>
                <w:szCs w:val="16"/>
              </w:rPr>
              <w:t>52.040.365</w:t>
            </w:r>
          </w:p>
        </w:tc>
        <w:tc>
          <w:tcPr>
            <w:tcW w:w="767" w:type="pct"/>
            <w:tcBorders>
              <w:top w:val="nil"/>
              <w:left w:val="nil"/>
              <w:bottom w:val="nil"/>
              <w:right w:val="nil"/>
            </w:tcBorders>
            <w:shd w:val="clear" w:color="auto" w:fill="auto"/>
            <w:vAlign w:val="center"/>
            <w:hideMark/>
          </w:tcPr>
          <w:p w14:paraId="68D1A773" w14:textId="2FE1A25C" w:rsidR="00BD5174" w:rsidRPr="00411555" w:rsidRDefault="00B711C9" w:rsidP="00BD5174">
            <w:pPr>
              <w:spacing w:after="120"/>
              <w:jc w:val="right"/>
              <w:rPr>
                <w:rFonts w:ascii="Calibri" w:hAnsi="Calibri" w:cs="Calibri"/>
                <w:color w:val="000000"/>
                <w:sz w:val="16"/>
                <w:szCs w:val="16"/>
              </w:rPr>
            </w:pPr>
            <w:r>
              <w:rPr>
                <w:rFonts w:ascii="Calibri" w:hAnsi="Calibri" w:cs="Calibri"/>
                <w:color w:val="000000"/>
                <w:sz w:val="16"/>
                <w:szCs w:val="16"/>
              </w:rPr>
              <w:t>11.906.596</w:t>
            </w:r>
          </w:p>
        </w:tc>
        <w:tc>
          <w:tcPr>
            <w:tcW w:w="983" w:type="pct"/>
            <w:tcBorders>
              <w:top w:val="nil"/>
              <w:left w:val="nil"/>
              <w:bottom w:val="nil"/>
              <w:right w:val="nil"/>
            </w:tcBorders>
            <w:shd w:val="clear" w:color="auto" w:fill="auto"/>
            <w:vAlign w:val="center"/>
            <w:hideMark/>
          </w:tcPr>
          <w:p w14:paraId="4E11D645" w14:textId="40F8B9B0" w:rsidR="00BD5174" w:rsidRPr="00411555" w:rsidRDefault="00B711C9" w:rsidP="00BD5174">
            <w:pPr>
              <w:spacing w:after="120"/>
              <w:jc w:val="right"/>
              <w:rPr>
                <w:rFonts w:ascii="Calibri" w:hAnsi="Calibri" w:cs="Calibri"/>
                <w:color w:val="000000"/>
                <w:sz w:val="16"/>
                <w:szCs w:val="16"/>
              </w:rPr>
            </w:pPr>
            <w:r>
              <w:rPr>
                <w:rFonts w:ascii="Calibri" w:hAnsi="Calibri" w:cs="Calibri"/>
                <w:color w:val="000000"/>
                <w:sz w:val="16"/>
                <w:szCs w:val="16"/>
              </w:rPr>
              <w:t>63.946.961</w:t>
            </w:r>
          </w:p>
        </w:tc>
        <w:tc>
          <w:tcPr>
            <w:tcW w:w="949" w:type="pct"/>
            <w:tcBorders>
              <w:top w:val="nil"/>
              <w:left w:val="nil"/>
              <w:bottom w:val="nil"/>
              <w:right w:val="nil"/>
            </w:tcBorders>
            <w:shd w:val="clear" w:color="auto" w:fill="auto"/>
            <w:vAlign w:val="center"/>
            <w:hideMark/>
          </w:tcPr>
          <w:p w14:paraId="1D55F9B3" w14:textId="05E5E7FF" w:rsidR="00BD5174" w:rsidRPr="00411555" w:rsidRDefault="00677F53" w:rsidP="00BD5174">
            <w:pPr>
              <w:spacing w:after="120"/>
              <w:jc w:val="right"/>
              <w:rPr>
                <w:rFonts w:ascii="Calibri" w:hAnsi="Calibri" w:cs="Calibri"/>
                <w:color w:val="000000"/>
                <w:sz w:val="16"/>
                <w:szCs w:val="16"/>
              </w:rPr>
            </w:pPr>
            <w:r>
              <w:rPr>
                <w:rFonts w:ascii="Calibri" w:hAnsi="Calibri" w:cs="Calibri"/>
                <w:color w:val="000000"/>
                <w:sz w:val="16"/>
                <w:szCs w:val="16"/>
              </w:rPr>
              <w:t>60.685.121</w:t>
            </w:r>
          </w:p>
        </w:tc>
      </w:tr>
      <w:tr w:rsidR="00BD5174" w:rsidRPr="00411555" w14:paraId="1A1FDB00" w14:textId="77777777" w:rsidTr="00BD5174">
        <w:trPr>
          <w:trHeight w:hRule="exact" w:val="227"/>
        </w:trPr>
        <w:tc>
          <w:tcPr>
            <w:tcW w:w="767" w:type="pct"/>
            <w:tcBorders>
              <w:top w:val="nil"/>
              <w:left w:val="nil"/>
              <w:bottom w:val="nil"/>
              <w:right w:val="nil"/>
            </w:tcBorders>
            <w:shd w:val="clear" w:color="auto" w:fill="auto"/>
            <w:vAlign w:val="center"/>
            <w:hideMark/>
          </w:tcPr>
          <w:p w14:paraId="1E61F94A" w14:textId="77777777" w:rsidR="00BD5174" w:rsidRPr="00411555" w:rsidRDefault="00BD5174" w:rsidP="00BD5174">
            <w:pPr>
              <w:spacing w:after="120"/>
              <w:jc w:val="both"/>
              <w:rPr>
                <w:rFonts w:ascii="Calibri" w:hAnsi="Calibri" w:cs="Calibri"/>
                <w:color w:val="000000"/>
                <w:sz w:val="16"/>
                <w:szCs w:val="16"/>
              </w:rPr>
            </w:pPr>
            <w:r w:rsidRPr="00411555">
              <w:rPr>
                <w:rFonts w:ascii="Calibri" w:hAnsi="Calibri" w:cs="Calibri"/>
                <w:color w:val="000000"/>
                <w:sz w:val="16"/>
                <w:szCs w:val="16"/>
              </w:rPr>
              <w:t>Extinta RFFSA</w:t>
            </w:r>
          </w:p>
        </w:tc>
        <w:tc>
          <w:tcPr>
            <w:tcW w:w="767" w:type="pct"/>
            <w:tcBorders>
              <w:top w:val="nil"/>
              <w:left w:val="nil"/>
              <w:bottom w:val="nil"/>
              <w:right w:val="nil"/>
            </w:tcBorders>
            <w:shd w:val="clear" w:color="auto" w:fill="auto"/>
            <w:vAlign w:val="center"/>
            <w:hideMark/>
          </w:tcPr>
          <w:p w14:paraId="2FA54355" w14:textId="77777777" w:rsidR="00BD5174" w:rsidRPr="00411555" w:rsidRDefault="00BD5174" w:rsidP="00BD5174">
            <w:pPr>
              <w:spacing w:after="120"/>
              <w:jc w:val="both"/>
              <w:rPr>
                <w:rFonts w:ascii="Calibri" w:hAnsi="Calibri" w:cs="Calibri"/>
                <w:color w:val="000000"/>
                <w:sz w:val="16"/>
                <w:szCs w:val="16"/>
              </w:rPr>
            </w:pPr>
          </w:p>
        </w:tc>
        <w:tc>
          <w:tcPr>
            <w:tcW w:w="767" w:type="pct"/>
            <w:tcBorders>
              <w:top w:val="nil"/>
              <w:left w:val="nil"/>
              <w:bottom w:val="nil"/>
              <w:right w:val="nil"/>
            </w:tcBorders>
            <w:shd w:val="clear" w:color="auto" w:fill="auto"/>
            <w:vAlign w:val="center"/>
            <w:hideMark/>
          </w:tcPr>
          <w:p w14:paraId="7214D73D" w14:textId="361AE148" w:rsidR="00BD5174" w:rsidRPr="00411555" w:rsidRDefault="00B711C9" w:rsidP="00BD5174">
            <w:pPr>
              <w:spacing w:after="120"/>
              <w:jc w:val="right"/>
              <w:rPr>
                <w:rFonts w:ascii="Calibri" w:hAnsi="Calibri" w:cs="Calibri"/>
                <w:color w:val="000000"/>
                <w:sz w:val="16"/>
                <w:szCs w:val="16"/>
              </w:rPr>
            </w:pPr>
            <w:r>
              <w:rPr>
                <w:rFonts w:ascii="Calibri" w:hAnsi="Calibri" w:cs="Calibri"/>
                <w:color w:val="000000"/>
                <w:sz w:val="16"/>
                <w:szCs w:val="16"/>
              </w:rPr>
              <w:t>8.369.911</w:t>
            </w:r>
          </w:p>
        </w:tc>
        <w:tc>
          <w:tcPr>
            <w:tcW w:w="767" w:type="pct"/>
            <w:tcBorders>
              <w:top w:val="nil"/>
              <w:left w:val="nil"/>
              <w:bottom w:val="nil"/>
              <w:right w:val="nil"/>
            </w:tcBorders>
            <w:shd w:val="clear" w:color="auto" w:fill="auto"/>
            <w:vAlign w:val="center"/>
            <w:hideMark/>
          </w:tcPr>
          <w:p w14:paraId="24922451" w14:textId="7E214F31" w:rsidR="00BD5174" w:rsidRPr="00411555" w:rsidRDefault="00B711C9" w:rsidP="00BD5174">
            <w:pPr>
              <w:spacing w:after="120"/>
              <w:jc w:val="right"/>
              <w:rPr>
                <w:rFonts w:ascii="Calibri" w:hAnsi="Calibri" w:cs="Calibri"/>
                <w:color w:val="000000"/>
                <w:sz w:val="16"/>
                <w:szCs w:val="16"/>
              </w:rPr>
            </w:pPr>
            <w:r>
              <w:rPr>
                <w:rFonts w:ascii="Calibri" w:hAnsi="Calibri" w:cs="Calibri"/>
                <w:color w:val="000000"/>
                <w:sz w:val="16"/>
                <w:szCs w:val="16"/>
              </w:rPr>
              <w:t>644.990</w:t>
            </w:r>
          </w:p>
        </w:tc>
        <w:tc>
          <w:tcPr>
            <w:tcW w:w="983" w:type="pct"/>
            <w:tcBorders>
              <w:top w:val="nil"/>
              <w:left w:val="nil"/>
              <w:bottom w:val="nil"/>
              <w:right w:val="nil"/>
            </w:tcBorders>
            <w:shd w:val="clear" w:color="auto" w:fill="auto"/>
            <w:vAlign w:val="center"/>
            <w:hideMark/>
          </w:tcPr>
          <w:p w14:paraId="1587F34C" w14:textId="1CBAACE0" w:rsidR="00BD5174" w:rsidRPr="00411555" w:rsidRDefault="00B711C9" w:rsidP="00BD5174">
            <w:pPr>
              <w:spacing w:after="120"/>
              <w:jc w:val="right"/>
              <w:rPr>
                <w:rFonts w:ascii="Calibri" w:hAnsi="Calibri" w:cs="Calibri"/>
                <w:color w:val="000000"/>
                <w:sz w:val="16"/>
                <w:szCs w:val="16"/>
              </w:rPr>
            </w:pPr>
            <w:r>
              <w:rPr>
                <w:rFonts w:ascii="Calibri" w:hAnsi="Calibri" w:cs="Calibri"/>
                <w:color w:val="000000"/>
                <w:sz w:val="16"/>
                <w:szCs w:val="16"/>
              </w:rPr>
              <w:t>9.014.901</w:t>
            </w:r>
          </w:p>
        </w:tc>
        <w:tc>
          <w:tcPr>
            <w:tcW w:w="949" w:type="pct"/>
            <w:tcBorders>
              <w:top w:val="nil"/>
              <w:left w:val="nil"/>
              <w:bottom w:val="nil"/>
              <w:right w:val="nil"/>
            </w:tcBorders>
            <w:shd w:val="clear" w:color="auto" w:fill="auto"/>
            <w:vAlign w:val="center"/>
            <w:hideMark/>
          </w:tcPr>
          <w:p w14:paraId="1B8D631C" w14:textId="193F8212" w:rsidR="00BD5174" w:rsidRPr="00411555" w:rsidRDefault="00677F53" w:rsidP="00BD5174">
            <w:pPr>
              <w:spacing w:after="120"/>
              <w:jc w:val="right"/>
              <w:rPr>
                <w:rFonts w:ascii="Calibri" w:hAnsi="Calibri" w:cs="Calibri"/>
                <w:color w:val="000000"/>
                <w:sz w:val="16"/>
                <w:szCs w:val="16"/>
              </w:rPr>
            </w:pPr>
            <w:r>
              <w:rPr>
                <w:rFonts w:ascii="Calibri" w:hAnsi="Calibri" w:cs="Calibri"/>
                <w:color w:val="000000"/>
                <w:sz w:val="16"/>
                <w:szCs w:val="16"/>
              </w:rPr>
              <w:t>12.263.894</w:t>
            </w:r>
          </w:p>
        </w:tc>
      </w:tr>
      <w:tr w:rsidR="00BD5174" w:rsidRPr="00411555" w14:paraId="494BA4B7" w14:textId="77777777" w:rsidTr="00BD5174">
        <w:trPr>
          <w:trHeight w:hRule="exact" w:val="227"/>
        </w:trPr>
        <w:tc>
          <w:tcPr>
            <w:tcW w:w="767" w:type="pct"/>
            <w:tcBorders>
              <w:top w:val="nil"/>
              <w:left w:val="nil"/>
              <w:bottom w:val="single" w:sz="8" w:space="0" w:color="auto"/>
              <w:right w:val="nil"/>
            </w:tcBorders>
            <w:shd w:val="clear" w:color="auto" w:fill="auto"/>
            <w:vAlign w:val="center"/>
            <w:hideMark/>
          </w:tcPr>
          <w:p w14:paraId="532160D2" w14:textId="77777777" w:rsidR="00BD5174" w:rsidRPr="00411555" w:rsidRDefault="00BD5174" w:rsidP="00BD5174">
            <w:pPr>
              <w:spacing w:after="120"/>
              <w:jc w:val="both"/>
              <w:rPr>
                <w:rFonts w:ascii="Calibri" w:hAnsi="Calibri" w:cs="Calibri"/>
                <w:color w:val="000000"/>
                <w:sz w:val="16"/>
                <w:szCs w:val="16"/>
              </w:rPr>
            </w:pPr>
            <w:r w:rsidRPr="00411555">
              <w:rPr>
                <w:rFonts w:ascii="Calibri" w:hAnsi="Calibri" w:cs="Calibri"/>
                <w:color w:val="000000"/>
                <w:sz w:val="16"/>
                <w:szCs w:val="16"/>
              </w:rPr>
              <w:t>Extinto GEIPOT</w:t>
            </w:r>
          </w:p>
        </w:tc>
        <w:tc>
          <w:tcPr>
            <w:tcW w:w="767" w:type="pct"/>
            <w:tcBorders>
              <w:top w:val="nil"/>
              <w:left w:val="nil"/>
              <w:bottom w:val="single" w:sz="8" w:space="0" w:color="auto"/>
              <w:right w:val="nil"/>
            </w:tcBorders>
            <w:shd w:val="clear" w:color="auto" w:fill="auto"/>
            <w:vAlign w:val="center"/>
            <w:hideMark/>
          </w:tcPr>
          <w:p w14:paraId="428C3F9E" w14:textId="77777777" w:rsidR="00BD5174" w:rsidRPr="00411555" w:rsidRDefault="00BD5174" w:rsidP="00BD5174">
            <w:pPr>
              <w:spacing w:after="120"/>
              <w:jc w:val="right"/>
              <w:rPr>
                <w:rFonts w:ascii="Calibri" w:hAnsi="Calibri" w:cs="Calibri"/>
                <w:color w:val="000000"/>
                <w:sz w:val="16"/>
                <w:szCs w:val="16"/>
              </w:rPr>
            </w:pPr>
            <w:r w:rsidRPr="00411555">
              <w:rPr>
                <w:rFonts w:ascii="Calibri" w:hAnsi="Calibri" w:cs="Calibri"/>
                <w:color w:val="000000"/>
                <w:sz w:val="16"/>
                <w:szCs w:val="16"/>
              </w:rPr>
              <w:t> </w:t>
            </w:r>
          </w:p>
        </w:tc>
        <w:tc>
          <w:tcPr>
            <w:tcW w:w="767" w:type="pct"/>
            <w:tcBorders>
              <w:top w:val="nil"/>
              <w:left w:val="nil"/>
              <w:bottom w:val="single" w:sz="8" w:space="0" w:color="auto"/>
              <w:right w:val="nil"/>
            </w:tcBorders>
            <w:shd w:val="clear" w:color="auto" w:fill="auto"/>
            <w:vAlign w:val="center"/>
            <w:hideMark/>
          </w:tcPr>
          <w:p w14:paraId="19715662" w14:textId="442DAE38" w:rsidR="00BD5174" w:rsidRPr="00411555" w:rsidRDefault="00B711C9" w:rsidP="00BD5174">
            <w:pPr>
              <w:spacing w:after="120"/>
              <w:jc w:val="right"/>
              <w:rPr>
                <w:rFonts w:ascii="Calibri" w:hAnsi="Calibri" w:cs="Calibri"/>
                <w:color w:val="000000"/>
                <w:sz w:val="16"/>
                <w:szCs w:val="16"/>
              </w:rPr>
            </w:pPr>
            <w:r>
              <w:rPr>
                <w:rFonts w:ascii="Calibri" w:hAnsi="Calibri" w:cs="Calibri"/>
                <w:color w:val="000000"/>
                <w:sz w:val="16"/>
                <w:szCs w:val="16"/>
              </w:rPr>
              <w:t>1.905.374</w:t>
            </w:r>
          </w:p>
        </w:tc>
        <w:tc>
          <w:tcPr>
            <w:tcW w:w="767" w:type="pct"/>
            <w:tcBorders>
              <w:top w:val="nil"/>
              <w:left w:val="nil"/>
              <w:bottom w:val="single" w:sz="8" w:space="0" w:color="auto"/>
              <w:right w:val="nil"/>
            </w:tcBorders>
            <w:shd w:val="clear" w:color="auto" w:fill="auto"/>
            <w:vAlign w:val="center"/>
            <w:hideMark/>
          </w:tcPr>
          <w:p w14:paraId="2C0BBA1B" w14:textId="75E527FA" w:rsidR="00BD5174" w:rsidRPr="00411555" w:rsidRDefault="00B711C9" w:rsidP="00BD5174">
            <w:pPr>
              <w:spacing w:after="120"/>
              <w:jc w:val="right"/>
              <w:rPr>
                <w:rFonts w:ascii="Calibri" w:hAnsi="Calibri" w:cs="Calibri"/>
                <w:color w:val="000000"/>
                <w:sz w:val="16"/>
                <w:szCs w:val="16"/>
              </w:rPr>
            </w:pPr>
            <w:r>
              <w:rPr>
                <w:rFonts w:ascii="Calibri" w:hAnsi="Calibri" w:cs="Calibri"/>
                <w:color w:val="000000"/>
                <w:sz w:val="16"/>
                <w:szCs w:val="16"/>
              </w:rPr>
              <w:t>127.971</w:t>
            </w:r>
          </w:p>
        </w:tc>
        <w:tc>
          <w:tcPr>
            <w:tcW w:w="983" w:type="pct"/>
            <w:tcBorders>
              <w:top w:val="nil"/>
              <w:left w:val="nil"/>
              <w:bottom w:val="single" w:sz="8" w:space="0" w:color="auto"/>
              <w:right w:val="nil"/>
            </w:tcBorders>
            <w:shd w:val="clear" w:color="auto" w:fill="auto"/>
            <w:vAlign w:val="center"/>
            <w:hideMark/>
          </w:tcPr>
          <w:p w14:paraId="58EF62BE" w14:textId="684E5761" w:rsidR="00BD5174" w:rsidRPr="00411555" w:rsidRDefault="00B711C9" w:rsidP="00BD5174">
            <w:pPr>
              <w:spacing w:after="120"/>
              <w:jc w:val="right"/>
              <w:rPr>
                <w:rFonts w:ascii="Calibri" w:hAnsi="Calibri" w:cs="Calibri"/>
                <w:color w:val="000000"/>
                <w:sz w:val="16"/>
                <w:szCs w:val="16"/>
              </w:rPr>
            </w:pPr>
            <w:r>
              <w:rPr>
                <w:rFonts w:ascii="Calibri" w:hAnsi="Calibri" w:cs="Calibri"/>
                <w:color w:val="000000"/>
                <w:sz w:val="16"/>
                <w:szCs w:val="16"/>
              </w:rPr>
              <w:t>2.033.345</w:t>
            </w:r>
          </w:p>
        </w:tc>
        <w:tc>
          <w:tcPr>
            <w:tcW w:w="949" w:type="pct"/>
            <w:tcBorders>
              <w:top w:val="nil"/>
              <w:left w:val="nil"/>
              <w:bottom w:val="single" w:sz="8" w:space="0" w:color="auto"/>
              <w:right w:val="nil"/>
            </w:tcBorders>
            <w:shd w:val="clear" w:color="auto" w:fill="auto"/>
            <w:vAlign w:val="center"/>
            <w:hideMark/>
          </w:tcPr>
          <w:p w14:paraId="72ABF10E" w14:textId="216C3593" w:rsidR="00BD5174" w:rsidRPr="00411555" w:rsidRDefault="00677F53" w:rsidP="00BD5174">
            <w:pPr>
              <w:spacing w:after="120"/>
              <w:jc w:val="right"/>
              <w:rPr>
                <w:rFonts w:ascii="Calibri" w:hAnsi="Calibri" w:cs="Calibri"/>
                <w:color w:val="000000"/>
                <w:sz w:val="16"/>
                <w:szCs w:val="16"/>
              </w:rPr>
            </w:pPr>
            <w:r>
              <w:rPr>
                <w:rFonts w:ascii="Calibri" w:hAnsi="Calibri" w:cs="Calibri"/>
                <w:color w:val="000000"/>
                <w:sz w:val="16"/>
                <w:szCs w:val="16"/>
              </w:rPr>
              <w:t>2.892.174</w:t>
            </w:r>
          </w:p>
        </w:tc>
      </w:tr>
      <w:tr w:rsidR="006F322E" w:rsidRPr="00411555" w14:paraId="6C247AEB" w14:textId="77777777" w:rsidTr="00BD5174">
        <w:trPr>
          <w:trHeight w:hRule="exact" w:val="227"/>
        </w:trPr>
        <w:tc>
          <w:tcPr>
            <w:tcW w:w="767" w:type="pct"/>
            <w:tcBorders>
              <w:top w:val="nil"/>
              <w:left w:val="nil"/>
              <w:bottom w:val="single" w:sz="8" w:space="0" w:color="auto"/>
              <w:right w:val="nil"/>
            </w:tcBorders>
            <w:shd w:val="clear" w:color="auto" w:fill="auto"/>
            <w:vAlign w:val="center"/>
            <w:hideMark/>
          </w:tcPr>
          <w:p w14:paraId="75FAD96B" w14:textId="77777777" w:rsidR="006F322E" w:rsidRPr="00411555" w:rsidRDefault="006F322E" w:rsidP="00937ED9">
            <w:pPr>
              <w:spacing w:after="120"/>
              <w:jc w:val="both"/>
              <w:rPr>
                <w:rFonts w:ascii="Calibri" w:hAnsi="Calibri" w:cs="Calibri"/>
                <w:b/>
                <w:bCs/>
                <w:color w:val="000000"/>
                <w:sz w:val="16"/>
                <w:szCs w:val="16"/>
              </w:rPr>
            </w:pPr>
            <w:r w:rsidRPr="00411555">
              <w:rPr>
                <w:rFonts w:ascii="Calibri" w:hAnsi="Calibri" w:cs="Calibri"/>
                <w:b/>
                <w:bCs/>
                <w:color w:val="000000"/>
                <w:sz w:val="16"/>
                <w:szCs w:val="16"/>
              </w:rPr>
              <w:t>Total Geral</w:t>
            </w:r>
          </w:p>
        </w:tc>
        <w:tc>
          <w:tcPr>
            <w:tcW w:w="767" w:type="pct"/>
            <w:tcBorders>
              <w:top w:val="nil"/>
              <w:left w:val="nil"/>
              <w:bottom w:val="single" w:sz="8" w:space="0" w:color="auto"/>
              <w:right w:val="nil"/>
            </w:tcBorders>
            <w:shd w:val="clear" w:color="auto" w:fill="auto"/>
            <w:vAlign w:val="center"/>
            <w:hideMark/>
          </w:tcPr>
          <w:p w14:paraId="3373CF04" w14:textId="77777777" w:rsidR="006F322E" w:rsidRPr="00411555" w:rsidRDefault="006F322E" w:rsidP="00937ED9">
            <w:pPr>
              <w:spacing w:after="120"/>
              <w:jc w:val="right"/>
              <w:rPr>
                <w:rFonts w:ascii="Calibri" w:hAnsi="Calibri" w:cs="Calibri"/>
                <w:b/>
                <w:bCs/>
                <w:color w:val="000000"/>
                <w:sz w:val="16"/>
                <w:szCs w:val="16"/>
              </w:rPr>
            </w:pPr>
            <w:r w:rsidRPr="00411555">
              <w:rPr>
                <w:rFonts w:ascii="Calibri" w:hAnsi="Calibri" w:cs="Calibri"/>
                <w:b/>
                <w:bCs/>
                <w:color w:val="000000"/>
                <w:sz w:val="16"/>
                <w:szCs w:val="16"/>
              </w:rPr>
              <w:t> </w:t>
            </w:r>
          </w:p>
        </w:tc>
        <w:tc>
          <w:tcPr>
            <w:tcW w:w="767" w:type="pct"/>
            <w:tcBorders>
              <w:top w:val="nil"/>
              <w:left w:val="nil"/>
              <w:bottom w:val="single" w:sz="8" w:space="0" w:color="auto"/>
              <w:right w:val="nil"/>
            </w:tcBorders>
            <w:shd w:val="clear" w:color="auto" w:fill="auto"/>
            <w:vAlign w:val="center"/>
            <w:hideMark/>
          </w:tcPr>
          <w:p w14:paraId="7CD98AB7" w14:textId="14060492" w:rsidR="006F322E" w:rsidRPr="00411555" w:rsidRDefault="00B711C9" w:rsidP="00937ED9">
            <w:pPr>
              <w:spacing w:after="120"/>
              <w:jc w:val="right"/>
              <w:rPr>
                <w:rFonts w:ascii="Calibri" w:hAnsi="Calibri" w:cs="Calibri"/>
                <w:b/>
                <w:bCs/>
                <w:color w:val="000000"/>
                <w:sz w:val="16"/>
                <w:szCs w:val="16"/>
              </w:rPr>
            </w:pPr>
            <w:r>
              <w:rPr>
                <w:rFonts w:ascii="Calibri" w:hAnsi="Calibri" w:cs="Calibri"/>
                <w:b/>
                <w:bCs/>
                <w:color w:val="000000"/>
                <w:sz w:val="16"/>
                <w:szCs w:val="16"/>
              </w:rPr>
              <w:t>62.315.650</w:t>
            </w:r>
          </w:p>
        </w:tc>
        <w:tc>
          <w:tcPr>
            <w:tcW w:w="767" w:type="pct"/>
            <w:tcBorders>
              <w:top w:val="nil"/>
              <w:left w:val="nil"/>
              <w:bottom w:val="single" w:sz="8" w:space="0" w:color="auto"/>
              <w:right w:val="nil"/>
            </w:tcBorders>
            <w:shd w:val="clear" w:color="auto" w:fill="auto"/>
            <w:vAlign w:val="center"/>
            <w:hideMark/>
          </w:tcPr>
          <w:p w14:paraId="40AB8C83" w14:textId="6D162896" w:rsidR="006F322E" w:rsidRPr="00411555" w:rsidRDefault="00B711C9" w:rsidP="00937ED9">
            <w:pPr>
              <w:spacing w:after="120"/>
              <w:jc w:val="right"/>
              <w:rPr>
                <w:rFonts w:ascii="Calibri" w:hAnsi="Calibri" w:cs="Calibri"/>
                <w:b/>
                <w:bCs/>
                <w:color w:val="000000"/>
                <w:sz w:val="16"/>
                <w:szCs w:val="16"/>
              </w:rPr>
            </w:pPr>
            <w:r>
              <w:rPr>
                <w:rFonts w:ascii="Calibri" w:hAnsi="Calibri" w:cs="Calibri"/>
                <w:b/>
                <w:bCs/>
                <w:color w:val="000000"/>
                <w:sz w:val="16"/>
                <w:szCs w:val="16"/>
              </w:rPr>
              <w:t>12.679.557</w:t>
            </w:r>
          </w:p>
        </w:tc>
        <w:tc>
          <w:tcPr>
            <w:tcW w:w="983" w:type="pct"/>
            <w:tcBorders>
              <w:top w:val="nil"/>
              <w:left w:val="nil"/>
              <w:bottom w:val="single" w:sz="8" w:space="0" w:color="auto"/>
              <w:right w:val="nil"/>
            </w:tcBorders>
            <w:shd w:val="clear" w:color="auto" w:fill="auto"/>
            <w:vAlign w:val="center"/>
            <w:hideMark/>
          </w:tcPr>
          <w:p w14:paraId="103A4526" w14:textId="5C8B9347" w:rsidR="006F322E" w:rsidRPr="00411555" w:rsidRDefault="00B711C9" w:rsidP="00937ED9">
            <w:pPr>
              <w:spacing w:after="120"/>
              <w:jc w:val="right"/>
              <w:rPr>
                <w:rFonts w:ascii="Calibri" w:hAnsi="Calibri" w:cs="Calibri"/>
                <w:b/>
                <w:bCs/>
                <w:color w:val="000000"/>
                <w:sz w:val="16"/>
                <w:szCs w:val="16"/>
              </w:rPr>
            </w:pPr>
            <w:r>
              <w:rPr>
                <w:rFonts w:ascii="Calibri" w:hAnsi="Calibri" w:cs="Calibri"/>
                <w:b/>
                <w:bCs/>
                <w:color w:val="000000"/>
                <w:sz w:val="16"/>
                <w:szCs w:val="16"/>
              </w:rPr>
              <w:t>74.995.207</w:t>
            </w:r>
          </w:p>
        </w:tc>
        <w:tc>
          <w:tcPr>
            <w:tcW w:w="949" w:type="pct"/>
            <w:tcBorders>
              <w:top w:val="nil"/>
              <w:left w:val="nil"/>
              <w:bottom w:val="single" w:sz="8" w:space="0" w:color="auto"/>
              <w:right w:val="nil"/>
            </w:tcBorders>
            <w:shd w:val="clear" w:color="auto" w:fill="auto"/>
            <w:vAlign w:val="center"/>
            <w:hideMark/>
          </w:tcPr>
          <w:p w14:paraId="267B8831" w14:textId="18980E35" w:rsidR="006F322E" w:rsidRPr="00411555" w:rsidRDefault="00677F53" w:rsidP="00937ED9">
            <w:pPr>
              <w:spacing w:after="120"/>
              <w:jc w:val="right"/>
              <w:rPr>
                <w:rFonts w:ascii="Calibri" w:hAnsi="Calibri" w:cs="Calibri"/>
                <w:b/>
                <w:bCs/>
                <w:color w:val="000000"/>
                <w:sz w:val="16"/>
                <w:szCs w:val="16"/>
              </w:rPr>
            </w:pPr>
            <w:r>
              <w:rPr>
                <w:rFonts w:ascii="Calibri" w:hAnsi="Calibri" w:cs="Calibri"/>
                <w:b/>
                <w:bCs/>
                <w:color w:val="000000"/>
                <w:sz w:val="16"/>
                <w:szCs w:val="16"/>
              </w:rPr>
              <w:t>75.841.189</w:t>
            </w:r>
          </w:p>
        </w:tc>
      </w:tr>
    </w:tbl>
    <w:p w14:paraId="118B09E7" w14:textId="43703966" w:rsidR="000C065B" w:rsidRPr="00411555" w:rsidRDefault="0006483C" w:rsidP="000B3A75">
      <w:pPr>
        <w:spacing w:before="120" w:after="120"/>
        <w:ind w:right="-142"/>
        <w:jc w:val="both"/>
        <w:rPr>
          <w:rFonts w:ascii="Calibri" w:hAnsi="Calibri" w:cs="Calibri"/>
          <w:b/>
          <w:sz w:val="22"/>
          <w:szCs w:val="22"/>
        </w:rPr>
      </w:pPr>
      <w:r w:rsidRPr="00411555">
        <w:rPr>
          <w:rFonts w:ascii="Calibri" w:hAnsi="Calibri" w:cs="Calibri"/>
          <w:b/>
          <w:sz w:val="22"/>
          <w:szCs w:val="22"/>
        </w:rPr>
        <w:t>NOTA 2</w:t>
      </w:r>
      <w:r w:rsidR="001A1B68" w:rsidRPr="00411555">
        <w:rPr>
          <w:rFonts w:ascii="Calibri" w:hAnsi="Calibri" w:cs="Calibri"/>
          <w:b/>
          <w:sz w:val="22"/>
          <w:szCs w:val="22"/>
        </w:rPr>
        <w:t>2</w:t>
      </w:r>
      <w:r w:rsidRPr="00411555">
        <w:rPr>
          <w:rFonts w:ascii="Calibri" w:hAnsi="Calibri" w:cs="Calibri"/>
          <w:b/>
          <w:sz w:val="22"/>
          <w:szCs w:val="22"/>
        </w:rPr>
        <w:t xml:space="preserve"> – RESULTADO DO EXERCÍCIO</w:t>
      </w:r>
    </w:p>
    <w:p w14:paraId="26A5ED8B" w14:textId="5E61BCD6" w:rsidR="002D2F93" w:rsidRPr="00411555" w:rsidRDefault="005C7859" w:rsidP="003E0C6C">
      <w:pPr>
        <w:spacing w:after="120"/>
        <w:ind w:right="-142"/>
        <w:jc w:val="both"/>
        <w:rPr>
          <w:rFonts w:ascii="Calibri" w:hAnsi="Calibri" w:cs="Calibri"/>
          <w:b/>
          <w:sz w:val="22"/>
          <w:szCs w:val="22"/>
        </w:rPr>
      </w:pPr>
      <w:r>
        <w:rPr>
          <w:rFonts w:ascii="Calibri" w:hAnsi="Calibri" w:cs="Calibri"/>
          <w:bCs/>
          <w:sz w:val="22"/>
          <w:szCs w:val="22"/>
        </w:rPr>
        <w:t xml:space="preserve">Até </w:t>
      </w:r>
      <w:r w:rsidR="000C05F8" w:rsidRPr="00411555">
        <w:rPr>
          <w:rFonts w:ascii="Calibri" w:hAnsi="Calibri" w:cs="Calibri"/>
          <w:bCs/>
          <w:sz w:val="22"/>
          <w:szCs w:val="22"/>
        </w:rPr>
        <w:t xml:space="preserve">o </w:t>
      </w:r>
      <w:r>
        <w:rPr>
          <w:rFonts w:ascii="Calibri" w:hAnsi="Calibri" w:cs="Calibri"/>
          <w:bCs/>
          <w:sz w:val="22"/>
          <w:szCs w:val="22"/>
        </w:rPr>
        <w:t>2</w:t>
      </w:r>
      <w:r w:rsidR="00BD5174">
        <w:rPr>
          <w:rFonts w:ascii="Calibri" w:hAnsi="Calibri" w:cs="Calibri"/>
          <w:bCs/>
          <w:sz w:val="22"/>
          <w:szCs w:val="22"/>
        </w:rPr>
        <w:t>º trimestre de 2022</w:t>
      </w:r>
      <w:r w:rsidR="000C05F8" w:rsidRPr="00411555">
        <w:rPr>
          <w:rFonts w:ascii="Calibri" w:hAnsi="Calibri" w:cs="Calibri"/>
          <w:bCs/>
          <w:sz w:val="22"/>
          <w:szCs w:val="22"/>
        </w:rPr>
        <w:t>,</w:t>
      </w:r>
      <w:r w:rsidR="00B915D2" w:rsidRPr="00411555">
        <w:rPr>
          <w:rFonts w:ascii="Calibri" w:hAnsi="Calibri" w:cs="Calibri"/>
          <w:bCs/>
          <w:sz w:val="22"/>
          <w:szCs w:val="22"/>
        </w:rPr>
        <w:t xml:space="preserve"> </w:t>
      </w:r>
      <w:r w:rsidR="000C05F8" w:rsidRPr="00411555">
        <w:rPr>
          <w:rFonts w:ascii="Calibri" w:hAnsi="Calibri" w:cs="Calibri"/>
          <w:bCs/>
          <w:sz w:val="22"/>
          <w:szCs w:val="22"/>
        </w:rPr>
        <w:t xml:space="preserve">a VALEC apresentou um resultado </w:t>
      </w:r>
      <w:r>
        <w:rPr>
          <w:rFonts w:ascii="Calibri" w:hAnsi="Calibri" w:cs="Calibri"/>
          <w:bCs/>
          <w:sz w:val="22"/>
          <w:szCs w:val="22"/>
        </w:rPr>
        <w:t>positivo de</w:t>
      </w:r>
      <w:r w:rsidR="00CA15BC">
        <w:rPr>
          <w:rFonts w:ascii="Calibri" w:hAnsi="Calibri" w:cs="Calibri"/>
          <w:bCs/>
          <w:sz w:val="22"/>
          <w:szCs w:val="22"/>
        </w:rPr>
        <w:t xml:space="preserve"> </w:t>
      </w:r>
      <w:r>
        <w:rPr>
          <w:rFonts w:ascii="Calibri" w:hAnsi="Calibri" w:cs="Calibri"/>
          <w:bCs/>
          <w:sz w:val="22"/>
          <w:szCs w:val="22"/>
        </w:rPr>
        <w:t>40,19</w:t>
      </w:r>
      <w:r w:rsidR="00BD5174">
        <w:rPr>
          <w:rFonts w:ascii="Calibri" w:hAnsi="Calibri" w:cs="Calibri"/>
          <w:bCs/>
          <w:sz w:val="22"/>
          <w:szCs w:val="22"/>
        </w:rPr>
        <w:t xml:space="preserve"> m</w:t>
      </w:r>
      <w:r w:rsidR="007449DE" w:rsidRPr="00411555">
        <w:rPr>
          <w:rFonts w:ascii="Calibri" w:hAnsi="Calibri" w:cs="Calibri"/>
          <w:bCs/>
          <w:sz w:val="22"/>
          <w:szCs w:val="22"/>
        </w:rPr>
        <w:t>ilhões</w:t>
      </w:r>
      <w:r w:rsidR="00061B92">
        <w:rPr>
          <w:rFonts w:ascii="Calibri" w:hAnsi="Calibri" w:cs="Calibri"/>
          <w:bCs/>
          <w:sz w:val="22"/>
          <w:szCs w:val="22"/>
        </w:rPr>
        <w:t>,</w:t>
      </w:r>
      <w:r w:rsidR="00061B92" w:rsidRPr="00061B92">
        <w:rPr>
          <w:rFonts w:ascii="Calibri" w:hAnsi="Calibri" w:cs="Calibri"/>
          <w:bCs/>
          <w:sz w:val="22"/>
          <w:szCs w:val="22"/>
        </w:rPr>
        <w:t xml:space="preserve"> </w:t>
      </w:r>
      <w:r w:rsidR="00061B92" w:rsidRPr="003C3F27">
        <w:rPr>
          <w:rFonts w:ascii="Calibri" w:hAnsi="Calibri" w:cs="Calibri"/>
          <w:bCs/>
          <w:sz w:val="22"/>
          <w:szCs w:val="22"/>
        </w:rPr>
        <w:t xml:space="preserve">influenciado principalmente </w:t>
      </w:r>
      <w:r w:rsidR="00F22275">
        <w:rPr>
          <w:rFonts w:ascii="Calibri" w:hAnsi="Calibri" w:cs="Calibri"/>
          <w:bCs/>
          <w:sz w:val="22"/>
          <w:szCs w:val="22"/>
        </w:rPr>
        <w:t xml:space="preserve">pela </w:t>
      </w:r>
      <w:r>
        <w:rPr>
          <w:rFonts w:ascii="Calibri" w:hAnsi="Calibri" w:cs="Calibri"/>
          <w:bCs/>
          <w:sz w:val="22"/>
          <w:szCs w:val="22"/>
        </w:rPr>
        <w:t xml:space="preserve">reversão </w:t>
      </w:r>
      <w:r w:rsidRPr="005C7859">
        <w:rPr>
          <w:rFonts w:ascii="Calibri" w:hAnsi="Calibri" w:cs="Calibri"/>
          <w:bCs/>
          <w:sz w:val="22"/>
          <w:szCs w:val="22"/>
        </w:rPr>
        <w:t>de provisões para contingências</w:t>
      </w:r>
      <w:r>
        <w:rPr>
          <w:rFonts w:ascii="Calibri" w:hAnsi="Calibri" w:cs="Calibri"/>
          <w:bCs/>
          <w:sz w:val="22"/>
          <w:szCs w:val="22"/>
        </w:rPr>
        <w:t xml:space="preserve"> judiciais.</w:t>
      </w:r>
    </w:p>
    <w:p w14:paraId="41C73B18" w14:textId="66B1337C" w:rsidR="005B70D8" w:rsidRPr="00411555" w:rsidRDefault="00434FB3" w:rsidP="00937ED9">
      <w:pPr>
        <w:spacing w:after="120"/>
        <w:ind w:right="-142"/>
        <w:rPr>
          <w:rFonts w:ascii="Calibri" w:hAnsi="Calibri" w:cs="Calibri"/>
          <w:b/>
          <w:sz w:val="22"/>
          <w:szCs w:val="22"/>
        </w:rPr>
      </w:pPr>
      <w:r w:rsidRPr="00411555">
        <w:rPr>
          <w:rFonts w:ascii="Calibri" w:hAnsi="Calibri" w:cs="Calibri"/>
          <w:b/>
          <w:sz w:val="22"/>
          <w:szCs w:val="22"/>
        </w:rPr>
        <w:lastRenderedPageBreak/>
        <w:t>NOTA 2</w:t>
      </w:r>
      <w:r w:rsidR="00550ED5">
        <w:rPr>
          <w:rFonts w:ascii="Calibri" w:hAnsi="Calibri" w:cs="Calibri"/>
          <w:b/>
          <w:sz w:val="22"/>
          <w:szCs w:val="22"/>
        </w:rPr>
        <w:t>3</w:t>
      </w:r>
      <w:r w:rsidR="004E146F" w:rsidRPr="00411555">
        <w:rPr>
          <w:rFonts w:ascii="Calibri" w:hAnsi="Calibri" w:cs="Calibri"/>
          <w:b/>
          <w:sz w:val="22"/>
          <w:szCs w:val="22"/>
        </w:rPr>
        <w:t xml:space="preserve"> – INFORMAÇÕES COMPLEMENTARES ÀS DEMONSTRAÇÕES CONTÁBEIS </w:t>
      </w:r>
    </w:p>
    <w:p w14:paraId="1332CF5A" w14:textId="2EB0187D" w:rsidR="00332A42" w:rsidRPr="00411555" w:rsidRDefault="004E146F" w:rsidP="00937ED9">
      <w:pPr>
        <w:spacing w:after="120"/>
        <w:ind w:right="57"/>
        <w:jc w:val="both"/>
        <w:rPr>
          <w:rFonts w:ascii="Calibri" w:hAnsi="Calibri" w:cs="Calibri"/>
          <w:sz w:val="22"/>
          <w:szCs w:val="22"/>
        </w:rPr>
      </w:pPr>
      <w:r w:rsidRPr="00411555">
        <w:rPr>
          <w:rFonts w:ascii="Calibri" w:hAnsi="Calibri" w:cs="Calibri"/>
          <w:sz w:val="22"/>
          <w:szCs w:val="22"/>
        </w:rPr>
        <w:t>As informações complementares são informações que não são apresentadas nas demonstrações contábeis, mas que são consideradas relevantes para divulgação.</w:t>
      </w:r>
    </w:p>
    <w:p w14:paraId="3FF8C730" w14:textId="23645782" w:rsidR="00693972" w:rsidRPr="00411555" w:rsidRDefault="00117714" w:rsidP="00937ED9">
      <w:pPr>
        <w:spacing w:after="120"/>
        <w:ind w:right="-142"/>
        <w:rPr>
          <w:rFonts w:ascii="Calibri" w:hAnsi="Calibri" w:cs="Calibri"/>
          <w:b/>
          <w:sz w:val="22"/>
          <w:szCs w:val="22"/>
        </w:rPr>
      </w:pPr>
      <w:r w:rsidRPr="00411555">
        <w:rPr>
          <w:rFonts w:ascii="Calibri" w:hAnsi="Calibri" w:cs="Calibri"/>
          <w:b/>
          <w:sz w:val="22"/>
          <w:szCs w:val="22"/>
        </w:rPr>
        <w:t xml:space="preserve">I - </w:t>
      </w:r>
      <w:r w:rsidR="00CF6A42" w:rsidRPr="00411555">
        <w:rPr>
          <w:rFonts w:ascii="Calibri" w:hAnsi="Calibri" w:cs="Calibri"/>
          <w:b/>
          <w:sz w:val="22"/>
          <w:szCs w:val="22"/>
        </w:rPr>
        <w:t>Transações com partes relacionadas</w:t>
      </w:r>
    </w:p>
    <w:p w14:paraId="71D03A1E" w14:textId="77777777" w:rsidR="004E146F" w:rsidRPr="00411555" w:rsidRDefault="00117714" w:rsidP="00937ED9">
      <w:pPr>
        <w:spacing w:after="120"/>
        <w:ind w:right="-142"/>
        <w:rPr>
          <w:rFonts w:ascii="Calibri" w:hAnsi="Calibri" w:cs="Calibri"/>
          <w:b/>
          <w:sz w:val="22"/>
          <w:szCs w:val="22"/>
        </w:rPr>
      </w:pPr>
      <w:r w:rsidRPr="00411555">
        <w:rPr>
          <w:rFonts w:ascii="Calibri" w:hAnsi="Calibri" w:cs="Calibri"/>
          <w:b/>
          <w:sz w:val="22"/>
          <w:szCs w:val="22"/>
        </w:rPr>
        <w:t xml:space="preserve">a) </w:t>
      </w:r>
      <w:r w:rsidR="001D6DEE" w:rsidRPr="00411555">
        <w:rPr>
          <w:rFonts w:ascii="Calibri" w:hAnsi="Calibri" w:cs="Calibri"/>
          <w:b/>
          <w:sz w:val="22"/>
          <w:szCs w:val="22"/>
        </w:rPr>
        <w:t>Remuneração de Diretores, Empregados e Comissionados</w:t>
      </w:r>
    </w:p>
    <w:p w14:paraId="5C528EC7" w14:textId="4E4DF20C" w:rsidR="004E146F" w:rsidRDefault="004A67ED" w:rsidP="00937ED9">
      <w:pPr>
        <w:spacing w:after="120"/>
        <w:ind w:right="-142"/>
        <w:jc w:val="both"/>
        <w:rPr>
          <w:rFonts w:ascii="Calibri" w:hAnsi="Calibri" w:cs="Calibri"/>
          <w:sz w:val="22"/>
          <w:szCs w:val="22"/>
        </w:rPr>
      </w:pPr>
      <w:r w:rsidRPr="00411555">
        <w:rPr>
          <w:rFonts w:ascii="Calibri" w:hAnsi="Calibri" w:cs="Calibri"/>
          <w:sz w:val="22"/>
          <w:szCs w:val="22"/>
        </w:rPr>
        <w:t xml:space="preserve">As remunerações </w:t>
      </w:r>
      <w:r w:rsidR="007F4918" w:rsidRPr="00411555">
        <w:rPr>
          <w:rFonts w:ascii="Calibri" w:hAnsi="Calibri" w:cs="Calibri"/>
          <w:sz w:val="22"/>
          <w:szCs w:val="22"/>
        </w:rPr>
        <w:t xml:space="preserve">médias </w:t>
      </w:r>
      <w:r w:rsidRPr="00411555">
        <w:rPr>
          <w:rFonts w:ascii="Calibri" w:hAnsi="Calibri" w:cs="Calibri"/>
          <w:sz w:val="22"/>
          <w:szCs w:val="22"/>
        </w:rPr>
        <w:t>pagas</w:t>
      </w:r>
      <w:r w:rsidRPr="002E2B5B">
        <w:rPr>
          <w:rFonts w:ascii="Calibri" w:hAnsi="Calibri" w:cs="Calibri"/>
          <w:sz w:val="22"/>
          <w:szCs w:val="22"/>
        </w:rPr>
        <w:t xml:space="preserve"> aos d</w:t>
      </w:r>
      <w:r w:rsidR="004E146F" w:rsidRPr="002E2B5B">
        <w:rPr>
          <w:rFonts w:ascii="Calibri" w:hAnsi="Calibri" w:cs="Calibri"/>
          <w:sz w:val="22"/>
          <w:szCs w:val="22"/>
        </w:rPr>
        <w:t>iretores,</w:t>
      </w:r>
      <w:r w:rsidRPr="002E2B5B">
        <w:rPr>
          <w:rFonts w:ascii="Calibri" w:hAnsi="Calibri" w:cs="Calibri"/>
          <w:sz w:val="22"/>
          <w:szCs w:val="22"/>
        </w:rPr>
        <w:t xml:space="preserve"> aos empregados e aos comissionados</w:t>
      </w:r>
      <w:r w:rsidR="007F4918" w:rsidRPr="002E2B5B">
        <w:rPr>
          <w:rFonts w:ascii="Calibri" w:hAnsi="Calibri" w:cs="Calibri"/>
          <w:sz w:val="22"/>
          <w:szCs w:val="22"/>
        </w:rPr>
        <w:t>,</w:t>
      </w:r>
      <w:r w:rsidR="004E146F" w:rsidRPr="002E2B5B">
        <w:rPr>
          <w:rFonts w:ascii="Calibri" w:hAnsi="Calibri" w:cs="Calibri"/>
          <w:sz w:val="22"/>
          <w:szCs w:val="22"/>
        </w:rPr>
        <w:t xml:space="preserve"> </w:t>
      </w:r>
      <w:r w:rsidR="001D6DEE" w:rsidRPr="002E2B5B">
        <w:rPr>
          <w:rFonts w:ascii="Calibri" w:hAnsi="Calibri" w:cs="Calibri"/>
          <w:sz w:val="22"/>
          <w:szCs w:val="22"/>
        </w:rPr>
        <w:t xml:space="preserve">em </w:t>
      </w:r>
      <w:r w:rsidR="005C7859">
        <w:rPr>
          <w:rFonts w:ascii="Calibri" w:hAnsi="Calibri" w:cs="Calibri"/>
          <w:sz w:val="22"/>
          <w:szCs w:val="22"/>
        </w:rPr>
        <w:t>junh</w:t>
      </w:r>
      <w:r w:rsidR="00DE66B0">
        <w:rPr>
          <w:rFonts w:ascii="Calibri" w:hAnsi="Calibri" w:cs="Calibri"/>
          <w:sz w:val="22"/>
          <w:szCs w:val="22"/>
        </w:rPr>
        <w:t>o</w:t>
      </w:r>
      <w:r w:rsidR="00C16F07" w:rsidRPr="002E2B5B">
        <w:rPr>
          <w:rFonts w:ascii="Calibri" w:hAnsi="Calibri" w:cs="Calibri"/>
          <w:sz w:val="22"/>
          <w:szCs w:val="22"/>
        </w:rPr>
        <w:t xml:space="preserve"> </w:t>
      </w:r>
      <w:r w:rsidR="001D6DEE" w:rsidRPr="002E2B5B">
        <w:rPr>
          <w:rFonts w:ascii="Calibri" w:hAnsi="Calibri" w:cs="Calibri"/>
          <w:sz w:val="22"/>
          <w:szCs w:val="22"/>
        </w:rPr>
        <w:t>de</w:t>
      </w:r>
      <w:r w:rsidR="00C16F07" w:rsidRPr="002E2B5B">
        <w:rPr>
          <w:rFonts w:ascii="Calibri" w:hAnsi="Calibri" w:cs="Calibri"/>
          <w:sz w:val="22"/>
          <w:szCs w:val="22"/>
        </w:rPr>
        <w:t xml:space="preserve"> 20</w:t>
      </w:r>
      <w:r w:rsidR="00F8592A" w:rsidRPr="002E2B5B">
        <w:rPr>
          <w:rFonts w:ascii="Calibri" w:hAnsi="Calibri" w:cs="Calibri"/>
          <w:sz w:val="22"/>
          <w:szCs w:val="22"/>
        </w:rPr>
        <w:t>2</w:t>
      </w:r>
      <w:r w:rsidR="000E00FF">
        <w:rPr>
          <w:rFonts w:ascii="Calibri" w:hAnsi="Calibri" w:cs="Calibri"/>
          <w:sz w:val="22"/>
          <w:szCs w:val="22"/>
        </w:rPr>
        <w:t>2</w:t>
      </w:r>
      <w:r w:rsidR="004E146F" w:rsidRPr="002E2B5B">
        <w:rPr>
          <w:rFonts w:ascii="Calibri" w:hAnsi="Calibri" w:cs="Calibri"/>
          <w:sz w:val="22"/>
          <w:szCs w:val="22"/>
        </w:rPr>
        <w:t>, foram de:</w:t>
      </w:r>
    </w:p>
    <w:p w14:paraId="1F4B9FB6" w14:textId="77777777" w:rsidR="00E21C8C" w:rsidRDefault="00E21C8C" w:rsidP="00937ED9">
      <w:pPr>
        <w:spacing w:after="120"/>
        <w:ind w:right="-142"/>
        <w:jc w:val="both"/>
        <w:rPr>
          <w:rFonts w:ascii="Calibri" w:hAnsi="Calibri" w:cs="Calibri"/>
          <w:sz w:val="22"/>
          <w:szCs w:val="22"/>
        </w:rPr>
      </w:pPr>
    </w:p>
    <w:tbl>
      <w:tblPr>
        <w:tblW w:w="5000" w:type="pct"/>
        <w:tblCellMar>
          <w:left w:w="70" w:type="dxa"/>
          <w:right w:w="70" w:type="dxa"/>
        </w:tblCellMar>
        <w:tblLook w:val="04A0" w:firstRow="1" w:lastRow="0" w:firstColumn="1" w:lastColumn="0" w:noHBand="0" w:noVBand="1"/>
      </w:tblPr>
      <w:tblGrid>
        <w:gridCol w:w="4798"/>
        <w:gridCol w:w="1972"/>
        <w:gridCol w:w="2156"/>
        <w:gridCol w:w="1541"/>
      </w:tblGrid>
      <w:tr w:rsidR="00AA3934" w:rsidRPr="002E2B5B" w14:paraId="78C70EFE" w14:textId="77777777" w:rsidTr="00AA3934">
        <w:trPr>
          <w:trHeight w:val="227"/>
        </w:trPr>
        <w:tc>
          <w:tcPr>
            <w:tcW w:w="2292" w:type="pct"/>
            <w:tcBorders>
              <w:bottom w:val="single" w:sz="4" w:space="0" w:color="auto"/>
            </w:tcBorders>
            <w:shd w:val="clear" w:color="auto" w:fill="auto"/>
            <w:noWrap/>
            <w:vAlign w:val="bottom"/>
            <w:hideMark/>
          </w:tcPr>
          <w:p w14:paraId="31A7D9AE" w14:textId="77777777" w:rsidR="00AA3934" w:rsidRPr="002E2B5B" w:rsidRDefault="00AA3934" w:rsidP="00937ED9">
            <w:pPr>
              <w:spacing w:after="120"/>
              <w:rPr>
                <w:rFonts w:ascii="Calibri" w:hAnsi="Calibri" w:cs="Calibri"/>
                <w:b/>
                <w:sz w:val="16"/>
                <w:szCs w:val="16"/>
              </w:rPr>
            </w:pPr>
            <w:r w:rsidRPr="002E2B5B">
              <w:rPr>
                <w:rFonts w:ascii="Calibri" w:hAnsi="Calibri" w:cs="Calibri"/>
                <w:b/>
                <w:sz w:val="16"/>
                <w:szCs w:val="16"/>
              </w:rPr>
              <w:t>REMUNERAÇÃO</w:t>
            </w:r>
          </w:p>
        </w:tc>
        <w:tc>
          <w:tcPr>
            <w:tcW w:w="942" w:type="pct"/>
            <w:tcBorders>
              <w:bottom w:val="single" w:sz="4" w:space="0" w:color="auto"/>
            </w:tcBorders>
            <w:shd w:val="clear" w:color="auto" w:fill="auto"/>
            <w:noWrap/>
            <w:vAlign w:val="bottom"/>
            <w:hideMark/>
          </w:tcPr>
          <w:p w14:paraId="0F56AAD3" w14:textId="77777777" w:rsidR="00AA3934" w:rsidRPr="002E2B5B" w:rsidRDefault="00AA3934" w:rsidP="00937ED9">
            <w:pPr>
              <w:spacing w:after="120"/>
              <w:jc w:val="right"/>
              <w:rPr>
                <w:rFonts w:ascii="Calibri" w:hAnsi="Calibri" w:cs="Calibri"/>
                <w:b/>
                <w:sz w:val="16"/>
                <w:szCs w:val="16"/>
              </w:rPr>
            </w:pPr>
            <w:r w:rsidRPr="002E2B5B">
              <w:rPr>
                <w:rFonts w:ascii="Calibri" w:hAnsi="Calibri" w:cs="Calibri"/>
                <w:b/>
                <w:sz w:val="16"/>
                <w:szCs w:val="16"/>
              </w:rPr>
              <w:t>MAIOR</w:t>
            </w:r>
          </w:p>
        </w:tc>
        <w:tc>
          <w:tcPr>
            <w:tcW w:w="1030" w:type="pct"/>
            <w:tcBorders>
              <w:bottom w:val="single" w:sz="4" w:space="0" w:color="auto"/>
            </w:tcBorders>
            <w:shd w:val="clear" w:color="auto" w:fill="auto"/>
            <w:noWrap/>
            <w:vAlign w:val="bottom"/>
            <w:hideMark/>
          </w:tcPr>
          <w:p w14:paraId="0AE4267D" w14:textId="77777777" w:rsidR="00AA3934" w:rsidRPr="002E2B5B" w:rsidRDefault="00AA3934" w:rsidP="00937ED9">
            <w:pPr>
              <w:spacing w:after="120"/>
              <w:jc w:val="right"/>
              <w:rPr>
                <w:rFonts w:ascii="Calibri" w:hAnsi="Calibri" w:cs="Calibri"/>
                <w:b/>
                <w:sz w:val="16"/>
                <w:szCs w:val="16"/>
              </w:rPr>
            </w:pPr>
            <w:r w:rsidRPr="002E2B5B">
              <w:rPr>
                <w:rFonts w:ascii="Calibri" w:hAnsi="Calibri" w:cs="Calibri"/>
                <w:b/>
                <w:sz w:val="16"/>
                <w:szCs w:val="16"/>
              </w:rPr>
              <w:t>MENOR</w:t>
            </w:r>
          </w:p>
        </w:tc>
        <w:tc>
          <w:tcPr>
            <w:tcW w:w="736" w:type="pct"/>
            <w:tcBorders>
              <w:bottom w:val="single" w:sz="4" w:space="0" w:color="auto"/>
            </w:tcBorders>
            <w:shd w:val="clear" w:color="auto" w:fill="auto"/>
            <w:noWrap/>
            <w:vAlign w:val="bottom"/>
            <w:hideMark/>
          </w:tcPr>
          <w:p w14:paraId="6DA547F9" w14:textId="77777777" w:rsidR="00AA3934" w:rsidRPr="002E2B5B" w:rsidRDefault="00AA3934" w:rsidP="00937ED9">
            <w:pPr>
              <w:spacing w:after="120"/>
              <w:jc w:val="right"/>
              <w:rPr>
                <w:rFonts w:ascii="Calibri" w:hAnsi="Calibri" w:cs="Calibri"/>
                <w:b/>
                <w:sz w:val="16"/>
                <w:szCs w:val="16"/>
              </w:rPr>
            </w:pPr>
            <w:r w:rsidRPr="002E2B5B">
              <w:rPr>
                <w:rFonts w:ascii="Calibri" w:hAnsi="Calibri" w:cs="Calibri"/>
                <w:b/>
                <w:sz w:val="16"/>
                <w:szCs w:val="16"/>
              </w:rPr>
              <w:t>MÉDIA</w:t>
            </w:r>
          </w:p>
        </w:tc>
      </w:tr>
      <w:tr w:rsidR="00AA3934" w:rsidRPr="002E2B5B" w14:paraId="60EA8036" w14:textId="77777777" w:rsidTr="00AA3934">
        <w:trPr>
          <w:trHeight w:val="227"/>
        </w:trPr>
        <w:tc>
          <w:tcPr>
            <w:tcW w:w="2292" w:type="pct"/>
            <w:tcBorders>
              <w:top w:val="single" w:sz="4" w:space="0" w:color="auto"/>
            </w:tcBorders>
            <w:shd w:val="clear" w:color="auto" w:fill="auto"/>
            <w:noWrap/>
            <w:vAlign w:val="bottom"/>
            <w:hideMark/>
          </w:tcPr>
          <w:p w14:paraId="07972A13" w14:textId="77777777" w:rsidR="00AA3934" w:rsidRPr="002E2B5B" w:rsidRDefault="00AA3934" w:rsidP="00937ED9">
            <w:pPr>
              <w:spacing w:after="120"/>
              <w:rPr>
                <w:rFonts w:ascii="Calibri" w:hAnsi="Calibri" w:cs="Calibri"/>
                <w:sz w:val="16"/>
                <w:szCs w:val="16"/>
              </w:rPr>
            </w:pPr>
            <w:r w:rsidRPr="002E2B5B">
              <w:rPr>
                <w:rFonts w:ascii="Calibri" w:hAnsi="Calibri" w:cs="Calibri"/>
                <w:sz w:val="16"/>
                <w:szCs w:val="16"/>
              </w:rPr>
              <w:t xml:space="preserve"> Diretores</w:t>
            </w:r>
          </w:p>
        </w:tc>
        <w:tc>
          <w:tcPr>
            <w:tcW w:w="942" w:type="pct"/>
            <w:tcBorders>
              <w:top w:val="single" w:sz="4" w:space="0" w:color="auto"/>
            </w:tcBorders>
            <w:shd w:val="clear" w:color="auto" w:fill="auto"/>
            <w:noWrap/>
            <w:vAlign w:val="bottom"/>
          </w:tcPr>
          <w:p w14:paraId="4D35E1DC" w14:textId="77777777" w:rsidR="00AA3934" w:rsidRPr="002E2B5B" w:rsidRDefault="00AA3934" w:rsidP="00937ED9">
            <w:pPr>
              <w:spacing w:after="120"/>
              <w:jc w:val="right"/>
              <w:rPr>
                <w:rFonts w:ascii="Calibri" w:hAnsi="Calibri" w:cs="Calibri"/>
                <w:sz w:val="16"/>
                <w:szCs w:val="16"/>
              </w:rPr>
            </w:pPr>
            <w:r w:rsidRPr="002E2B5B">
              <w:rPr>
                <w:rFonts w:ascii="Calibri" w:hAnsi="Calibri" w:cs="Calibri"/>
                <w:sz w:val="16"/>
                <w:szCs w:val="16"/>
              </w:rPr>
              <w:t>2</w:t>
            </w:r>
            <w:r w:rsidR="00F8592A" w:rsidRPr="002E2B5B">
              <w:rPr>
                <w:rFonts w:ascii="Calibri" w:hAnsi="Calibri" w:cs="Calibri"/>
                <w:sz w:val="16"/>
                <w:szCs w:val="16"/>
              </w:rPr>
              <w:t>6.243</w:t>
            </w:r>
          </w:p>
        </w:tc>
        <w:tc>
          <w:tcPr>
            <w:tcW w:w="1030" w:type="pct"/>
            <w:tcBorders>
              <w:top w:val="single" w:sz="4" w:space="0" w:color="auto"/>
            </w:tcBorders>
            <w:shd w:val="clear" w:color="auto" w:fill="auto"/>
            <w:noWrap/>
            <w:vAlign w:val="bottom"/>
          </w:tcPr>
          <w:p w14:paraId="27268F4A" w14:textId="6116E4DB" w:rsidR="00AA3934" w:rsidRPr="002E2B5B" w:rsidRDefault="00BD0B11" w:rsidP="00937ED9">
            <w:pPr>
              <w:spacing w:after="120"/>
              <w:jc w:val="right"/>
              <w:rPr>
                <w:rFonts w:ascii="Calibri" w:hAnsi="Calibri" w:cs="Calibri"/>
                <w:sz w:val="16"/>
                <w:szCs w:val="16"/>
              </w:rPr>
            </w:pPr>
            <w:r>
              <w:rPr>
                <w:rFonts w:ascii="Calibri" w:hAnsi="Calibri" w:cs="Calibri"/>
                <w:sz w:val="16"/>
                <w:szCs w:val="16"/>
              </w:rPr>
              <w:t>26.008</w:t>
            </w:r>
          </w:p>
        </w:tc>
        <w:tc>
          <w:tcPr>
            <w:tcW w:w="736" w:type="pct"/>
            <w:tcBorders>
              <w:top w:val="single" w:sz="4" w:space="0" w:color="auto"/>
            </w:tcBorders>
            <w:shd w:val="clear" w:color="auto" w:fill="auto"/>
            <w:noWrap/>
            <w:vAlign w:val="bottom"/>
          </w:tcPr>
          <w:p w14:paraId="0D53BF9C" w14:textId="520B8403" w:rsidR="00AA3934" w:rsidRPr="002E2B5B" w:rsidRDefault="00F8592A" w:rsidP="00937ED9">
            <w:pPr>
              <w:spacing w:after="120"/>
              <w:jc w:val="right"/>
              <w:rPr>
                <w:rFonts w:ascii="Calibri" w:hAnsi="Calibri" w:cs="Calibri"/>
                <w:sz w:val="16"/>
                <w:szCs w:val="16"/>
              </w:rPr>
            </w:pPr>
            <w:r w:rsidRPr="002E2B5B">
              <w:rPr>
                <w:rFonts w:ascii="Calibri" w:hAnsi="Calibri" w:cs="Calibri"/>
                <w:sz w:val="16"/>
                <w:szCs w:val="16"/>
              </w:rPr>
              <w:t>2</w:t>
            </w:r>
            <w:r w:rsidR="00BD0B11">
              <w:rPr>
                <w:rFonts w:ascii="Calibri" w:hAnsi="Calibri" w:cs="Calibri"/>
                <w:sz w:val="16"/>
                <w:szCs w:val="16"/>
              </w:rPr>
              <w:t>6</w:t>
            </w:r>
            <w:r w:rsidRPr="002E2B5B">
              <w:rPr>
                <w:rFonts w:ascii="Calibri" w:hAnsi="Calibri" w:cs="Calibri"/>
                <w:sz w:val="16"/>
                <w:szCs w:val="16"/>
              </w:rPr>
              <w:t>.</w:t>
            </w:r>
            <w:r w:rsidR="00BD0B11">
              <w:rPr>
                <w:rFonts w:ascii="Calibri" w:hAnsi="Calibri" w:cs="Calibri"/>
                <w:sz w:val="16"/>
                <w:szCs w:val="16"/>
              </w:rPr>
              <w:t>067</w:t>
            </w:r>
          </w:p>
        </w:tc>
      </w:tr>
      <w:tr w:rsidR="00AA3934" w:rsidRPr="002E2B5B" w14:paraId="2015CADE" w14:textId="77777777" w:rsidTr="00AA3934">
        <w:trPr>
          <w:trHeight w:val="227"/>
        </w:trPr>
        <w:tc>
          <w:tcPr>
            <w:tcW w:w="2292" w:type="pct"/>
            <w:shd w:val="clear" w:color="auto" w:fill="auto"/>
            <w:noWrap/>
            <w:vAlign w:val="bottom"/>
            <w:hideMark/>
          </w:tcPr>
          <w:p w14:paraId="1F458ED5" w14:textId="77777777" w:rsidR="00AA3934" w:rsidRPr="002E2B5B" w:rsidRDefault="00AA3934" w:rsidP="00937ED9">
            <w:pPr>
              <w:spacing w:after="120"/>
              <w:rPr>
                <w:rFonts w:ascii="Calibri" w:hAnsi="Calibri" w:cs="Calibri"/>
                <w:sz w:val="16"/>
                <w:szCs w:val="16"/>
              </w:rPr>
            </w:pPr>
            <w:r w:rsidRPr="002E2B5B">
              <w:rPr>
                <w:rFonts w:ascii="Calibri" w:hAnsi="Calibri" w:cs="Calibri"/>
                <w:sz w:val="16"/>
                <w:szCs w:val="16"/>
              </w:rPr>
              <w:t xml:space="preserve"> Empregados</w:t>
            </w:r>
          </w:p>
        </w:tc>
        <w:tc>
          <w:tcPr>
            <w:tcW w:w="942" w:type="pct"/>
            <w:shd w:val="clear" w:color="auto" w:fill="auto"/>
            <w:noWrap/>
            <w:vAlign w:val="bottom"/>
          </w:tcPr>
          <w:p w14:paraId="4A85347B" w14:textId="1D3268A5" w:rsidR="00AA3934" w:rsidRPr="002E2B5B" w:rsidRDefault="00C22D12" w:rsidP="00937ED9">
            <w:pPr>
              <w:spacing w:after="120"/>
              <w:jc w:val="right"/>
              <w:rPr>
                <w:rFonts w:ascii="Calibri" w:hAnsi="Calibri" w:cs="Calibri"/>
                <w:sz w:val="16"/>
                <w:szCs w:val="16"/>
              </w:rPr>
            </w:pPr>
            <w:r>
              <w:rPr>
                <w:rFonts w:ascii="Calibri" w:hAnsi="Calibri" w:cs="Calibri"/>
                <w:sz w:val="16"/>
                <w:szCs w:val="16"/>
              </w:rPr>
              <w:t>30.535</w:t>
            </w:r>
          </w:p>
        </w:tc>
        <w:tc>
          <w:tcPr>
            <w:tcW w:w="1030" w:type="pct"/>
            <w:shd w:val="clear" w:color="auto" w:fill="auto"/>
            <w:noWrap/>
            <w:vAlign w:val="bottom"/>
          </w:tcPr>
          <w:p w14:paraId="733B27E0" w14:textId="547E505C" w:rsidR="00AA3934" w:rsidRPr="002E2B5B" w:rsidRDefault="00E0238D" w:rsidP="00937ED9">
            <w:pPr>
              <w:spacing w:after="120"/>
              <w:jc w:val="right"/>
              <w:rPr>
                <w:rFonts w:ascii="Calibri" w:hAnsi="Calibri" w:cs="Calibri"/>
                <w:sz w:val="16"/>
                <w:szCs w:val="16"/>
              </w:rPr>
            </w:pPr>
            <w:r w:rsidRPr="002E2B5B">
              <w:rPr>
                <w:rFonts w:ascii="Calibri" w:hAnsi="Calibri" w:cs="Calibri"/>
                <w:sz w:val="16"/>
                <w:szCs w:val="16"/>
              </w:rPr>
              <w:t>3.</w:t>
            </w:r>
            <w:r w:rsidR="00C22D12">
              <w:rPr>
                <w:rFonts w:ascii="Calibri" w:hAnsi="Calibri" w:cs="Calibri"/>
                <w:sz w:val="16"/>
                <w:szCs w:val="16"/>
              </w:rPr>
              <w:t>145</w:t>
            </w:r>
          </w:p>
        </w:tc>
        <w:tc>
          <w:tcPr>
            <w:tcW w:w="736" w:type="pct"/>
            <w:shd w:val="clear" w:color="auto" w:fill="auto"/>
            <w:noWrap/>
            <w:vAlign w:val="bottom"/>
          </w:tcPr>
          <w:p w14:paraId="3F75AA5F" w14:textId="24D3D295" w:rsidR="00AA3934" w:rsidRPr="002E2B5B" w:rsidRDefault="00F8592A" w:rsidP="00937ED9">
            <w:pPr>
              <w:spacing w:after="120"/>
              <w:jc w:val="right"/>
              <w:rPr>
                <w:rFonts w:ascii="Calibri" w:hAnsi="Calibri" w:cs="Calibri"/>
                <w:sz w:val="16"/>
                <w:szCs w:val="16"/>
              </w:rPr>
            </w:pPr>
            <w:r w:rsidRPr="002E2B5B">
              <w:rPr>
                <w:rFonts w:ascii="Calibri" w:hAnsi="Calibri" w:cs="Calibri"/>
                <w:sz w:val="16"/>
                <w:szCs w:val="16"/>
              </w:rPr>
              <w:t>9.</w:t>
            </w:r>
            <w:r w:rsidR="00C22D12">
              <w:rPr>
                <w:rFonts w:ascii="Calibri" w:hAnsi="Calibri" w:cs="Calibri"/>
                <w:sz w:val="16"/>
                <w:szCs w:val="16"/>
              </w:rPr>
              <w:t>544</w:t>
            </w:r>
          </w:p>
        </w:tc>
      </w:tr>
      <w:tr w:rsidR="00AA3934" w:rsidRPr="002E2B5B" w14:paraId="0A02B70F" w14:textId="77777777" w:rsidTr="00AA3934">
        <w:trPr>
          <w:trHeight w:val="227"/>
        </w:trPr>
        <w:tc>
          <w:tcPr>
            <w:tcW w:w="2292" w:type="pct"/>
            <w:shd w:val="clear" w:color="auto" w:fill="auto"/>
            <w:noWrap/>
            <w:vAlign w:val="bottom"/>
            <w:hideMark/>
          </w:tcPr>
          <w:p w14:paraId="7F145DA4" w14:textId="77777777" w:rsidR="00AA3934" w:rsidRPr="002E2B5B" w:rsidRDefault="00AA3934" w:rsidP="00937ED9">
            <w:pPr>
              <w:spacing w:after="120"/>
              <w:rPr>
                <w:rFonts w:ascii="Calibri" w:hAnsi="Calibri" w:cs="Calibri"/>
                <w:sz w:val="16"/>
                <w:szCs w:val="16"/>
              </w:rPr>
            </w:pPr>
            <w:r w:rsidRPr="002E2B5B">
              <w:rPr>
                <w:rFonts w:ascii="Calibri" w:hAnsi="Calibri" w:cs="Calibri"/>
                <w:sz w:val="16"/>
                <w:szCs w:val="16"/>
              </w:rPr>
              <w:t xml:space="preserve"> Comissionados</w:t>
            </w:r>
          </w:p>
        </w:tc>
        <w:tc>
          <w:tcPr>
            <w:tcW w:w="942" w:type="pct"/>
            <w:shd w:val="clear" w:color="auto" w:fill="auto"/>
            <w:noWrap/>
            <w:vAlign w:val="bottom"/>
          </w:tcPr>
          <w:p w14:paraId="4B596938" w14:textId="77777777" w:rsidR="00AA3934" w:rsidRPr="002E2B5B" w:rsidRDefault="00E0238D" w:rsidP="00937ED9">
            <w:pPr>
              <w:spacing w:after="120"/>
              <w:jc w:val="right"/>
              <w:rPr>
                <w:rFonts w:ascii="Calibri" w:hAnsi="Calibri" w:cs="Calibri"/>
                <w:sz w:val="16"/>
                <w:szCs w:val="16"/>
              </w:rPr>
            </w:pPr>
            <w:r w:rsidRPr="002E2B5B">
              <w:rPr>
                <w:rFonts w:ascii="Calibri" w:hAnsi="Calibri" w:cs="Calibri"/>
                <w:sz w:val="16"/>
                <w:szCs w:val="16"/>
              </w:rPr>
              <w:t>23.450</w:t>
            </w:r>
          </w:p>
        </w:tc>
        <w:tc>
          <w:tcPr>
            <w:tcW w:w="1030" w:type="pct"/>
            <w:shd w:val="clear" w:color="auto" w:fill="auto"/>
            <w:noWrap/>
            <w:vAlign w:val="bottom"/>
          </w:tcPr>
          <w:p w14:paraId="402660EF" w14:textId="77777777" w:rsidR="00AA3934" w:rsidRPr="002E2B5B" w:rsidRDefault="00E0238D" w:rsidP="00937ED9">
            <w:pPr>
              <w:spacing w:after="120"/>
              <w:jc w:val="right"/>
              <w:rPr>
                <w:rFonts w:ascii="Calibri" w:hAnsi="Calibri" w:cs="Calibri"/>
                <w:sz w:val="16"/>
                <w:szCs w:val="16"/>
              </w:rPr>
            </w:pPr>
            <w:r w:rsidRPr="002E2B5B">
              <w:rPr>
                <w:rFonts w:ascii="Calibri" w:hAnsi="Calibri" w:cs="Calibri"/>
                <w:sz w:val="16"/>
                <w:szCs w:val="16"/>
              </w:rPr>
              <w:t>4.324</w:t>
            </w:r>
          </w:p>
        </w:tc>
        <w:tc>
          <w:tcPr>
            <w:tcW w:w="736" w:type="pct"/>
            <w:shd w:val="clear" w:color="auto" w:fill="auto"/>
            <w:noWrap/>
            <w:vAlign w:val="bottom"/>
          </w:tcPr>
          <w:p w14:paraId="1B6197A1" w14:textId="5BDB7ADA" w:rsidR="00AA3934" w:rsidRPr="002E2B5B" w:rsidRDefault="00F8592A" w:rsidP="00937ED9">
            <w:pPr>
              <w:spacing w:after="120"/>
              <w:jc w:val="right"/>
              <w:rPr>
                <w:rFonts w:ascii="Calibri" w:hAnsi="Calibri" w:cs="Calibri"/>
                <w:sz w:val="16"/>
                <w:szCs w:val="16"/>
              </w:rPr>
            </w:pPr>
            <w:r w:rsidRPr="002E2B5B">
              <w:rPr>
                <w:rFonts w:ascii="Calibri" w:hAnsi="Calibri" w:cs="Calibri"/>
                <w:sz w:val="16"/>
                <w:szCs w:val="16"/>
              </w:rPr>
              <w:t>1</w:t>
            </w:r>
            <w:r w:rsidR="000E00FF">
              <w:rPr>
                <w:rFonts w:ascii="Calibri" w:hAnsi="Calibri" w:cs="Calibri"/>
                <w:sz w:val="16"/>
                <w:szCs w:val="16"/>
              </w:rPr>
              <w:t>3</w:t>
            </w:r>
            <w:r w:rsidRPr="002E2B5B">
              <w:rPr>
                <w:rFonts w:ascii="Calibri" w:hAnsi="Calibri" w:cs="Calibri"/>
                <w:sz w:val="16"/>
                <w:szCs w:val="16"/>
              </w:rPr>
              <w:t>.</w:t>
            </w:r>
            <w:r w:rsidR="000E00FF">
              <w:rPr>
                <w:rFonts w:ascii="Calibri" w:hAnsi="Calibri" w:cs="Calibri"/>
                <w:sz w:val="16"/>
                <w:szCs w:val="16"/>
              </w:rPr>
              <w:t>7</w:t>
            </w:r>
            <w:r w:rsidR="00C22D12">
              <w:rPr>
                <w:rFonts w:ascii="Calibri" w:hAnsi="Calibri" w:cs="Calibri"/>
                <w:sz w:val="16"/>
                <w:szCs w:val="16"/>
              </w:rPr>
              <w:t>72</w:t>
            </w:r>
          </w:p>
        </w:tc>
      </w:tr>
    </w:tbl>
    <w:p w14:paraId="1019F401" w14:textId="126A7B73" w:rsidR="006A24D4" w:rsidRPr="002E2B5B" w:rsidRDefault="006A24D4" w:rsidP="00937ED9">
      <w:pPr>
        <w:spacing w:before="120" w:after="120"/>
        <w:ind w:right="57"/>
        <w:jc w:val="both"/>
        <w:rPr>
          <w:rFonts w:ascii="Calibri" w:hAnsi="Calibri" w:cs="Calibri"/>
          <w:sz w:val="22"/>
          <w:szCs w:val="22"/>
        </w:rPr>
      </w:pPr>
      <w:r w:rsidRPr="002E2B5B">
        <w:rPr>
          <w:rFonts w:ascii="Calibri" w:hAnsi="Calibri" w:cs="Calibri"/>
          <w:sz w:val="22"/>
          <w:szCs w:val="22"/>
        </w:rPr>
        <w:t>O total da remuneração dos administradores na Demonstração do Resultado do Exercício</w:t>
      </w:r>
      <w:r w:rsidR="004019E4" w:rsidRPr="002E2B5B">
        <w:rPr>
          <w:rFonts w:ascii="Calibri" w:hAnsi="Calibri" w:cs="Calibri"/>
          <w:sz w:val="22"/>
          <w:szCs w:val="22"/>
        </w:rPr>
        <w:t xml:space="preserve">, no valor de R$ </w:t>
      </w:r>
      <w:r w:rsidR="00C22D12">
        <w:rPr>
          <w:rFonts w:ascii="Calibri" w:hAnsi="Calibri" w:cs="Calibri"/>
          <w:sz w:val="22"/>
          <w:szCs w:val="22"/>
        </w:rPr>
        <w:t xml:space="preserve">774 </w:t>
      </w:r>
      <w:r w:rsidR="000E00FF">
        <w:rPr>
          <w:rFonts w:ascii="Calibri" w:hAnsi="Calibri" w:cs="Calibri"/>
          <w:sz w:val="22"/>
          <w:szCs w:val="22"/>
        </w:rPr>
        <w:t>mil</w:t>
      </w:r>
      <w:r w:rsidR="004019E4" w:rsidRPr="002E2B5B">
        <w:rPr>
          <w:rFonts w:ascii="Calibri" w:hAnsi="Calibri" w:cs="Calibri"/>
          <w:sz w:val="22"/>
          <w:szCs w:val="22"/>
        </w:rPr>
        <w:t>,</w:t>
      </w:r>
      <w:r w:rsidRPr="002E2B5B">
        <w:rPr>
          <w:rFonts w:ascii="Calibri" w:hAnsi="Calibri" w:cs="Calibri"/>
          <w:sz w:val="22"/>
          <w:szCs w:val="22"/>
        </w:rPr>
        <w:t xml:space="preserve"> contempla a remuneração paga aos diretores e conselheiros. </w:t>
      </w:r>
    </w:p>
    <w:p w14:paraId="2F256334" w14:textId="77777777" w:rsidR="004E146F" w:rsidRPr="002E2B5B" w:rsidRDefault="00117714" w:rsidP="00937ED9">
      <w:pPr>
        <w:spacing w:after="120"/>
        <w:ind w:right="-142"/>
        <w:rPr>
          <w:rFonts w:ascii="Calibri" w:hAnsi="Calibri" w:cs="Calibri"/>
          <w:b/>
          <w:sz w:val="22"/>
          <w:szCs w:val="22"/>
        </w:rPr>
      </w:pPr>
      <w:r w:rsidRPr="002E2B5B">
        <w:rPr>
          <w:rFonts w:ascii="Calibri" w:hAnsi="Calibri" w:cs="Calibri"/>
          <w:b/>
          <w:sz w:val="22"/>
          <w:szCs w:val="22"/>
        </w:rPr>
        <w:t xml:space="preserve">b) </w:t>
      </w:r>
      <w:r w:rsidR="00561E8E" w:rsidRPr="002E2B5B">
        <w:rPr>
          <w:rFonts w:ascii="Calibri" w:hAnsi="Calibri" w:cs="Calibri"/>
          <w:b/>
          <w:sz w:val="22"/>
          <w:szCs w:val="22"/>
        </w:rPr>
        <w:t>Recursos Recebidos para Pagamento de Investimento, Pessoal e Custeio</w:t>
      </w:r>
      <w:r w:rsidR="00954343" w:rsidRPr="002E2B5B">
        <w:rPr>
          <w:rFonts w:ascii="Calibri" w:hAnsi="Calibri" w:cs="Calibri"/>
          <w:b/>
          <w:sz w:val="22"/>
          <w:szCs w:val="22"/>
        </w:rPr>
        <w:t xml:space="preserve"> </w:t>
      </w:r>
    </w:p>
    <w:p w14:paraId="7B52DF0B" w14:textId="506CDCE7" w:rsidR="006C2FC4" w:rsidRDefault="004E146F" w:rsidP="00937ED9">
      <w:pPr>
        <w:spacing w:after="120"/>
        <w:ind w:right="57"/>
        <w:jc w:val="both"/>
        <w:rPr>
          <w:rFonts w:ascii="Calibri" w:hAnsi="Calibri" w:cs="Calibri"/>
          <w:sz w:val="22"/>
          <w:szCs w:val="22"/>
        </w:rPr>
      </w:pPr>
      <w:r w:rsidRPr="002E2B5B">
        <w:rPr>
          <w:rFonts w:ascii="Calibri" w:hAnsi="Calibri" w:cs="Calibri"/>
          <w:sz w:val="22"/>
          <w:szCs w:val="22"/>
        </w:rPr>
        <w:t xml:space="preserve">Os recursos recebidos da União (Cotas Financeiras Recebidas e Cotas Financeiras de Restos a Pagar Recebidas), </w:t>
      </w:r>
      <w:r w:rsidR="00C22D12">
        <w:rPr>
          <w:rFonts w:ascii="Calibri" w:hAnsi="Calibri" w:cs="Calibri"/>
          <w:sz w:val="22"/>
          <w:szCs w:val="22"/>
        </w:rPr>
        <w:t xml:space="preserve">até </w:t>
      </w:r>
      <w:r w:rsidR="00432864">
        <w:rPr>
          <w:rFonts w:ascii="Calibri" w:hAnsi="Calibri" w:cs="Calibri"/>
          <w:sz w:val="22"/>
          <w:szCs w:val="22"/>
        </w:rPr>
        <w:t>o</w:t>
      </w:r>
      <w:r w:rsidR="00DE4DFB">
        <w:rPr>
          <w:rFonts w:ascii="Calibri" w:hAnsi="Calibri" w:cs="Calibri"/>
          <w:sz w:val="22"/>
          <w:szCs w:val="22"/>
        </w:rPr>
        <w:t xml:space="preserve"> </w:t>
      </w:r>
      <w:r w:rsidR="00C22D12">
        <w:rPr>
          <w:rFonts w:ascii="Calibri" w:hAnsi="Calibri" w:cs="Calibri"/>
          <w:sz w:val="22"/>
          <w:szCs w:val="22"/>
        </w:rPr>
        <w:t>2</w:t>
      </w:r>
      <w:r w:rsidR="00F35D86">
        <w:rPr>
          <w:rFonts w:ascii="Calibri" w:hAnsi="Calibri" w:cs="Calibri"/>
          <w:sz w:val="22"/>
          <w:szCs w:val="22"/>
        </w:rPr>
        <w:t>º trimestre</w:t>
      </w:r>
      <w:r w:rsidR="00DE4DFB">
        <w:rPr>
          <w:rFonts w:ascii="Calibri" w:hAnsi="Calibri" w:cs="Calibri"/>
          <w:sz w:val="22"/>
          <w:szCs w:val="22"/>
        </w:rPr>
        <w:t xml:space="preserve"> de 202</w:t>
      </w:r>
      <w:r w:rsidR="00F35D86">
        <w:rPr>
          <w:rFonts w:ascii="Calibri" w:hAnsi="Calibri" w:cs="Calibri"/>
          <w:sz w:val="22"/>
          <w:szCs w:val="22"/>
        </w:rPr>
        <w:t>2</w:t>
      </w:r>
      <w:r w:rsidR="00DE4DFB">
        <w:rPr>
          <w:rFonts w:ascii="Calibri" w:hAnsi="Calibri" w:cs="Calibri"/>
          <w:sz w:val="22"/>
          <w:szCs w:val="22"/>
        </w:rPr>
        <w:t xml:space="preserve">, </w:t>
      </w:r>
      <w:r w:rsidRPr="002E2B5B">
        <w:rPr>
          <w:rFonts w:ascii="Calibri" w:hAnsi="Calibri" w:cs="Calibri"/>
          <w:sz w:val="22"/>
          <w:szCs w:val="22"/>
        </w:rPr>
        <w:t>para pagamentos de investimentos, despesas com pessoal e custeio estão descritos abaixo:</w:t>
      </w:r>
    </w:p>
    <w:tbl>
      <w:tblPr>
        <w:tblW w:w="5000" w:type="pct"/>
        <w:tblCellMar>
          <w:left w:w="70" w:type="dxa"/>
          <w:right w:w="70" w:type="dxa"/>
        </w:tblCellMar>
        <w:tblLook w:val="04A0" w:firstRow="1" w:lastRow="0" w:firstColumn="1" w:lastColumn="0" w:noHBand="0" w:noVBand="1"/>
      </w:tblPr>
      <w:tblGrid>
        <w:gridCol w:w="6726"/>
        <w:gridCol w:w="469"/>
        <w:gridCol w:w="1608"/>
        <w:gridCol w:w="1664"/>
      </w:tblGrid>
      <w:tr w:rsidR="00DE4DFB" w14:paraId="18F6889A" w14:textId="77777777" w:rsidTr="00DE4DFB">
        <w:trPr>
          <w:trHeight w:hRule="exact" w:val="227"/>
        </w:trPr>
        <w:tc>
          <w:tcPr>
            <w:tcW w:w="3437" w:type="pct"/>
            <w:gridSpan w:val="2"/>
            <w:tcBorders>
              <w:top w:val="nil"/>
              <w:left w:val="nil"/>
              <w:bottom w:val="single" w:sz="8" w:space="0" w:color="auto"/>
              <w:right w:val="nil"/>
            </w:tcBorders>
            <w:shd w:val="clear" w:color="auto" w:fill="auto"/>
            <w:noWrap/>
            <w:vAlign w:val="center"/>
            <w:hideMark/>
          </w:tcPr>
          <w:p w14:paraId="0DE28258" w14:textId="77777777" w:rsidR="00DE4DFB" w:rsidRDefault="00DE4DFB" w:rsidP="00937ED9">
            <w:pPr>
              <w:spacing w:after="120"/>
              <w:rPr>
                <w:rFonts w:ascii="Calibri" w:hAnsi="Calibri" w:cs="Calibri"/>
                <w:b/>
                <w:bCs/>
                <w:color w:val="000000"/>
                <w:sz w:val="16"/>
                <w:szCs w:val="16"/>
              </w:rPr>
            </w:pPr>
            <w:r>
              <w:rPr>
                <w:rFonts w:ascii="Calibri" w:hAnsi="Calibri" w:cs="Calibri"/>
                <w:b/>
                <w:bCs/>
                <w:color w:val="000000"/>
                <w:sz w:val="16"/>
                <w:szCs w:val="16"/>
              </w:rPr>
              <w:t xml:space="preserve">Recursos recebidos para pagamento de investimento, pessoal e custeio </w:t>
            </w:r>
          </w:p>
        </w:tc>
        <w:tc>
          <w:tcPr>
            <w:tcW w:w="768" w:type="pct"/>
            <w:tcBorders>
              <w:top w:val="nil"/>
              <w:left w:val="nil"/>
              <w:bottom w:val="single" w:sz="8" w:space="0" w:color="auto"/>
              <w:right w:val="nil"/>
            </w:tcBorders>
            <w:shd w:val="clear" w:color="auto" w:fill="auto"/>
            <w:noWrap/>
            <w:vAlign w:val="center"/>
            <w:hideMark/>
          </w:tcPr>
          <w:p w14:paraId="45AF1880" w14:textId="08D2B044" w:rsidR="00DE4DFB" w:rsidRDefault="00DE4DFB" w:rsidP="00937ED9">
            <w:pPr>
              <w:spacing w:after="120"/>
              <w:jc w:val="right"/>
              <w:rPr>
                <w:rFonts w:ascii="Calibri" w:hAnsi="Calibri" w:cs="Calibri"/>
                <w:b/>
                <w:bCs/>
                <w:color w:val="000000"/>
                <w:sz w:val="16"/>
                <w:szCs w:val="16"/>
              </w:rPr>
            </w:pPr>
            <w:r>
              <w:rPr>
                <w:rFonts w:ascii="Calibri" w:hAnsi="Calibri" w:cs="Calibri"/>
                <w:b/>
                <w:bCs/>
                <w:color w:val="000000"/>
                <w:sz w:val="16"/>
                <w:szCs w:val="16"/>
              </w:rPr>
              <w:t>3</w:t>
            </w:r>
            <w:r w:rsidR="00C22D12">
              <w:rPr>
                <w:rFonts w:ascii="Calibri" w:hAnsi="Calibri" w:cs="Calibri"/>
                <w:b/>
                <w:bCs/>
                <w:color w:val="000000"/>
                <w:sz w:val="16"/>
                <w:szCs w:val="16"/>
              </w:rPr>
              <w:t>0</w:t>
            </w:r>
            <w:r>
              <w:rPr>
                <w:rFonts w:ascii="Calibri" w:hAnsi="Calibri" w:cs="Calibri"/>
                <w:b/>
                <w:bCs/>
                <w:color w:val="000000"/>
                <w:sz w:val="16"/>
                <w:szCs w:val="16"/>
              </w:rPr>
              <w:t>/</w:t>
            </w:r>
            <w:r w:rsidR="00F35D86">
              <w:rPr>
                <w:rFonts w:ascii="Calibri" w:hAnsi="Calibri" w:cs="Calibri"/>
                <w:b/>
                <w:bCs/>
                <w:color w:val="000000"/>
                <w:sz w:val="16"/>
                <w:szCs w:val="16"/>
              </w:rPr>
              <w:t>0</w:t>
            </w:r>
            <w:r w:rsidR="00C22D12">
              <w:rPr>
                <w:rFonts w:ascii="Calibri" w:hAnsi="Calibri" w:cs="Calibri"/>
                <w:b/>
                <w:bCs/>
                <w:color w:val="000000"/>
                <w:sz w:val="16"/>
                <w:szCs w:val="16"/>
              </w:rPr>
              <w:t>6</w:t>
            </w:r>
            <w:r>
              <w:rPr>
                <w:rFonts w:ascii="Calibri" w:hAnsi="Calibri" w:cs="Calibri"/>
                <w:b/>
                <w:bCs/>
                <w:color w:val="000000"/>
                <w:sz w:val="16"/>
                <w:szCs w:val="16"/>
              </w:rPr>
              <w:t>/202</w:t>
            </w:r>
            <w:r w:rsidR="00F35D86">
              <w:rPr>
                <w:rFonts w:ascii="Calibri" w:hAnsi="Calibri" w:cs="Calibri"/>
                <w:b/>
                <w:bCs/>
                <w:color w:val="000000"/>
                <w:sz w:val="16"/>
                <w:szCs w:val="16"/>
              </w:rPr>
              <w:t>2</w:t>
            </w:r>
          </w:p>
        </w:tc>
        <w:tc>
          <w:tcPr>
            <w:tcW w:w="795" w:type="pct"/>
            <w:tcBorders>
              <w:top w:val="nil"/>
              <w:left w:val="nil"/>
              <w:bottom w:val="single" w:sz="8" w:space="0" w:color="auto"/>
              <w:right w:val="nil"/>
            </w:tcBorders>
            <w:shd w:val="clear" w:color="auto" w:fill="auto"/>
            <w:vAlign w:val="center"/>
            <w:hideMark/>
          </w:tcPr>
          <w:p w14:paraId="694BB89F" w14:textId="1D542A79" w:rsidR="00DE4DFB" w:rsidRPr="00D05194" w:rsidRDefault="00DE4DFB" w:rsidP="00937ED9">
            <w:pPr>
              <w:spacing w:after="120"/>
              <w:jc w:val="right"/>
              <w:rPr>
                <w:rFonts w:ascii="Calibri" w:hAnsi="Calibri" w:cs="Calibri"/>
                <w:b/>
                <w:bCs/>
                <w:color w:val="000000"/>
                <w:sz w:val="16"/>
                <w:szCs w:val="16"/>
              </w:rPr>
            </w:pPr>
            <w:r w:rsidRPr="00D05194">
              <w:rPr>
                <w:rFonts w:ascii="Calibri" w:hAnsi="Calibri" w:cs="Calibri"/>
                <w:b/>
                <w:bCs/>
                <w:color w:val="000000"/>
                <w:sz w:val="16"/>
                <w:szCs w:val="16"/>
              </w:rPr>
              <w:t>3</w:t>
            </w:r>
            <w:r w:rsidR="00C22D12">
              <w:rPr>
                <w:rFonts w:ascii="Calibri" w:hAnsi="Calibri" w:cs="Calibri"/>
                <w:b/>
                <w:bCs/>
                <w:color w:val="000000"/>
                <w:sz w:val="16"/>
                <w:szCs w:val="16"/>
              </w:rPr>
              <w:t>0</w:t>
            </w:r>
            <w:r w:rsidRPr="00D05194">
              <w:rPr>
                <w:rFonts w:ascii="Calibri" w:hAnsi="Calibri" w:cs="Calibri"/>
                <w:b/>
                <w:bCs/>
                <w:color w:val="000000"/>
                <w:sz w:val="16"/>
                <w:szCs w:val="16"/>
              </w:rPr>
              <w:t>/</w:t>
            </w:r>
            <w:r w:rsidR="00F35D86">
              <w:rPr>
                <w:rFonts w:ascii="Calibri" w:hAnsi="Calibri" w:cs="Calibri"/>
                <w:b/>
                <w:bCs/>
                <w:color w:val="000000"/>
                <w:sz w:val="16"/>
                <w:szCs w:val="16"/>
              </w:rPr>
              <w:t>0</w:t>
            </w:r>
            <w:r w:rsidR="00C22D12">
              <w:rPr>
                <w:rFonts w:ascii="Calibri" w:hAnsi="Calibri" w:cs="Calibri"/>
                <w:b/>
                <w:bCs/>
                <w:color w:val="000000"/>
                <w:sz w:val="16"/>
                <w:szCs w:val="16"/>
              </w:rPr>
              <w:t>6</w:t>
            </w:r>
            <w:r w:rsidRPr="00D05194">
              <w:rPr>
                <w:rFonts w:ascii="Calibri" w:hAnsi="Calibri" w:cs="Calibri"/>
                <w:b/>
                <w:bCs/>
                <w:color w:val="000000"/>
                <w:sz w:val="16"/>
                <w:szCs w:val="16"/>
              </w:rPr>
              <w:t>/202</w:t>
            </w:r>
            <w:r w:rsidR="00F35D86">
              <w:rPr>
                <w:rFonts w:ascii="Calibri" w:hAnsi="Calibri" w:cs="Calibri"/>
                <w:b/>
                <w:bCs/>
                <w:color w:val="000000"/>
                <w:sz w:val="16"/>
                <w:szCs w:val="16"/>
              </w:rPr>
              <w:t>1</w:t>
            </w:r>
          </w:p>
        </w:tc>
      </w:tr>
      <w:tr w:rsidR="00F35D86" w14:paraId="3C5930D5" w14:textId="77777777" w:rsidTr="00DE4DFB">
        <w:trPr>
          <w:trHeight w:hRule="exact" w:val="227"/>
        </w:trPr>
        <w:tc>
          <w:tcPr>
            <w:tcW w:w="3213" w:type="pct"/>
            <w:tcBorders>
              <w:top w:val="nil"/>
              <w:left w:val="nil"/>
              <w:bottom w:val="nil"/>
              <w:right w:val="nil"/>
            </w:tcBorders>
            <w:shd w:val="clear" w:color="auto" w:fill="auto"/>
            <w:noWrap/>
            <w:vAlign w:val="center"/>
            <w:hideMark/>
          </w:tcPr>
          <w:p w14:paraId="44E33172" w14:textId="77777777" w:rsidR="00F35D86" w:rsidRDefault="00F35D86" w:rsidP="00F35D86">
            <w:pPr>
              <w:spacing w:after="120"/>
              <w:rPr>
                <w:rFonts w:ascii="Calibri" w:hAnsi="Calibri" w:cs="Calibri"/>
                <w:color w:val="000000"/>
                <w:sz w:val="16"/>
                <w:szCs w:val="16"/>
              </w:rPr>
            </w:pPr>
            <w:r>
              <w:rPr>
                <w:rFonts w:ascii="Calibri" w:hAnsi="Calibri" w:cs="Calibri"/>
                <w:color w:val="000000"/>
                <w:sz w:val="16"/>
                <w:szCs w:val="16"/>
              </w:rPr>
              <w:t>Custeio</w:t>
            </w:r>
          </w:p>
        </w:tc>
        <w:tc>
          <w:tcPr>
            <w:tcW w:w="224" w:type="pct"/>
            <w:tcBorders>
              <w:top w:val="nil"/>
              <w:left w:val="nil"/>
              <w:bottom w:val="nil"/>
              <w:right w:val="nil"/>
            </w:tcBorders>
            <w:shd w:val="clear" w:color="auto" w:fill="auto"/>
            <w:noWrap/>
            <w:vAlign w:val="center"/>
            <w:hideMark/>
          </w:tcPr>
          <w:p w14:paraId="5AECB06A" w14:textId="77777777" w:rsidR="00F35D86" w:rsidRDefault="00F35D86" w:rsidP="00F35D86">
            <w:pPr>
              <w:spacing w:after="120"/>
              <w:rPr>
                <w:rFonts w:ascii="Calibri" w:hAnsi="Calibri" w:cs="Calibri"/>
                <w:color w:val="000000"/>
                <w:sz w:val="16"/>
                <w:szCs w:val="16"/>
              </w:rPr>
            </w:pPr>
          </w:p>
        </w:tc>
        <w:tc>
          <w:tcPr>
            <w:tcW w:w="768" w:type="pct"/>
            <w:tcBorders>
              <w:top w:val="nil"/>
              <w:left w:val="nil"/>
              <w:bottom w:val="nil"/>
              <w:right w:val="nil"/>
            </w:tcBorders>
            <w:shd w:val="clear" w:color="auto" w:fill="auto"/>
            <w:vAlign w:val="center"/>
            <w:hideMark/>
          </w:tcPr>
          <w:p w14:paraId="4538AFB8" w14:textId="4AE89A43" w:rsidR="00F35D86" w:rsidRPr="00DC7041" w:rsidRDefault="00C22D12" w:rsidP="00F35D86">
            <w:pPr>
              <w:spacing w:after="120"/>
              <w:jc w:val="right"/>
              <w:rPr>
                <w:rFonts w:ascii="Calibri" w:hAnsi="Calibri" w:cs="Calibri"/>
                <w:color w:val="000000"/>
                <w:sz w:val="16"/>
                <w:szCs w:val="16"/>
              </w:rPr>
            </w:pPr>
            <w:r w:rsidRPr="00DC7041">
              <w:rPr>
                <w:rFonts w:ascii="Calibri" w:hAnsi="Calibri" w:cs="Calibri"/>
                <w:color w:val="000000"/>
                <w:sz w:val="16"/>
                <w:szCs w:val="16"/>
              </w:rPr>
              <w:t>12.679.557</w:t>
            </w:r>
          </w:p>
        </w:tc>
        <w:tc>
          <w:tcPr>
            <w:tcW w:w="795" w:type="pct"/>
            <w:tcBorders>
              <w:top w:val="nil"/>
              <w:left w:val="nil"/>
              <w:bottom w:val="nil"/>
              <w:right w:val="nil"/>
            </w:tcBorders>
            <w:shd w:val="clear" w:color="auto" w:fill="auto"/>
            <w:vAlign w:val="center"/>
            <w:hideMark/>
          </w:tcPr>
          <w:p w14:paraId="2AB9FE30" w14:textId="5E79D42B" w:rsidR="00F35D86" w:rsidRPr="00D05194" w:rsidRDefault="00DC7041" w:rsidP="00F35D86">
            <w:pPr>
              <w:spacing w:after="120"/>
              <w:jc w:val="right"/>
              <w:rPr>
                <w:rFonts w:ascii="Calibri" w:hAnsi="Calibri" w:cs="Calibri"/>
                <w:color w:val="000000"/>
                <w:sz w:val="16"/>
                <w:szCs w:val="16"/>
              </w:rPr>
            </w:pPr>
            <w:r>
              <w:rPr>
                <w:rFonts w:ascii="Calibri" w:hAnsi="Calibri" w:cs="Calibri"/>
                <w:color w:val="000000"/>
                <w:sz w:val="16"/>
                <w:szCs w:val="16"/>
              </w:rPr>
              <w:t>19.658.639</w:t>
            </w:r>
          </w:p>
        </w:tc>
      </w:tr>
      <w:tr w:rsidR="00F35D86" w14:paraId="24072D40" w14:textId="77777777" w:rsidTr="00DE4DFB">
        <w:trPr>
          <w:trHeight w:hRule="exact" w:val="227"/>
        </w:trPr>
        <w:tc>
          <w:tcPr>
            <w:tcW w:w="3213" w:type="pct"/>
            <w:tcBorders>
              <w:top w:val="nil"/>
              <w:left w:val="nil"/>
              <w:bottom w:val="nil"/>
              <w:right w:val="nil"/>
            </w:tcBorders>
            <w:shd w:val="clear" w:color="auto" w:fill="auto"/>
            <w:noWrap/>
            <w:vAlign w:val="center"/>
            <w:hideMark/>
          </w:tcPr>
          <w:p w14:paraId="44B33A77" w14:textId="77777777" w:rsidR="00F35D86" w:rsidRDefault="00F35D86" w:rsidP="00F35D86">
            <w:pPr>
              <w:spacing w:after="120"/>
              <w:rPr>
                <w:rFonts w:ascii="Calibri" w:hAnsi="Calibri" w:cs="Calibri"/>
                <w:color w:val="000000"/>
                <w:sz w:val="16"/>
                <w:szCs w:val="16"/>
              </w:rPr>
            </w:pPr>
            <w:r>
              <w:rPr>
                <w:rFonts w:ascii="Calibri" w:hAnsi="Calibri" w:cs="Calibri"/>
                <w:color w:val="000000"/>
                <w:sz w:val="16"/>
                <w:szCs w:val="16"/>
              </w:rPr>
              <w:t>Pessoal</w:t>
            </w:r>
          </w:p>
        </w:tc>
        <w:tc>
          <w:tcPr>
            <w:tcW w:w="224" w:type="pct"/>
            <w:tcBorders>
              <w:top w:val="nil"/>
              <w:left w:val="nil"/>
              <w:bottom w:val="nil"/>
              <w:right w:val="nil"/>
            </w:tcBorders>
            <w:shd w:val="clear" w:color="auto" w:fill="auto"/>
            <w:noWrap/>
            <w:vAlign w:val="center"/>
            <w:hideMark/>
          </w:tcPr>
          <w:p w14:paraId="2AD6ADF7" w14:textId="77777777" w:rsidR="00F35D86" w:rsidRDefault="00F35D86" w:rsidP="00F35D86">
            <w:pPr>
              <w:spacing w:after="120"/>
              <w:rPr>
                <w:rFonts w:ascii="Calibri" w:hAnsi="Calibri" w:cs="Calibri"/>
                <w:color w:val="000000"/>
                <w:sz w:val="16"/>
                <w:szCs w:val="16"/>
              </w:rPr>
            </w:pPr>
          </w:p>
        </w:tc>
        <w:tc>
          <w:tcPr>
            <w:tcW w:w="768" w:type="pct"/>
            <w:tcBorders>
              <w:top w:val="nil"/>
              <w:left w:val="nil"/>
              <w:bottom w:val="nil"/>
              <w:right w:val="nil"/>
            </w:tcBorders>
            <w:shd w:val="clear" w:color="auto" w:fill="auto"/>
            <w:vAlign w:val="center"/>
            <w:hideMark/>
          </w:tcPr>
          <w:p w14:paraId="08DCA231" w14:textId="59FA88AC" w:rsidR="00F35D86" w:rsidRPr="00DC7041" w:rsidRDefault="00C22D12" w:rsidP="00F35D86">
            <w:pPr>
              <w:spacing w:after="120"/>
              <w:jc w:val="right"/>
              <w:rPr>
                <w:rFonts w:ascii="Calibri" w:hAnsi="Calibri" w:cs="Calibri"/>
                <w:color w:val="000000"/>
                <w:sz w:val="16"/>
                <w:szCs w:val="16"/>
              </w:rPr>
            </w:pPr>
            <w:r w:rsidRPr="00DC7041">
              <w:rPr>
                <w:rFonts w:ascii="Calibri" w:hAnsi="Calibri" w:cs="Calibri"/>
                <w:color w:val="000000"/>
                <w:sz w:val="16"/>
                <w:szCs w:val="16"/>
              </w:rPr>
              <w:t>62.315.650</w:t>
            </w:r>
          </w:p>
        </w:tc>
        <w:tc>
          <w:tcPr>
            <w:tcW w:w="795" w:type="pct"/>
            <w:tcBorders>
              <w:top w:val="nil"/>
              <w:left w:val="nil"/>
              <w:bottom w:val="nil"/>
              <w:right w:val="nil"/>
            </w:tcBorders>
            <w:shd w:val="clear" w:color="auto" w:fill="auto"/>
            <w:vAlign w:val="center"/>
            <w:hideMark/>
          </w:tcPr>
          <w:p w14:paraId="1346F3E4" w14:textId="7B72A030" w:rsidR="00F35D86" w:rsidRPr="00D05194" w:rsidRDefault="00DC7041" w:rsidP="00F35D86">
            <w:pPr>
              <w:spacing w:after="120"/>
              <w:jc w:val="right"/>
              <w:rPr>
                <w:rFonts w:ascii="Calibri" w:hAnsi="Calibri" w:cs="Calibri"/>
                <w:color w:val="000000"/>
                <w:sz w:val="16"/>
                <w:szCs w:val="16"/>
              </w:rPr>
            </w:pPr>
            <w:r>
              <w:rPr>
                <w:rFonts w:ascii="Calibri" w:hAnsi="Calibri" w:cs="Calibri"/>
                <w:color w:val="000000"/>
                <w:sz w:val="16"/>
                <w:szCs w:val="16"/>
              </w:rPr>
              <w:t>56.182.550</w:t>
            </w:r>
          </w:p>
        </w:tc>
      </w:tr>
      <w:tr w:rsidR="00F35D86" w14:paraId="4985527E" w14:textId="77777777" w:rsidTr="00DE4DFB">
        <w:trPr>
          <w:trHeight w:hRule="exact" w:val="227"/>
        </w:trPr>
        <w:tc>
          <w:tcPr>
            <w:tcW w:w="3437" w:type="pct"/>
            <w:gridSpan w:val="2"/>
            <w:tcBorders>
              <w:top w:val="nil"/>
              <w:left w:val="nil"/>
              <w:bottom w:val="single" w:sz="8" w:space="0" w:color="auto"/>
              <w:right w:val="nil"/>
            </w:tcBorders>
            <w:shd w:val="clear" w:color="auto" w:fill="auto"/>
            <w:noWrap/>
            <w:vAlign w:val="center"/>
            <w:hideMark/>
          </w:tcPr>
          <w:p w14:paraId="425FA54D" w14:textId="77777777" w:rsidR="00F35D86" w:rsidRDefault="00F35D86" w:rsidP="00F35D86">
            <w:pPr>
              <w:spacing w:after="120"/>
              <w:rPr>
                <w:rFonts w:ascii="Calibri" w:hAnsi="Calibri" w:cs="Calibri"/>
                <w:color w:val="000000"/>
                <w:sz w:val="16"/>
                <w:szCs w:val="16"/>
              </w:rPr>
            </w:pPr>
            <w:r>
              <w:rPr>
                <w:rFonts w:ascii="Calibri" w:hAnsi="Calibri" w:cs="Calibri"/>
                <w:color w:val="000000"/>
                <w:sz w:val="16"/>
                <w:szCs w:val="16"/>
              </w:rPr>
              <w:t>Investimento</w:t>
            </w:r>
          </w:p>
        </w:tc>
        <w:tc>
          <w:tcPr>
            <w:tcW w:w="768" w:type="pct"/>
            <w:tcBorders>
              <w:top w:val="nil"/>
              <w:left w:val="nil"/>
              <w:bottom w:val="single" w:sz="8" w:space="0" w:color="auto"/>
              <w:right w:val="nil"/>
            </w:tcBorders>
            <w:shd w:val="clear" w:color="auto" w:fill="auto"/>
            <w:noWrap/>
            <w:vAlign w:val="bottom"/>
            <w:hideMark/>
          </w:tcPr>
          <w:p w14:paraId="6A554586" w14:textId="208D3262" w:rsidR="00F35D86" w:rsidRPr="00DC7041" w:rsidRDefault="00C22D12" w:rsidP="00F35D86">
            <w:pPr>
              <w:spacing w:after="120"/>
              <w:jc w:val="right"/>
              <w:rPr>
                <w:rFonts w:ascii="Calibri" w:hAnsi="Calibri" w:cs="Calibri"/>
                <w:color w:val="000000"/>
                <w:sz w:val="16"/>
                <w:szCs w:val="16"/>
              </w:rPr>
            </w:pPr>
            <w:r w:rsidRPr="00DC7041">
              <w:rPr>
                <w:rFonts w:ascii="Calibri" w:hAnsi="Calibri" w:cs="Calibri"/>
                <w:color w:val="000000"/>
                <w:sz w:val="16"/>
                <w:szCs w:val="16"/>
              </w:rPr>
              <w:t>125.572.386</w:t>
            </w:r>
          </w:p>
        </w:tc>
        <w:tc>
          <w:tcPr>
            <w:tcW w:w="795" w:type="pct"/>
            <w:tcBorders>
              <w:top w:val="nil"/>
              <w:left w:val="nil"/>
              <w:bottom w:val="single" w:sz="8" w:space="0" w:color="auto"/>
              <w:right w:val="nil"/>
            </w:tcBorders>
            <w:shd w:val="clear" w:color="auto" w:fill="auto"/>
            <w:vAlign w:val="center"/>
            <w:hideMark/>
          </w:tcPr>
          <w:p w14:paraId="64591B9D" w14:textId="48500612" w:rsidR="00F35D86" w:rsidRPr="00D05194" w:rsidRDefault="00DC7041" w:rsidP="00F35D86">
            <w:pPr>
              <w:spacing w:after="120"/>
              <w:jc w:val="right"/>
              <w:rPr>
                <w:rFonts w:ascii="Calibri" w:hAnsi="Calibri" w:cs="Calibri"/>
                <w:color w:val="000000"/>
                <w:sz w:val="16"/>
                <w:szCs w:val="16"/>
              </w:rPr>
            </w:pPr>
            <w:r>
              <w:rPr>
                <w:rFonts w:ascii="Calibri" w:hAnsi="Calibri" w:cs="Calibri"/>
                <w:color w:val="000000"/>
                <w:sz w:val="16"/>
                <w:szCs w:val="16"/>
              </w:rPr>
              <w:t>167.934.090</w:t>
            </w:r>
          </w:p>
        </w:tc>
      </w:tr>
      <w:tr w:rsidR="00DE4DFB" w14:paraId="1E983133" w14:textId="77777777" w:rsidTr="00DE4DFB">
        <w:trPr>
          <w:trHeight w:hRule="exact" w:val="227"/>
        </w:trPr>
        <w:tc>
          <w:tcPr>
            <w:tcW w:w="3437" w:type="pct"/>
            <w:gridSpan w:val="2"/>
            <w:tcBorders>
              <w:top w:val="nil"/>
              <w:left w:val="nil"/>
              <w:bottom w:val="single" w:sz="8" w:space="0" w:color="auto"/>
              <w:right w:val="nil"/>
            </w:tcBorders>
            <w:shd w:val="clear" w:color="auto" w:fill="auto"/>
            <w:noWrap/>
            <w:vAlign w:val="center"/>
            <w:hideMark/>
          </w:tcPr>
          <w:p w14:paraId="1ABA7A4D" w14:textId="77777777" w:rsidR="00DE4DFB" w:rsidRDefault="00DE4DFB" w:rsidP="00937ED9">
            <w:pPr>
              <w:spacing w:after="120"/>
              <w:rPr>
                <w:rFonts w:ascii="Calibri" w:hAnsi="Calibri" w:cs="Calibri"/>
                <w:b/>
                <w:bCs/>
                <w:color w:val="000000"/>
                <w:sz w:val="16"/>
                <w:szCs w:val="16"/>
              </w:rPr>
            </w:pPr>
            <w:r>
              <w:rPr>
                <w:rFonts w:ascii="Calibri" w:hAnsi="Calibri" w:cs="Calibri"/>
                <w:b/>
                <w:bCs/>
                <w:color w:val="000000"/>
                <w:sz w:val="16"/>
                <w:szCs w:val="16"/>
              </w:rPr>
              <w:t>TOTAL GERAL</w:t>
            </w:r>
          </w:p>
        </w:tc>
        <w:tc>
          <w:tcPr>
            <w:tcW w:w="768" w:type="pct"/>
            <w:tcBorders>
              <w:top w:val="nil"/>
              <w:left w:val="nil"/>
              <w:bottom w:val="single" w:sz="8" w:space="0" w:color="auto"/>
              <w:right w:val="nil"/>
            </w:tcBorders>
            <w:shd w:val="clear" w:color="auto" w:fill="auto"/>
            <w:noWrap/>
            <w:vAlign w:val="center"/>
            <w:hideMark/>
          </w:tcPr>
          <w:p w14:paraId="7EF29D3B" w14:textId="4158D1C8" w:rsidR="00DE4DFB" w:rsidRDefault="00DC7041" w:rsidP="00937ED9">
            <w:pPr>
              <w:spacing w:after="120"/>
              <w:jc w:val="right"/>
              <w:rPr>
                <w:rFonts w:ascii="Calibri" w:hAnsi="Calibri" w:cs="Calibri"/>
                <w:b/>
                <w:bCs/>
                <w:color w:val="000000"/>
                <w:sz w:val="16"/>
                <w:szCs w:val="16"/>
              </w:rPr>
            </w:pPr>
            <w:r>
              <w:rPr>
                <w:rFonts w:ascii="Calibri" w:hAnsi="Calibri" w:cs="Calibri"/>
                <w:b/>
                <w:bCs/>
                <w:color w:val="000000"/>
                <w:sz w:val="16"/>
                <w:szCs w:val="16"/>
              </w:rPr>
              <w:t>200.567.593</w:t>
            </w:r>
          </w:p>
        </w:tc>
        <w:tc>
          <w:tcPr>
            <w:tcW w:w="795" w:type="pct"/>
            <w:tcBorders>
              <w:top w:val="nil"/>
              <w:left w:val="nil"/>
              <w:bottom w:val="single" w:sz="8" w:space="0" w:color="auto"/>
              <w:right w:val="nil"/>
            </w:tcBorders>
            <w:shd w:val="clear" w:color="auto" w:fill="auto"/>
            <w:noWrap/>
            <w:vAlign w:val="center"/>
            <w:hideMark/>
          </w:tcPr>
          <w:p w14:paraId="3C86E8A7" w14:textId="5A61C313" w:rsidR="00DE4DFB" w:rsidRPr="00D05194" w:rsidRDefault="00DC7041" w:rsidP="00937ED9">
            <w:pPr>
              <w:spacing w:after="120"/>
              <w:jc w:val="right"/>
              <w:rPr>
                <w:rFonts w:ascii="Calibri" w:hAnsi="Calibri" w:cs="Calibri"/>
                <w:b/>
                <w:bCs/>
                <w:color w:val="000000"/>
                <w:sz w:val="16"/>
                <w:szCs w:val="16"/>
              </w:rPr>
            </w:pPr>
            <w:r>
              <w:rPr>
                <w:rFonts w:ascii="Calibri" w:hAnsi="Calibri" w:cs="Calibri"/>
                <w:b/>
                <w:bCs/>
                <w:color w:val="000000"/>
                <w:sz w:val="16"/>
                <w:szCs w:val="16"/>
              </w:rPr>
              <w:t>243.775.279</w:t>
            </w:r>
          </w:p>
        </w:tc>
      </w:tr>
    </w:tbl>
    <w:p w14:paraId="72FBF3BC" w14:textId="0062F1BA" w:rsidR="00B57AAF" w:rsidRPr="002E2B5B" w:rsidRDefault="00550ED5" w:rsidP="002D2F93">
      <w:pPr>
        <w:spacing w:before="120" w:after="120"/>
        <w:ind w:right="-142"/>
        <w:rPr>
          <w:rFonts w:ascii="Calibri" w:hAnsi="Calibri" w:cs="Calibri"/>
          <w:sz w:val="22"/>
          <w:szCs w:val="22"/>
        </w:rPr>
      </w:pPr>
      <w:r>
        <w:rPr>
          <w:rFonts w:ascii="Calibri" w:hAnsi="Calibri" w:cs="Calibri"/>
          <w:b/>
          <w:sz w:val="22"/>
          <w:szCs w:val="22"/>
        </w:rPr>
        <w:t xml:space="preserve">c) </w:t>
      </w:r>
      <w:r w:rsidR="00B57AAF" w:rsidRPr="002E2B5B">
        <w:rPr>
          <w:rFonts w:ascii="Calibri" w:hAnsi="Calibri" w:cs="Calibri"/>
          <w:b/>
          <w:sz w:val="22"/>
          <w:szCs w:val="22"/>
        </w:rPr>
        <w:t xml:space="preserve">Aplicação dos Recursos </w:t>
      </w:r>
    </w:p>
    <w:p w14:paraId="741E2CCA" w14:textId="16364E0B" w:rsidR="00DE4DFB" w:rsidRDefault="002159E4" w:rsidP="00937ED9">
      <w:pPr>
        <w:spacing w:after="120"/>
        <w:ind w:right="57"/>
        <w:jc w:val="both"/>
        <w:rPr>
          <w:rFonts w:ascii="Calibri" w:hAnsi="Calibri" w:cs="Calibri"/>
          <w:sz w:val="22"/>
          <w:szCs w:val="22"/>
        </w:rPr>
      </w:pPr>
      <w:r w:rsidRPr="002E2B5B">
        <w:rPr>
          <w:rFonts w:ascii="Calibri" w:hAnsi="Calibri" w:cs="Calibri"/>
          <w:sz w:val="22"/>
          <w:szCs w:val="22"/>
        </w:rPr>
        <w:t>P</w:t>
      </w:r>
      <w:r w:rsidR="00B57AAF" w:rsidRPr="002E2B5B">
        <w:rPr>
          <w:rFonts w:ascii="Calibri" w:hAnsi="Calibri" w:cs="Calibri"/>
          <w:sz w:val="22"/>
          <w:szCs w:val="22"/>
        </w:rPr>
        <w:t>or meio da Dotação Orçamentária d</w:t>
      </w:r>
      <w:r w:rsidR="00352C7D">
        <w:rPr>
          <w:rFonts w:ascii="Calibri" w:hAnsi="Calibri" w:cs="Calibri"/>
          <w:sz w:val="22"/>
          <w:szCs w:val="22"/>
        </w:rPr>
        <w:t xml:space="preserve">e </w:t>
      </w:r>
      <w:r w:rsidR="00B57AAF" w:rsidRPr="002E2B5B">
        <w:rPr>
          <w:rFonts w:ascii="Calibri" w:hAnsi="Calibri" w:cs="Calibri"/>
          <w:sz w:val="22"/>
          <w:szCs w:val="22"/>
        </w:rPr>
        <w:t>20</w:t>
      </w:r>
      <w:r w:rsidR="003022B9" w:rsidRPr="002E2B5B">
        <w:rPr>
          <w:rFonts w:ascii="Calibri" w:hAnsi="Calibri" w:cs="Calibri"/>
          <w:sz w:val="22"/>
          <w:szCs w:val="22"/>
        </w:rPr>
        <w:t>2</w:t>
      </w:r>
      <w:r w:rsidR="00F0632B">
        <w:rPr>
          <w:rFonts w:ascii="Calibri" w:hAnsi="Calibri" w:cs="Calibri"/>
          <w:sz w:val="22"/>
          <w:szCs w:val="22"/>
        </w:rPr>
        <w:t>2</w:t>
      </w:r>
      <w:r w:rsidR="00B57AAF" w:rsidRPr="002E2B5B">
        <w:rPr>
          <w:rFonts w:ascii="Calibri" w:hAnsi="Calibri" w:cs="Calibri"/>
          <w:sz w:val="22"/>
          <w:szCs w:val="22"/>
        </w:rPr>
        <w:t xml:space="preserve">, </w:t>
      </w:r>
      <w:r w:rsidR="008B40D3" w:rsidRPr="002E2B5B">
        <w:rPr>
          <w:rFonts w:ascii="Calibri" w:hAnsi="Calibri" w:cs="Calibri"/>
          <w:sz w:val="22"/>
          <w:szCs w:val="22"/>
        </w:rPr>
        <w:t>com base no Sistema Integrado de Planejamento e Orçamento</w:t>
      </w:r>
      <w:r w:rsidR="008F6432" w:rsidRPr="002E2B5B">
        <w:rPr>
          <w:rFonts w:ascii="Calibri" w:hAnsi="Calibri" w:cs="Calibri"/>
          <w:sz w:val="22"/>
          <w:szCs w:val="22"/>
        </w:rPr>
        <w:t xml:space="preserve"> (</w:t>
      </w:r>
      <w:r w:rsidR="00BF55E8" w:rsidRPr="002E2B5B">
        <w:rPr>
          <w:rFonts w:ascii="Calibri" w:hAnsi="Calibri" w:cs="Calibri"/>
          <w:sz w:val="22"/>
          <w:szCs w:val="22"/>
        </w:rPr>
        <w:t>SIOP</w:t>
      </w:r>
      <w:r w:rsidR="008F6432" w:rsidRPr="002E2B5B">
        <w:rPr>
          <w:rFonts w:ascii="Calibri" w:hAnsi="Calibri" w:cs="Calibri"/>
          <w:sz w:val="22"/>
          <w:szCs w:val="22"/>
        </w:rPr>
        <w:t>)</w:t>
      </w:r>
      <w:r w:rsidR="008B40D3" w:rsidRPr="002E2B5B">
        <w:rPr>
          <w:rFonts w:ascii="Calibri" w:hAnsi="Calibri" w:cs="Calibri"/>
          <w:sz w:val="22"/>
          <w:szCs w:val="22"/>
        </w:rPr>
        <w:t xml:space="preserve">, </w:t>
      </w:r>
      <w:r w:rsidR="00B57AAF" w:rsidRPr="002E2B5B">
        <w:rPr>
          <w:rFonts w:ascii="Calibri" w:hAnsi="Calibri" w:cs="Calibri"/>
          <w:sz w:val="22"/>
          <w:szCs w:val="22"/>
        </w:rPr>
        <w:t>foram aplicados os seguintes recursos</w:t>
      </w:r>
      <w:r w:rsidR="00352C7D">
        <w:rPr>
          <w:rFonts w:ascii="Calibri" w:hAnsi="Calibri" w:cs="Calibri"/>
          <w:sz w:val="22"/>
          <w:szCs w:val="22"/>
        </w:rPr>
        <w:t xml:space="preserve"> </w:t>
      </w:r>
      <w:r w:rsidR="00D37153">
        <w:rPr>
          <w:rFonts w:ascii="Calibri" w:hAnsi="Calibri" w:cs="Calibri"/>
          <w:sz w:val="22"/>
          <w:szCs w:val="22"/>
        </w:rPr>
        <w:t xml:space="preserve">até </w:t>
      </w:r>
      <w:r w:rsidR="00ED62F6">
        <w:rPr>
          <w:rFonts w:ascii="Calibri" w:hAnsi="Calibri" w:cs="Calibri"/>
          <w:sz w:val="22"/>
          <w:szCs w:val="22"/>
        </w:rPr>
        <w:t xml:space="preserve">o </w:t>
      </w:r>
      <w:r w:rsidR="00D37153">
        <w:rPr>
          <w:rFonts w:ascii="Calibri" w:hAnsi="Calibri" w:cs="Calibri"/>
          <w:sz w:val="22"/>
          <w:szCs w:val="22"/>
        </w:rPr>
        <w:t>2</w:t>
      </w:r>
      <w:r w:rsidR="00F0632B">
        <w:rPr>
          <w:rFonts w:ascii="Calibri" w:hAnsi="Calibri" w:cs="Calibri"/>
          <w:sz w:val="22"/>
          <w:szCs w:val="22"/>
        </w:rPr>
        <w:t>º trimestre de 2022</w:t>
      </w:r>
      <w:r w:rsidR="00860ECA" w:rsidRPr="002E2B5B">
        <w:rPr>
          <w:rFonts w:ascii="Calibri" w:hAnsi="Calibri" w:cs="Calibri"/>
          <w:sz w:val="22"/>
          <w:szCs w:val="22"/>
        </w:rPr>
        <w:t xml:space="preserve">: </w:t>
      </w:r>
    </w:p>
    <w:tbl>
      <w:tblPr>
        <w:tblW w:w="5000" w:type="pct"/>
        <w:tblCellMar>
          <w:left w:w="70" w:type="dxa"/>
          <w:right w:w="70" w:type="dxa"/>
        </w:tblCellMar>
        <w:tblLook w:val="04A0" w:firstRow="1" w:lastRow="0" w:firstColumn="1" w:lastColumn="0" w:noHBand="0" w:noVBand="1"/>
      </w:tblPr>
      <w:tblGrid>
        <w:gridCol w:w="2242"/>
        <w:gridCol w:w="2213"/>
        <w:gridCol w:w="1871"/>
        <w:gridCol w:w="1811"/>
        <w:gridCol w:w="2330"/>
      </w:tblGrid>
      <w:tr w:rsidR="00473D2F" w14:paraId="4B6253C4" w14:textId="77777777" w:rsidTr="000B3A75">
        <w:trPr>
          <w:trHeight w:hRule="exact" w:val="227"/>
        </w:trPr>
        <w:tc>
          <w:tcPr>
            <w:tcW w:w="1071" w:type="pct"/>
            <w:tcBorders>
              <w:top w:val="nil"/>
              <w:left w:val="nil"/>
              <w:bottom w:val="single" w:sz="8" w:space="0" w:color="auto"/>
              <w:right w:val="nil"/>
            </w:tcBorders>
            <w:shd w:val="clear" w:color="auto" w:fill="auto"/>
            <w:noWrap/>
            <w:vAlign w:val="center"/>
            <w:hideMark/>
          </w:tcPr>
          <w:p w14:paraId="08935A6C" w14:textId="77777777" w:rsidR="00473D2F" w:rsidRDefault="00473D2F" w:rsidP="00937ED9">
            <w:pPr>
              <w:spacing w:after="120"/>
              <w:rPr>
                <w:rFonts w:ascii="Calibri" w:hAnsi="Calibri" w:cs="Calibri"/>
                <w:b/>
                <w:bCs/>
                <w:color w:val="000000"/>
                <w:sz w:val="16"/>
                <w:szCs w:val="16"/>
              </w:rPr>
            </w:pPr>
            <w:r>
              <w:rPr>
                <w:rFonts w:ascii="Calibri" w:hAnsi="Calibri" w:cs="Calibri"/>
                <w:b/>
                <w:bCs/>
                <w:color w:val="000000"/>
                <w:sz w:val="16"/>
                <w:szCs w:val="16"/>
              </w:rPr>
              <w:t>LOA</w:t>
            </w:r>
          </w:p>
        </w:tc>
        <w:tc>
          <w:tcPr>
            <w:tcW w:w="1057" w:type="pct"/>
            <w:tcBorders>
              <w:top w:val="nil"/>
              <w:left w:val="nil"/>
              <w:bottom w:val="single" w:sz="8" w:space="0" w:color="auto"/>
              <w:right w:val="nil"/>
            </w:tcBorders>
            <w:shd w:val="clear" w:color="auto" w:fill="auto"/>
            <w:noWrap/>
            <w:vAlign w:val="center"/>
            <w:hideMark/>
          </w:tcPr>
          <w:p w14:paraId="18009FCD" w14:textId="4CD0F5B2" w:rsidR="00473D2F" w:rsidRDefault="00473D2F" w:rsidP="00937ED9">
            <w:pPr>
              <w:spacing w:after="120"/>
              <w:jc w:val="right"/>
              <w:rPr>
                <w:rFonts w:ascii="Calibri" w:hAnsi="Calibri" w:cs="Calibri"/>
                <w:b/>
                <w:bCs/>
                <w:color w:val="000000"/>
                <w:sz w:val="16"/>
                <w:szCs w:val="16"/>
              </w:rPr>
            </w:pPr>
            <w:r>
              <w:rPr>
                <w:rFonts w:ascii="Calibri" w:hAnsi="Calibri" w:cs="Calibri"/>
                <w:b/>
                <w:bCs/>
                <w:color w:val="000000"/>
                <w:sz w:val="16"/>
                <w:szCs w:val="16"/>
              </w:rPr>
              <w:t>DOTAÇÃO 202</w:t>
            </w:r>
            <w:r w:rsidR="00F0632B">
              <w:rPr>
                <w:rFonts w:ascii="Calibri" w:hAnsi="Calibri" w:cs="Calibri"/>
                <w:b/>
                <w:bCs/>
                <w:color w:val="000000"/>
                <w:sz w:val="16"/>
                <w:szCs w:val="16"/>
              </w:rPr>
              <w:t>2</w:t>
            </w:r>
          </w:p>
        </w:tc>
        <w:tc>
          <w:tcPr>
            <w:tcW w:w="894" w:type="pct"/>
            <w:tcBorders>
              <w:top w:val="nil"/>
              <w:left w:val="nil"/>
              <w:bottom w:val="single" w:sz="8" w:space="0" w:color="auto"/>
              <w:right w:val="nil"/>
            </w:tcBorders>
            <w:shd w:val="clear" w:color="auto" w:fill="auto"/>
            <w:vAlign w:val="center"/>
            <w:hideMark/>
          </w:tcPr>
          <w:p w14:paraId="6AFF48A6" w14:textId="77777777" w:rsidR="00473D2F" w:rsidRDefault="00473D2F" w:rsidP="00937ED9">
            <w:pPr>
              <w:spacing w:after="120"/>
              <w:jc w:val="right"/>
              <w:rPr>
                <w:rFonts w:ascii="Calibri" w:hAnsi="Calibri" w:cs="Calibri"/>
                <w:b/>
                <w:bCs/>
                <w:color w:val="000000"/>
                <w:sz w:val="16"/>
                <w:szCs w:val="16"/>
              </w:rPr>
            </w:pPr>
            <w:r>
              <w:rPr>
                <w:rFonts w:ascii="Calibri" w:hAnsi="Calibri" w:cs="Calibri"/>
                <w:b/>
                <w:bCs/>
                <w:color w:val="000000"/>
                <w:sz w:val="16"/>
                <w:szCs w:val="16"/>
              </w:rPr>
              <w:t>EMPENHADO</w:t>
            </w:r>
          </w:p>
        </w:tc>
        <w:tc>
          <w:tcPr>
            <w:tcW w:w="865" w:type="pct"/>
            <w:tcBorders>
              <w:top w:val="nil"/>
              <w:left w:val="nil"/>
              <w:bottom w:val="single" w:sz="8" w:space="0" w:color="auto"/>
              <w:right w:val="nil"/>
            </w:tcBorders>
            <w:shd w:val="clear" w:color="auto" w:fill="auto"/>
            <w:noWrap/>
            <w:vAlign w:val="center"/>
            <w:hideMark/>
          </w:tcPr>
          <w:p w14:paraId="5E92E597" w14:textId="77777777" w:rsidR="00473D2F" w:rsidRDefault="00473D2F" w:rsidP="00937ED9">
            <w:pPr>
              <w:spacing w:after="120"/>
              <w:jc w:val="right"/>
              <w:rPr>
                <w:rFonts w:ascii="Calibri" w:hAnsi="Calibri" w:cs="Calibri"/>
                <w:b/>
                <w:bCs/>
                <w:color w:val="000000"/>
                <w:sz w:val="16"/>
                <w:szCs w:val="16"/>
              </w:rPr>
            </w:pPr>
            <w:r>
              <w:rPr>
                <w:rFonts w:ascii="Calibri" w:hAnsi="Calibri" w:cs="Calibri"/>
                <w:b/>
                <w:bCs/>
                <w:color w:val="000000"/>
                <w:sz w:val="16"/>
                <w:szCs w:val="16"/>
              </w:rPr>
              <w:t>LIQUIDADO</w:t>
            </w:r>
          </w:p>
        </w:tc>
        <w:tc>
          <w:tcPr>
            <w:tcW w:w="1114" w:type="pct"/>
            <w:tcBorders>
              <w:top w:val="nil"/>
              <w:left w:val="nil"/>
              <w:bottom w:val="single" w:sz="8" w:space="0" w:color="auto"/>
              <w:right w:val="nil"/>
            </w:tcBorders>
            <w:shd w:val="clear" w:color="auto" w:fill="auto"/>
            <w:noWrap/>
            <w:vAlign w:val="center"/>
            <w:hideMark/>
          </w:tcPr>
          <w:p w14:paraId="447EB13D" w14:textId="77777777" w:rsidR="00473D2F" w:rsidRDefault="00473D2F" w:rsidP="00937ED9">
            <w:pPr>
              <w:spacing w:after="120"/>
              <w:jc w:val="right"/>
              <w:rPr>
                <w:rFonts w:ascii="Calibri" w:hAnsi="Calibri" w:cs="Calibri"/>
                <w:b/>
                <w:bCs/>
                <w:color w:val="000000"/>
                <w:sz w:val="16"/>
                <w:szCs w:val="16"/>
              </w:rPr>
            </w:pPr>
            <w:r>
              <w:rPr>
                <w:rFonts w:ascii="Calibri" w:hAnsi="Calibri" w:cs="Calibri"/>
                <w:b/>
                <w:bCs/>
                <w:color w:val="000000"/>
                <w:sz w:val="16"/>
                <w:szCs w:val="16"/>
              </w:rPr>
              <w:t>PAGO</w:t>
            </w:r>
          </w:p>
        </w:tc>
      </w:tr>
      <w:tr w:rsidR="00473D2F" w14:paraId="0B217715" w14:textId="77777777" w:rsidTr="000B3A75">
        <w:trPr>
          <w:trHeight w:hRule="exact" w:val="227"/>
        </w:trPr>
        <w:tc>
          <w:tcPr>
            <w:tcW w:w="1071" w:type="pct"/>
            <w:tcBorders>
              <w:top w:val="nil"/>
              <w:left w:val="nil"/>
              <w:bottom w:val="nil"/>
              <w:right w:val="nil"/>
            </w:tcBorders>
            <w:shd w:val="clear" w:color="auto" w:fill="auto"/>
            <w:noWrap/>
            <w:vAlign w:val="center"/>
            <w:hideMark/>
          </w:tcPr>
          <w:p w14:paraId="1634618B" w14:textId="77777777" w:rsidR="00473D2F" w:rsidRDefault="00473D2F" w:rsidP="00937ED9">
            <w:pPr>
              <w:spacing w:after="120"/>
              <w:rPr>
                <w:rFonts w:ascii="Calibri" w:hAnsi="Calibri" w:cs="Calibri"/>
                <w:color w:val="000000"/>
                <w:sz w:val="16"/>
                <w:szCs w:val="16"/>
              </w:rPr>
            </w:pPr>
            <w:r>
              <w:rPr>
                <w:rFonts w:ascii="Calibri" w:hAnsi="Calibri" w:cs="Calibri"/>
                <w:color w:val="000000"/>
                <w:sz w:val="16"/>
                <w:szCs w:val="16"/>
              </w:rPr>
              <w:t>Custeio</w:t>
            </w:r>
          </w:p>
        </w:tc>
        <w:tc>
          <w:tcPr>
            <w:tcW w:w="1057" w:type="pct"/>
            <w:tcBorders>
              <w:top w:val="nil"/>
              <w:left w:val="nil"/>
              <w:bottom w:val="nil"/>
              <w:right w:val="nil"/>
            </w:tcBorders>
            <w:shd w:val="clear" w:color="auto" w:fill="auto"/>
            <w:noWrap/>
            <w:vAlign w:val="center"/>
            <w:hideMark/>
          </w:tcPr>
          <w:p w14:paraId="728ED514" w14:textId="043DA367" w:rsidR="00473D2F" w:rsidRDefault="00D37153" w:rsidP="00937ED9">
            <w:pPr>
              <w:spacing w:after="120"/>
              <w:jc w:val="right"/>
              <w:rPr>
                <w:rFonts w:ascii="Calibri" w:hAnsi="Calibri" w:cs="Calibri"/>
                <w:color w:val="000000"/>
                <w:sz w:val="16"/>
                <w:szCs w:val="16"/>
              </w:rPr>
            </w:pPr>
            <w:r>
              <w:rPr>
                <w:rFonts w:ascii="Calibri" w:hAnsi="Calibri" w:cs="Calibri"/>
                <w:color w:val="000000"/>
                <w:sz w:val="16"/>
                <w:szCs w:val="16"/>
              </w:rPr>
              <w:t>46.613.548</w:t>
            </w:r>
          </w:p>
        </w:tc>
        <w:tc>
          <w:tcPr>
            <w:tcW w:w="894" w:type="pct"/>
            <w:tcBorders>
              <w:top w:val="nil"/>
              <w:left w:val="nil"/>
              <w:bottom w:val="nil"/>
              <w:right w:val="nil"/>
            </w:tcBorders>
            <w:shd w:val="clear" w:color="auto" w:fill="auto"/>
            <w:noWrap/>
            <w:vAlign w:val="center"/>
            <w:hideMark/>
          </w:tcPr>
          <w:p w14:paraId="6C915A52" w14:textId="54C483A6" w:rsidR="00473D2F" w:rsidRDefault="00D37153" w:rsidP="00937ED9">
            <w:pPr>
              <w:spacing w:after="120"/>
              <w:jc w:val="right"/>
              <w:rPr>
                <w:rFonts w:ascii="Calibri" w:hAnsi="Calibri" w:cs="Calibri"/>
                <w:color w:val="000000"/>
                <w:sz w:val="16"/>
                <w:szCs w:val="16"/>
              </w:rPr>
            </w:pPr>
            <w:r>
              <w:rPr>
                <w:rFonts w:ascii="Calibri" w:hAnsi="Calibri" w:cs="Calibri"/>
                <w:color w:val="000000"/>
                <w:sz w:val="16"/>
                <w:szCs w:val="16"/>
              </w:rPr>
              <w:t>28.493.497</w:t>
            </w:r>
          </w:p>
        </w:tc>
        <w:tc>
          <w:tcPr>
            <w:tcW w:w="865" w:type="pct"/>
            <w:tcBorders>
              <w:top w:val="nil"/>
              <w:left w:val="nil"/>
              <w:bottom w:val="nil"/>
              <w:right w:val="nil"/>
            </w:tcBorders>
            <w:shd w:val="clear" w:color="auto" w:fill="auto"/>
            <w:noWrap/>
            <w:vAlign w:val="center"/>
            <w:hideMark/>
          </w:tcPr>
          <w:p w14:paraId="1F42F7F3" w14:textId="33B6E7C7" w:rsidR="00473D2F" w:rsidRDefault="00D37153" w:rsidP="00937ED9">
            <w:pPr>
              <w:spacing w:after="120"/>
              <w:jc w:val="right"/>
              <w:rPr>
                <w:rFonts w:ascii="Calibri" w:hAnsi="Calibri" w:cs="Calibri"/>
                <w:color w:val="000000"/>
                <w:sz w:val="16"/>
                <w:szCs w:val="16"/>
              </w:rPr>
            </w:pPr>
            <w:r>
              <w:rPr>
                <w:rFonts w:ascii="Calibri" w:hAnsi="Calibri" w:cs="Calibri"/>
                <w:color w:val="000000"/>
                <w:sz w:val="16"/>
                <w:szCs w:val="16"/>
              </w:rPr>
              <w:t>7.477.238</w:t>
            </w:r>
          </w:p>
        </w:tc>
        <w:tc>
          <w:tcPr>
            <w:tcW w:w="1114" w:type="pct"/>
            <w:tcBorders>
              <w:top w:val="nil"/>
              <w:left w:val="nil"/>
              <w:bottom w:val="nil"/>
              <w:right w:val="nil"/>
            </w:tcBorders>
            <w:shd w:val="clear" w:color="auto" w:fill="auto"/>
            <w:noWrap/>
            <w:vAlign w:val="center"/>
            <w:hideMark/>
          </w:tcPr>
          <w:p w14:paraId="672ED800" w14:textId="646000FD" w:rsidR="00473D2F" w:rsidRDefault="00D37153" w:rsidP="00937ED9">
            <w:pPr>
              <w:spacing w:after="120"/>
              <w:jc w:val="right"/>
              <w:rPr>
                <w:rFonts w:ascii="Calibri" w:hAnsi="Calibri" w:cs="Calibri"/>
                <w:color w:val="000000"/>
                <w:sz w:val="16"/>
                <w:szCs w:val="16"/>
              </w:rPr>
            </w:pPr>
            <w:r>
              <w:rPr>
                <w:rFonts w:ascii="Calibri" w:hAnsi="Calibri" w:cs="Calibri"/>
                <w:color w:val="000000"/>
                <w:sz w:val="16"/>
                <w:szCs w:val="16"/>
              </w:rPr>
              <w:t>7.066.485</w:t>
            </w:r>
          </w:p>
        </w:tc>
      </w:tr>
      <w:tr w:rsidR="00473D2F" w14:paraId="208EC302" w14:textId="77777777" w:rsidTr="000B3A75">
        <w:trPr>
          <w:trHeight w:hRule="exact" w:val="227"/>
        </w:trPr>
        <w:tc>
          <w:tcPr>
            <w:tcW w:w="1071" w:type="pct"/>
            <w:tcBorders>
              <w:top w:val="nil"/>
              <w:left w:val="nil"/>
              <w:bottom w:val="nil"/>
              <w:right w:val="nil"/>
            </w:tcBorders>
            <w:shd w:val="clear" w:color="auto" w:fill="auto"/>
            <w:noWrap/>
            <w:vAlign w:val="center"/>
            <w:hideMark/>
          </w:tcPr>
          <w:p w14:paraId="1DE21681" w14:textId="77777777" w:rsidR="00473D2F" w:rsidRDefault="00473D2F" w:rsidP="00937ED9">
            <w:pPr>
              <w:spacing w:after="120"/>
              <w:rPr>
                <w:rFonts w:ascii="Calibri" w:hAnsi="Calibri" w:cs="Calibri"/>
                <w:color w:val="000000"/>
                <w:sz w:val="16"/>
                <w:szCs w:val="16"/>
              </w:rPr>
            </w:pPr>
            <w:r>
              <w:rPr>
                <w:rFonts w:ascii="Calibri" w:hAnsi="Calibri" w:cs="Calibri"/>
                <w:color w:val="000000"/>
                <w:sz w:val="16"/>
                <w:szCs w:val="16"/>
              </w:rPr>
              <w:t>Pessoal e encargos</w:t>
            </w:r>
          </w:p>
        </w:tc>
        <w:tc>
          <w:tcPr>
            <w:tcW w:w="1057" w:type="pct"/>
            <w:tcBorders>
              <w:top w:val="nil"/>
              <w:left w:val="nil"/>
              <w:bottom w:val="nil"/>
              <w:right w:val="nil"/>
            </w:tcBorders>
            <w:shd w:val="clear" w:color="auto" w:fill="auto"/>
            <w:noWrap/>
            <w:vAlign w:val="center"/>
            <w:hideMark/>
          </w:tcPr>
          <w:p w14:paraId="05861D59" w14:textId="4267C769" w:rsidR="00473D2F" w:rsidRDefault="00F0632B" w:rsidP="00937ED9">
            <w:pPr>
              <w:spacing w:after="120"/>
              <w:jc w:val="right"/>
              <w:rPr>
                <w:rFonts w:ascii="Calibri" w:hAnsi="Calibri" w:cs="Calibri"/>
                <w:color w:val="000000"/>
                <w:sz w:val="16"/>
                <w:szCs w:val="16"/>
              </w:rPr>
            </w:pPr>
            <w:r>
              <w:rPr>
                <w:rFonts w:ascii="Calibri" w:hAnsi="Calibri" w:cs="Calibri"/>
                <w:color w:val="000000"/>
                <w:sz w:val="16"/>
                <w:szCs w:val="16"/>
              </w:rPr>
              <w:t>11</w:t>
            </w:r>
            <w:r w:rsidR="00D37153">
              <w:rPr>
                <w:rFonts w:ascii="Calibri" w:hAnsi="Calibri" w:cs="Calibri"/>
                <w:color w:val="000000"/>
                <w:sz w:val="16"/>
                <w:szCs w:val="16"/>
              </w:rPr>
              <w:t>7.180.060</w:t>
            </w:r>
          </w:p>
        </w:tc>
        <w:tc>
          <w:tcPr>
            <w:tcW w:w="894" w:type="pct"/>
            <w:tcBorders>
              <w:top w:val="nil"/>
              <w:left w:val="nil"/>
              <w:bottom w:val="nil"/>
              <w:right w:val="nil"/>
            </w:tcBorders>
            <w:shd w:val="clear" w:color="auto" w:fill="auto"/>
            <w:noWrap/>
            <w:vAlign w:val="center"/>
            <w:hideMark/>
          </w:tcPr>
          <w:p w14:paraId="05208194" w14:textId="7C49FCE1" w:rsidR="00473D2F" w:rsidRDefault="00D37153" w:rsidP="00937ED9">
            <w:pPr>
              <w:spacing w:after="120"/>
              <w:jc w:val="right"/>
              <w:rPr>
                <w:rFonts w:ascii="Calibri" w:hAnsi="Calibri" w:cs="Calibri"/>
                <w:color w:val="000000"/>
                <w:sz w:val="16"/>
                <w:szCs w:val="16"/>
              </w:rPr>
            </w:pPr>
            <w:r>
              <w:rPr>
                <w:rFonts w:ascii="Calibri" w:hAnsi="Calibri" w:cs="Calibri"/>
                <w:color w:val="000000"/>
                <w:sz w:val="16"/>
                <w:szCs w:val="16"/>
              </w:rPr>
              <w:t>111.704.759</w:t>
            </w:r>
          </w:p>
        </w:tc>
        <w:tc>
          <w:tcPr>
            <w:tcW w:w="865" w:type="pct"/>
            <w:tcBorders>
              <w:top w:val="nil"/>
              <w:left w:val="nil"/>
              <w:bottom w:val="nil"/>
              <w:right w:val="nil"/>
            </w:tcBorders>
            <w:shd w:val="clear" w:color="auto" w:fill="auto"/>
            <w:noWrap/>
            <w:vAlign w:val="center"/>
            <w:hideMark/>
          </w:tcPr>
          <w:p w14:paraId="4B17BE9E" w14:textId="024EB1DE" w:rsidR="00473D2F" w:rsidRDefault="00D37153" w:rsidP="00937ED9">
            <w:pPr>
              <w:spacing w:after="120"/>
              <w:jc w:val="right"/>
              <w:rPr>
                <w:rFonts w:ascii="Calibri" w:hAnsi="Calibri" w:cs="Calibri"/>
                <w:color w:val="000000"/>
                <w:sz w:val="16"/>
                <w:szCs w:val="16"/>
              </w:rPr>
            </w:pPr>
            <w:r>
              <w:rPr>
                <w:rFonts w:ascii="Calibri" w:hAnsi="Calibri" w:cs="Calibri"/>
                <w:color w:val="000000"/>
                <w:sz w:val="16"/>
                <w:szCs w:val="16"/>
              </w:rPr>
              <w:t>59.569.149</w:t>
            </w:r>
          </w:p>
        </w:tc>
        <w:tc>
          <w:tcPr>
            <w:tcW w:w="1114" w:type="pct"/>
            <w:tcBorders>
              <w:top w:val="nil"/>
              <w:left w:val="nil"/>
              <w:bottom w:val="nil"/>
              <w:right w:val="nil"/>
            </w:tcBorders>
            <w:shd w:val="clear" w:color="auto" w:fill="auto"/>
            <w:noWrap/>
            <w:vAlign w:val="center"/>
            <w:hideMark/>
          </w:tcPr>
          <w:p w14:paraId="68F8818C" w14:textId="2E7605BB" w:rsidR="00473D2F" w:rsidRDefault="00D37153" w:rsidP="00937ED9">
            <w:pPr>
              <w:spacing w:after="120"/>
              <w:jc w:val="right"/>
              <w:rPr>
                <w:rFonts w:ascii="Calibri" w:hAnsi="Calibri" w:cs="Calibri"/>
                <w:color w:val="000000"/>
                <w:sz w:val="16"/>
                <w:szCs w:val="16"/>
              </w:rPr>
            </w:pPr>
            <w:r>
              <w:rPr>
                <w:rFonts w:ascii="Calibri" w:hAnsi="Calibri" w:cs="Calibri"/>
                <w:color w:val="000000"/>
                <w:sz w:val="16"/>
                <w:szCs w:val="16"/>
              </w:rPr>
              <w:t>52.831.003</w:t>
            </w:r>
          </w:p>
        </w:tc>
      </w:tr>
      <w:tr w:rsidR="00473D2F" w14:paraId="4FDC367B" w14:textId="77777777" w:rsidTr="000B3A75">
        <w:trPr>
          <w:trHeight w:hRule="exact" w:val="227"/>
        </w:trPr>
        <w:tc>
          <w:tcPr>
            <w:tcW w:w="1071" w:type="pct"/>
            <w:tcBorders>
              <w:top w:val="nil"/>
              <w:left w:val="nil"/>
              <w:bottom w:val="single" w:sz="8" w:space="0" w:color="auto"/>
              <w:right w:val="nil"/>
            </w:tcBorders>
            <w:shd w:val="clear" w:color="auto" w:fill="auto"/>
            <w:noWrap/>
            <w:vAlign w:val="center"/>
            <w:hideMark/>
          </w:tcPr>
          <w:p w14:paraId="1FDBF3D4" w14:textId="77777777" w:rsidR="00473D2F" w:rsidRDefault="00473D2F" w:rsidP="00937ED9">
            <w:pPr>
              <w:spacing w:after="120"/>
              <w:rPr>
                <w:rFonts w:ascii="Calibri" w:hAnsi="Calibri" w:cs="Calibri"/>
                <w:color w:val="000000"/>
                <w:sz w:val="16"/>
                <w:szCs w:val="16"/>
              </w:rPr>
            </w:pPr>
            <w:r>
              <w:rPr>
                <w:rFonts w:ascii="Calibri" w:hAnsi="Calibri" w:cs="Calibri"/>
                <w:color w:val="000000"/>
                <w:sz w:val="16"/>
                <w:szCs w:val="16"/>
              </w:rPr>
              <w:t>Investimento</w:t>
            </w:r>
          </w:p>
        </w:tc>
        <w:tc>
          <w:tcPr>
            <w:tcW w:w="1057" w:type="pct"/>
            <w:tcBorders>
              <w:top w:val="nil"/>
              <w:left w:val="nil"/>
              <w:bottom w:val="single" w:sz="8" w:space="0" w:color="auto"/>
              <w:right w:val="nil"/>
            </w:tcBorders>
            <w:shd w:val="clear" w:color="auto" w:fill="auto"/>
            <w:noWrap/>
            <w:vAlign w:val="center"/>
            <w:hideMark/>
          </w:tcPr>
          <w:p w14:paraId="5425C629" w14:textId="4E059E5F" w:rsidR="00473D2F" w:rsidRDefault="00F0632B" w:rsidP="00937ED9">
            <w:pPr>
              <w:spacing w:after="120"/>
              <w:jc w:val="right"/>
              <w:rPr>
                <w:rFonts w:ascii="Calibri" w:hAnsi="Calibri" w:cs="Calibri"/>
                <w:color w:val="000000"/>
                <w:sz w:val="16"/>
                <w:szCs w:val="16"/>
              </w:rPr>
            </w:pPr>
            <w:r>
              <w:rPr>
                <w:rFonts w:ascii="Calibri" w:hAnsi="Calibri" w:cs="Calibri"/>
                <w:color w:val="000000"/>
                <w:sz w:val="16"/>
                <w:szCs w:val="16"/>
              </w:rPr>
              <w:t>3</w:t>
            </w:r>
            <w:r w:rsidR="00D37153">
              <w:rPr>
                <w:rFonts w:ascii="Calibri" w:hAnsi="Calibri" w:cs="Calibri"/>
                <w:color w:val="000000"/>
                <w:sz w:val="16"/>
                <w:szCs w:val="16"/>
              </w:rPr>
              <w:t>12.500.397</w:t>
            </w:r>
          </w:p>
        </w:tc>
        <w:tc>
          <w:tcPr>
            <w:tcW w:w="894" w:type="pct"/>
            <w:tcBorders>
              <w:top w:val="nil"/>
              <w:left w:val="nil"/>
              <w:bottom w:val="single" w:sz="8" w:space="0" w:color="auto"/>
              <w:right w:val="nil"/>
            </w:tcBorders>
            <w:shd w:val="clear" w:color="auto" w:fill="auto"/>
            <w:noWrap/>
            <w:vAlign w:val="center"/>
            <w:hideMark/>
          </w:tcPr>
          <w:p w14:paraId="482FEAEF" w14:textId="7DE0F7E8" w:rsidR="00473D2F" w:rsidRDefault="00D37153" w:rsidP="00937ED9">
            <w:pPr>
              <w:spacing w:after="120"/>
              <w:jc w:val="right"/>
              <w:rPr>
                <w:rFonts w:ascii="Calibri" w:hAnsi="Calibri" w:cs="Calibri"/>
                <w:color w:val="000000"/>
                <w:sz w:val="16"/>
                <w:szCs w:val="16"/>
              </w:rPr>
            </w:pPr>
            <w:r>
              <w:rPr>
                <w:rFonts w:ascii="Calibri" w:hAnsi="Calibri" w:cs="Calibri"/>
                <w:color w:val="000000"/>
                <w:sz w:val="16"/>
                <w:szCs w:val="16"/>
              </w:rPr>
              <w:t>266.900.396</w:t>
            </w:r>
          </w:p>
        </w:tc>
        <w:tc>
          <w:tcPr>
            <w:tcW w:w="865" w:type="pct"/>
            <w:tcBorders>
              <w:top w:val="nil"/>
              <w:left w:val="nil"/>
              <w:bottom w:val="single" w:sz="8" w:space="0" w:color="auto"/>
              <w:right w:val="nil"/>
            </w:tcBorders>
            <w:shd w:val="clear" w:color="auto" w:fill="auto"/>
            <w:noWrap/>
            <w:vAlign w:val="center"/>
            <w:hideMark/>
          </w:tcPr>
          <w:p w14:paraId="7154BD12" w14:textId="63112D71" w:rsidR="00473D2F" w:rsidRDefault="00D37153" w:rsidP="00937ED9">
            <w:pPr>
              <w:spacing w:after="120"/>
              <w:jc w:val="right"/>
              <w:rPr>
                <w:rFonts w:ascii="Calibri" w:hAnsi="Calibri" w:cs="Calibri"/>
                <w:color w:val="000000"/>
                <w:sz w:val="16"/>
                <w:szCs w:val="16"/>
              </w:rPr>
            </w:pPr>
            <w:r>
              <w:rPr>
                <w:rFonts w:ascii="Calibri" w:hAnsi="Calibri" w:cs="Calibri"/>
                <w:color w:val="000000"/>
                <w:sz w:val="16"/>
                <w:szCs w:val="16"/>
              </w:rPr>
              <w:t>7.598.669</w:t>
            </w:r>
          </w:p>
        </w:tc>
        <w:tc>
          <w:tcPr>
            <w:tcW w:w="1114" w:type="pct"/>
            <w:tcBorders>
              <w:top w:val="nil"/>
              <w:left w:val="nil"/>
              <w:bottom w:val="single" w:sz="8" w:space="0" w:color="auto"/>
              <w:right w:val="nil"/>
            </w:tcBorders>
            <w:shd w:val="clear" w:color="auto" w:fill="auto"/>
            <w:noWrap/>
            <w:vAlign w:val="center"/>
            <w:hideMark/>
          </w:tcPr>
          <w:p w14:paraId="5AE64B1B" w14:textId="237C410F" w:rsidR="00473D2F" w:rsidRDefault="00D37153" w:rsidP="00937ED9">
            <w:pPr>
              <w:spacing w:after="120"/>
              <w:jc w:val="right"/>
              <w:rPr>
                <w:rFonts w:ascii="Calibri" w:hAnsi="Calibri" w:cs="Calibri"/>
                <w:color w:val="000000"/>
                <w:sz w:val="16"/>
                <w:szCs w:val="16"/>
              </w:rPr>
            </w:pPr>
            <w:r>
              <w:rPr>
                <w:rFonts w:ascii="Calibri" w:hAnsi="Calibri" w:cs="Calibri"/>
                <w:color w:val="000000"/>
                <w:sz w:val="16"/>
                <w:szCs w:val="16"/>
              </w:rPr>
              <w:t>7.269.595</w:t>
            </w:r>
          </w:p>
        </w:tc>
      </w:tr>
      <w:tr w:rsidR="00473D2F" w14:paraId="15A50117" w14:textId="77777777" w:rsidTr="000B3A75">
        <w:trPr>
          <w:trHeight w:hRule="exact" w:val="227"/>
        </w:trPr>
        <w:tc>
          <w:tcPr>
            <w:tcW w:w="1071" w:type="pct"/>
            <w:tcBorders>
              <w:top w:val="nil"/>
              <w:left w:val="nil"/>
              <w:bottom w:val="single" w:sz="8" w:space="0" w:color="auto"/>
              <w:right w:val="nil"/>
            </w:tcBorders>
            <w:shd w:val="clear" w:color="auto" w:fill="auto"/>
            <w:noWrap/>
            <w:vAlign w:val="center"/>
            <w:hideMark/>
          </w:tcPr>
          <w:p w14:paraId="4E22E732" w14:textId="77777777" w:rsidR="00473D2F" w:rsidRDefault="00473D2F" w:rsidP="00937ED9">
            <w:pPr>
              <w:spacing w:after="120"/>
              <w:rPr>
                <w:rFonts w:ascii="Calibri" w:hAnsi="Calibri" w:cs="Calibri"/>
                <w:b/>
                <w:bCs/>
                <w:color w:val="000000"/>
                <w:sz w:val="16"/>
                <w:szCs w:val="16"/>
              </w:rPr>
            </w:pPr>
            <w:r>
              <w:rPr>
                <w:rFonts w:ascii="Calibri" w:hAnsi="Calibri" w:cs="Calibri"/>
                <w:b/>
                <w:bCs/>
                <w:color w:val="000000"/>
                <w:sz w:val="16"/>
                <w:szCs w:val="16"/>
              </w:rPr>
              <w:t>TOTAL GERAL</w:t>
            </w:r>
          </w:p>
        </w:tc>
        <w:tc>
          <w:tcPr>
            <w:tcW w:w="1057" w:type="pct"/>
            <w:tcBorders>
              <w:top w:val="nil"/>
              <w:left w:val="nil"/>
              <w:bottom w:val="single" w:sz="8" w:space="0" w:color="auto"/>
              <w:right w:val="nil"/>
            </w:tcBorders>
            <w:shd w:val="clear" w:color="auto" w:fill="auto"/>
            <w:noWrap/>
            <w:vAlign w:val="center"/>
            <w:hideMark/>
          </w:tcPr>
          <w:p w14:paraId="2C0C5330" w14:textId="11C4A0D8" w:rsidR="00473D2F" w:rsidRDefault="00D37153" w:rsidP="00937ED9">
            <w:pPr>
              <w:spacing w:after="120"/>
              <w:jc w:val="right"/>
              <w:rPr>
                <w:rFonts w:ascii="Calibri" w:hAnsi="Calibri" w:cs="Calibri"/>
                <w:b/>
                <w:bCs/>
                <w:color w:val="000000"/>
                <w:sz w:val="16"/>
                <w:szCs w:val="16"/>
              </w:rPr>
            </w:pPr>
            <w:r>
              <w:rPr>
                <w:rFonts w:ascii="Calibri" w:hAnsi="Calibri" w:cs="Calibri"/>
                <w:b/>
                <w:bCs/>
                <w:color w:val="000000"/>
                <w:sz w:val="16"/>
                <w:szCs w:val="16"/>
              </w:rPr>
              <w:t>476.294.005</w:t>
            </w:r>
          </w:p>
        </w:tc>
        <w:tc>
          <w:tcPr>
            <w:tcW w:w="894" w:type="pct"/>
            <w:tcBorders>
              <w:top w:val="nil"/>
              <w:left w:val="nil"/>
              <w:bottom w:val="single" w:sz="8" w:space="0" w:color="auto"/>
              <w:right w:val="nil"/>
            </w:tcBorders>
            <w:shd w:val="clear" w:color="auto" w:fill="auto"/>
            <w:noWrap/>
            <w:vAlign w:val="center"/>
            <w:hideMark/>
          </w:tcPr>
          <w:p w14:paraId="6FE03319" w14:textId="54FDE821" w:rsidR="00473D2F" w:rsidRDefault="00D37153" w:rsidP="00937ED9">
            <w:pPr>
              <w:spacing w:after="120"/>
              <w:jc w:val="right"/>
              <w:rPr>
                <w:rFonts w:ascii="Calibri" w:hAnsi="Calibri" w:cs="Calibri"/>
                <w:b/>
                <w:bCs/>
                <w:color w:val="000000"/>
                <w:sz w:val="16"/>
                <w:szCs w:val="16"/>
              </w:rPr>
            </w:pPr>
            <w:r>
              <w:rPr>
                <w:rFonts w:ascii="Calibri" w:hAnsi="Calibri" w:cs="Calibri"/>
                <w:b/>
                <w:bCs/>
                <w:color w:val="000000"/>
                <w:sz w:val="16"/>
                <w:szCs w:val="16"/>
              </w:rPr>
              <w:t>407.098.652</w:t>
            </w:r>
          </w:p>
        </w:tc>
        <w:tc>
          <w:tcPr>
            <w:tcW w:w="865" w:type="pct"/>
            <w:tcBorders>
              <w:top w:val="nil"/>
              <w:left w:val="nil"/>
              <w:bottom w:val="single" w:sz="8" w:space="0" w:color="auto"/>
              <w:right w:val="nil"/>
            </w:tcBorders>
            <w:shd w:val="clear" w:color="auto" w:fill="auto"/>
            <w:noWrap/>
            <w:vAlign w:val="center"/>
            <w:hideMark/>
          </w:tcPr>
          <w:p w14:paraId="07153E0C" w14:textId="17C8F9A2" w:rsidR="00473D2F" w:rsidRDefault="00D37153" w:rsidP="00937ED9">
            <w:pPr>
              <w:spacing w:after="120"/>
              <w:jc w:val="right"/>
              <w:rPr>
                <w:rFonts w:ascii="Calibri" w:hAnsi="Calibri" w:cs="Calibri"/>
                <w:b/>
                <w:bCs/>
                <w:color w:val="000000"/>
                <w:sz w:val="16"/>
                <w:szCs w:val="16"/>
              </w:rPr>
            </w:pPr>
            <w:r>
              <w:rPr>
                <w:rFonts w:ascii="Calibri" w:hAnsi="Calibri" w:cs="Calibri"/>
                <w:b/>
                <w:bCs/>
                <w:color w:val="000000"/>
                <w:sz w:val="16"/>
                <w:szCs w:val="16"/>
              </w:rPr>
              <w:t>74.645.056</w:t>
            </w:r>
          </w:p>
        </w:tc>
        <w:tc>
          <w:tcPr>
            <w:tcW w:w="1114" w:type="pct"/>
            <w:tcBorders>
              <w:top w:val="nil"/>
              <w:left w:val="nil"/>
              <w:bottom w:val="single" w:sz="8" w:space="0" w:color="auto"/>
              <w:right w:val="nil"/>
            </w:tcBorders>
            <w:shd w:val="clear" w:color="auto" w:fill="auto"/>
            <w:noWrap/>
            <w:vAlign w:val="center"/>
            <w:hideMark/>
          </w:tcPr>
          <w:p w14:paraId="54F9FE7E" w14:textId="78A5203B" w:rsidR="00473D2F" w:rsidRDefault="00D37153" w:rsidP="00937ED9">
            <w:pPr>
              <w:spacing w:after="120"/>
              <w:jc w:val="right"/>
              <w:rPr>
                <w:rFonts w:ascii="Calibri" w:hAnsi="Calibri" w:cs="Calibri"/>
                <w:b/>
                <w:bCs/>
                <w:color w:val="000000"/>
                <w:sz w:val="16"/>
                <w:szCs w:val="16"/>
              </w:rPr>
            </w:pPr>
            <w:r>
              <w:rPr>
                <w:rFonts w:ascii="Calibri" w:hAnsi="Calibri" w:cs="Calibri"/>
                <w:b/>
                <w:bCs/>
                <w:color w:val="000000"/>
                <w:sz w:val="16"/>
                <w:szCs w:val="16"/>
              </w:rPr>
              <w:t>67.167.083</w:t>
            </w:r>
          </w:p>
        </w:tc>
      </w:tr>
    </w:tbl>
    <w:p w14:paraId="0A9EC8F3" w14:textId="11F72593" w:rsidR="00B74DE7" w:rsidRDefault="007224BB" w:rsidP="00937ED9">
      <w:pPr>
        <w:spacing w:before="120" w:after="120"/>
        <w:ind w:right="-142"/>
        <w:jc w:val="both"/>
        <w:rPr>
          <w:rFonts w:ascii="Calibri" w:hAnsi="Calibri" w:cs="Calibri"/>
          <w:sz w:val="22"/>
          <w:szCs w:val="22"/>
        </w:rPr>
      </w:pPr>
      <w:r>
        <w:rPr>
          <w:rFonts w:ascii="Calibri" w:hAnsi="Calibri" w:cs="Calibri"/>
          <w:sz w:val="22"/>
          <w:szCs w:val="22"/>
        </w:rPr>
        <w:t xml:space="preserve">Até </w:t>
      </w:r>
      <w:r w:rsidR="003A29CF">
        <w:rPr>
          <w:rFonts w:ascii="Calibri" w:hAnsi="Calibri" w:cs="Calibri"/>
          <w:sz w:val="22"/>
          <w:szCs w:val="22"/>
        </w:rPr>
        <w:t>o</w:t>
      </w:r>
      <w:r w:rsidR="00ED62F6">
        <w:rPr>
          <w:rFonts w:ascii="Calibri" w:hAnsi="Calibri" w:cs="Calibri"/>
          <w:sz w:val="22"/>
          <w:szCs w:val="22"/>
        </w:rPr>
        <w:t xml:space="preserve"> </w:t>
      </w:r>
      <w:r>
        <w:rPr>
          <w:rFonts w:ascii="Calibri" w:hAnsi="Calibri" w:cs="Calibri"/>
          <w:sz w:val="22"/>
          <w:szCs w:val="22"/>
        </w:rPr>
        <w:t>2</w:t>
      </w:r>
      <w:r w:rsidR="00F0632B">
        <w:rPr>
          <w:rFonts w:ascii="Calibri" w:hAnsi="Calibri" w:cs="Calibri"/>
          <w:sz w:val="22"/>
          <w:szCs w:val="22"/>
        </w:rPr>
        <w:t>º trimestre de 2022</w:t>
      </w:r>
      <w:r w:rsidR="00807253" w:rsidRPr="002E2B5B">
        <w:rPr>
          <w:rFonts w:ascii="Calibri" w:hAnsi="Calibri" w:cs="Calibri"/>
          <w:sz w:val="22"/>
          <w:szCs w:val="22"/>
        </w:rPr>
        <w:t xml:space="preserve">, </w:t>
      </w:r>
      <w:r w:rsidR="00B57AAF" w:rsidRPr="002E2B5B">
        <w:rPr>
          <w:rFonts w:ascii="Calibri" w:hAnsi="Calibri" w:cs="Calibri"/>
          <w:sz w:val="22"/>
          <w:szCs w:val="22"/>
        </w:rPr>
        <w:t xml:space="preserve">os recursos aplicados, </w:t>
      </w:r>
      <w:r w:rsidR="001A6BF8" w:rsidRPr="002E2B5B">
        <w:rPr>
          <w:rFonts w:ascii="Calibri" w:hAnsi="Calibri" w:cs="Calibri"/>
          <w:sz w:val="22"/>
          <w:szCs w:val="22"/>
        </w:rPr>
        <w:t xml:space="preserve">segundo o SIOP, </w:t>
      </w:r>
      <w:r w:rsidR="00B57AAF" w:rsidRPr="002E2B5B">
        <w:rPr>
          <w:rFonts w:ascii="Calibri" w:hAnsi="Calibri" w:cs="Calibri"/>
          <w:sz w:val="22"/>
          <w:szCs w:val="22"/>
        </w:rPr>
        <w:t>provindos de Restos a Pagar (RP), foram:</w:t>
      </w:r>
    </w:p>
    <w:tbl>
      <w:tblPr>
        <w:tblW w:w="5000" w:type="pct"/>
        <w:tblCellMar>
          <w:left w:w="70" w:type="dxa"/>
          <w:right w:w="70" w:type="dxa"/>
        </w:tblCellMar>
        <w:tblLook w:val="04A0" w:firstRow="1" w:lastRow="0" w:firstColumn="1" w:lastColumn="0" w:noHBand="0" w:noVBand="1"/>
      </w:tblPr>
      <w:tblGrid>
        <w:gridCol w:w="1785"/>
        <w:gridCol w:w="1761"/>
        <w:gridCol w:w="1761"/>
        <w:gridCol w:w="1442"/>
        <w:gridCol w:w="1859"/>
        <w:gridCol w:w="1859"/>
      </w:tblGrid>
      <w:tr w:rsidR="00B74DE7" w14:paraId="668663E7" w14:textId="77777777" w:rsidTr="00B74DE7">
        <w:trPr>
          <w:trHeight w:val="227"/>
        </w:trPr>
        <w:tc>
          <w:tcPr>
            <w:tcW w:w="853" w:type="pct"/>
            <w:vMerge w:val="restart"/>
            <w:tcBorders>
              <w:top w:val="nil"/>
              <w:left w:val="nil"/>
              <w:bottom w:val="single" w:sz="8" w:space="0" w:color="000000"/>
              <w:right w:val="nil"/>
            </w:tcBorders>
            <w:shd w:val="clear" w:color="auto" w:fill="auto"/>
            <w:noWrap/>
            <w:vAlign w:val="center"/>
            <w:hideMark/>
          </w:tcPr>
          <w:p w14:paraId="6706B3EA" w14:textId="77777777" w:rsidR="00B74DE7" w:rsidRDefault="00B74DE7" w:rsidP="00937ED9">
            <w:pPr>
              <w:spacing w:after="120"/>
              <w:rPr>
                <w:rFonts w:ascii="Calibri" w:hAnsi="Calibri" w:cs="Calibri"/>
                <w:b/>
                <w:bCs/>
                <w:color w:val="000000"/>
                <w:sz w:val="16"/>
                <w:szCs w:val="16"/>
              </w:rPr>
            </w:pPr>
            <w:r>
              <w:rPr>
                <w:rFonts w:ascii="Calibri" w:hAnsi="Calibri" w:cs="Calibri"/>
                <w:b/>
                <w:bCs/>
                <w:color w:val="000000"/>
                <w:sz w:val="16"/>
                <w:szCs w:val="16"/>
              </w:rPr>
              <w:t>RESTOS A PAGAR</w:t>
            </w:r>
          </w:p>
        </w:tc>
        <w:tc>
          <w:tcPr>
            <w:tcW w:w="841" w:type="pct"/>
            <w:vMerge w:val="restart"/>
            <w:tcBorders>
              <w:top w:val="nil"/>
              <w:left w:val="nil"/>
              <w:bottom w:val="single" w:sz="8" w:space="0" w:color="000000"/>
              <w:right w:val="nil"/>
            </w:tcBorders>
            <w:shd w:val="clear" w:color="auto" w:fill="auto"/>
            <w:vAlign w:val="center"/>
            <w:hideMark/>
          </w:tcPr>
          <w:p w14:paraId="07310CE6" w14:textId="77777777" w:rsidR="00B74DE7" w:rsidRDefault="00B74DE7" w:rsidP="00937ED9">
            <w:pPr>
              <w:spacing w:after="120"/>
              <w:jc w:val="right"/>
              <w:rPr>
                <w:rFonts w:ascii="Calibri" w:hAnsi="Calibri" w:cs="Calibri"/>
                <w:b/>
                <w:bCs/>
                <w:color w:val="000000"/>
                <w:sz w:val="16"/>
                <w:szCs w:val="16"/>
              </w:rPr>
            </w:pPr>
            <w:r>
              <w:rPr>
                <w:rFonts w:ascii="Calibri" w:hAnsi="Calibri" w:cs="Calibri"/>
                <w:b/>
                <w:bCs/>
                <w:color w:val="000000"/>
                <w:sz w:val="16"/>
                <w:szCs w:val="16"/>
              </w:rPr>
              <w:t xml:space="preserve">   RESTOS A PAGAR</w:t>
            </w:r>
          </w:p>
        </w:tc>
        <w:tc>
          <w:tcPr>
            <w:tcW w:w="841" w:type="pct"/>
            <w:vMerge w:val="restart"/>
            <w:tcBorders>
              <w:top w:val="nil"/>
              <w:left w:val="nil"/>
              <w:bottom w:val="single" w:sz="8" w:space="0" w:color="000000"/>
              <w:right w:val="nil"/>
            </w:tcBorders>
            <w:shd w:val="clear" w:color="auto" w:fill="auto"/>
            <w:vAlign w:val="center"/>
            <w:hideMark/>
          </w:tcPr>
          <w:p w14:paraId="7FC894D0" w14:textId="77777777" w:rsidR="00B74DE7" w:rsidRDefault="00B74DE7" w:rsidP="00937ED9">
            <w:pPr>
              <w:spacing w:after="120"/>
              <w:jc w:val="right"/>
              <w:rPr>
                <w:rFonts w:ascii="Calibri" w:hAnsi="Calibri" w:cs="Calibri"/>
                <w:b/>
                <w:bCs/>
                <w:color w:val="000000"/>
                <w:sz w:val="16"/>
                <w:szCs w:val="16"/>
              </w:rPr>
            </w:pPr>
            <w:r>
              <w:rPr>
                <w:rFonts w:ascii="Calibri" w:hAnsi="Calibri" w:cs="Calibri"/>
                <w:b/>
                <w:bCs/>
                <w:color w:val="000000"/>
                <w:sz w:val="16"/>
                <w:szCs w:val="16"/>
              </w:rPr>
              <w:t>LIQUIDADO EM EXERCÍCIOS ANTERIORES</w:t>
            </w:r>
          </w:p>
        </w:tc>
        <w:tc>
          <w:tcPr>
            <w:tcW w:w="689" w:type="pct"/>
            <w:vMerge w:val="restart"/>
            <w:tcBorders>
              <w:top w:val="nil"/>
              <w:left w:val="nil"/>
              <w:bottom w:val="single" w:sz="8" w:space="0" w:color="000000"/>
              <w:right w:val="nil"/>
            </w:tcBorders>
            <w:shd w:val="clear" w:color="auto" w:fill="auto"/>
            <w:vAlign w:val="center"/>
            <w:hideMark/>
          </w:tcPr>
          <w:p w14:paraId="4D01F7C8" w14:textId="77777777" w:rsidR="00B74DE7" w:rsidRDefault="00B74DE7" w:rsidP="00937ED9">
            <w:pPr>
              <w:spacing w:after="120"/>
              <w:jc w:val="right"/>
              <w:rPr>
                <w:rFonts w:ascii="Calibri" w:hAnsi="Calibri" w:cs="Calibri"/>
                <w:b/>
                <w:bCs/>
                <w:color w:val="000000"/>
                <w:sz w:val="16"/>
                <w:szCs w:val="16"/>
              </w:rPr>
            </w:pPr>
            <w:r>
              <w:rPr>
                <w:rFonts w:ascii="Calibri" w:hAnsi="Calibri" w:cs="Calibri"/>
                <w:b/>
                <w:bCs/>
                <w:color w:val="000000"/>
                <w:sz w:val="16"/>
                <w:szCs w:val="16"/>
              </w:rPr>
              <w:t>LIQUIDADO NO EXERCÍCIO</w:t>
            </w:r>
          </w:p>
        </w:tc>
        <w:tc>
          <w:tcPr>
            <w:tcW w:w="888" w:type="pct"/>
            <w:tcBorders>
              <w:top w:val="nil"/>
              <w:left w:val="nil"/>
              <w:bottom w:val="nil"/>
              <w:right w:val="nil"/>
            </w:tcBorders>
            <w:shd w:val="clear" w:color="auto" w:fill="auto"/>
            <w:vAlign w:val="center"/>
            <w:hideMark/>
          </w:tcPr>
          <w:p w14:paraId="5F8B962F" w14:textId="77777777" w:rsidR="00B74DE7" w:rsidRDefault="00B74DE7" w:rsidP="00937ED9">
            <w:pPr>
              <w:spacing w:after="120"/>
              <w:jc w:val="right"/>
              <w:rPr>
                <w:rFonts w:ascii="Calibri" w:hAnsi="Calibri" w:cs="Calibri"/>
                <w:b/>
                <w:bCs/>
                <w:color w:val="000000"/>
                <w:sz w:val="16"/>
                <w:szCs w:val="16"/>
              </w:rPr>
            </w:pPr>
            <w:r>
              <w:rPr>
                <w:rFonts w:ascii="Calibri" w:hAnsi="Calibri" w:cs="Calibri"/>
                <w:b/>
                <w:bCs/>
                <w:color w:val="000000"/>
                <w:sz w:val="16"/>
                <w:szCs w:val="16"/>
              </w:rPr>
              <w:t> </w:t>
            </w:r>
          </w:p>
        </w:tc>
        <w:tc>
          <w:tcPr>
            <w:tcW w:w="888" w:type="pct"/>
            <w:vMerge w:val="restart"/>
            <w:tcBorders>
              <w:top w:val="nil"/>
              <w:left w:val="nil"/>
              <w:bottom w:val="single" w:sz="8" w:space="0" w:color="000000"/>
              <w:right w:val="nil"/>
            </w:tcBorders>
            <w:shd w:val="clear" w:color="auto" w:fill="auto"/>
            <w:noWrap/>
            <w:vAlign w:val="center"/>
            <w:hideMark/>
          </w:tcPr>
          <w:p w14:paraId="090D83CF" w14:textId="77777777" w:rsidR="00B74DE7" w:rsidRDefault="00B74DE7" w:rsidP="00937ED9">
            <w:pPr>
              <w:spacing w:after="120"/>
              <w:jc w:val="right"/>
              <w:rPr>
                <w:rFonts w:ascii="Calibri" w:hAnsi="Calibri" w:cs="Calibri"/>
                <w:b/>
                <w:bCs/>
                <w:color w:val="000000"/>
                <w:sz w:val="16"/>
                <w:szCs w:val="16"/>
              </w:rPr>
            </w:pPr>
            <w:r>
              <w:rPr>
                <w:rFonts w:ascii="Calibri" w:hAnsi="Calibri" w:cs="Calibri"/>
                <w:b/>
                <w:bCs/>
                <w:color w:val="000000"/>
                <w:sz w:val="16"/>
                <w:szCs w:val="16"/>
              </w:rPr>
              <w:t>PAGOS</w:t>
            </w:r>
          </w:p>
        </w:tc>
      </w:tr>
      <w:tr w:rsidR="00B74DE7" w14:paraId="6B937AD5" w14:textId="77777777" w:rsidTr="00B74DE7">
        <w:trPr>
          <w:trHeight w:val="227"/>
        </w:trPr>
        <w:tc>
          <w:tcPr>
            <w:tcW w:w="853" w:type="pct"/>
            <w:vMerge/>
            <w:tcBorders>
              <w:top w:val="nil"/>
              <w:left w:val="nil"/>
              <w:bottom w:val="single" w:sz="8" w:space="0" w:color="000000"/>
              <w:right w:val="nil"/>
            </w:tcBorders>
            <w:vAlign w:val="center"/>
            <w:hideMark/>
          </w:tcPr>
          <w:p w14:paraId="4CB38E9A" w14:textId="77777777" w:rsidR="00B74DE7" w:rsidRDefault="00B74DE7" w:rsidP="00937ED9">
            <w:pPr>
              <w:spacing w:after="120"/>
              <w:rPr>
                <w:rFonts w:ascii="Calibri" w:hAnsi="Calibri" w:cs="Calibri"/>
                <w:b/>
                <w:bCs/>
                <w:color w:val="000000"/>
                <w:sz w:val="16"/>
                <w:szCs w:val="16"/>
              </w:rPr>
            </w:pPr>
          </w:p>
        </w:tc>
        <w:tc>
          <w:tcPr>
            <w:tcW w:w="841" w:type="pct"/>
            <w:vMerge/>
            <w:tcBorders>
              <w:top w:val="nil"/>
              <w:left w:val="nil"/>
              <w:bottom w:val="single" w:sz="8" w:space="0" w:color="000000"/>
              <w:right w:val="nil"/>
            </w:tcBorders>
            <w:vAlign w:val="center"/>
            <w:hideMark/>
          </w:tcPr>
          <w:p w14:paraId="1F728330" w14:textId="77777777" w:rsidR="00B74DE7" w:rsidRDefault="00B74DE7" w:rsidP="00937ED9">
            <w:pPr>
              <w:spacing w:after="120"/>
              <w:rPr>
                <w:rFonts w:ascii="Calibri" w:hAnsi="Calibri" w:cs="Calibri"/>
                <w:b/>
                <w:bCs/>
                <w:color w:val="000000"/>
                <w:sz w:val="16"/>
                <w:szCs w:val="16"/>
              </w:rPr>
            </w:pPr>
          </w:p>
        </w:tc>
        <w:tc>
          <w:tcPr>
            <w:tcW w:w="841" w:type="pct"/>
            <w:vMerge/>
            <w:tcBorders>
              <w:top w:val="nil"/>
              <w:left w:val="nil"/>
              <w:bottom w:val="single" w:sz="8" w:space="0" w:color="000000"/>
              <w:right w:val="nil"/>
            </w:tcBorders>
            <w:vAlign w:val="center"/>
            <w:hideMark/>
          </w:tcPr>
          <w:p w14:paraId="071F88BB" w14:textId="77777777" w:rsidR="00B74DE7" w:rsidRDefault="00B74DE7" w:rsidP="00937ED9">
            <w:pPr>
              <w:spacing w:after="120"/>
              <w:rPr>
                <w:rFonts w:ascii="Calibri" w:hAnsi="Calibri" w:cs="Calibri"/>
                <w:b/>
                <w:bCs/>
                <w:color w:val="000000"/>
                <w:sz w:val="16"/>
                <w:szCs w:val="16"/>
              </w:rPr>
            </w:pPr>
          </w:p>
        </w:tc>
        <w:tc>
          <w:tcPr>
            <w:tcW w:w="689" w:type="pct"/>
            <w:vMerge/>
            <w:tcBorders>
              <w:top w:val="nil"/>
              <w:left w:val="nil"/>
              <w:bottom w:val="single" w:sz="8" w:space="0" w:color="000000"/>
              <w:right w:val="nil"/>
            </w:tcBorders>
            <w:vAlign w:val="center"/>
            <w:hideMark/>
          </w:tcPr>
          <w:p w14:paraId="5FCD1B90" w14:textId="77777777" w:rsidR="00B74DE7" w:rsidRDefault="00B74DE7" w:rsidP="00937ED9">
            <w:pPr>
              <w:spacing w:after="120"/>
              <w:rPr>
                <w:rFonts w:ascii="Calibri" w:hAnsi="Calibri" w:cs="Calibri"/>
                <w:b/>
                <w:bCs/>
                <w:color w:val="000000"/>
                <w:sz w:val="16"/>
                <w:szCs w:val="16"/>
              </w:rPr>
            </w:pPr>
          </w:p>
        </w:tc>
        <w:tc>
          <w:tcPr>
            <w:tcW w:w="888" w:type="pct"/>
            <w:tcBorders>
              <w:top w:val="nil"/>
              <w:left w:val="nil"/>
              <w:bottom w:val="single" w:sz="8" w:space="0" w:color="auto"/>
              <w:right w:val="nil"/>
            </w:tcBorders>
            <w:shd w:val="clear" w:color="auto" w:fill="auto"/>
            <w:vAlign w:val="center"/>
            <w:hideMark/>
          </w:tcPr>
          <w:p w14:paraId="5AA754E7" w14:textId="77777777" w:rsidR="00B74DE7" w:rsidRDefault="00B74DE7" w:rsidP="00937ED9">
            <w:pPr>
              <w:spacing w:after="120"/>
              <w:jc w:val="right"/>
              <w:rPr>
                <w:rFonts w:ascii="Calibri" w:hAnsi="Calibri" w:cs="Calibri"/>
                <w:b/>
                <w:bCs/>
                <w:color w:val="000000"/>
                <w:sz w:val="16"/>
                <w:szCs w:val="16"/>
              </w:rPr>
            </w:pPr>
            <w:r>
              <w:rPr>
                <w:rFonts w:ascii="Calibri" w:hAnsi="Calibri" w:cs="Calibri"/>
                <w:b/>
                <w:bCs/>
                <w:color w:val="000000"/>
                <w:sz w:val="16"/>
                <w:szCs w:val="16"/>
              </w:rPr>
              <w:t>CANCELADOS</w:t>
            </w:r>
          </w:p>
        </w:tc>
        <w:tc>
          <w:tcPr>
            <w:tcW w:w="888" w:type="pct"/>
            <w:vMerge/>
            <w:tcBorders>
              <w:top w:val="nil"/>
              <w:left w:val="nil"/>
              <w:bottom w:val="single" w:sz="8" w:space="0" w:color="000000"/>
              <w:right w:val="nil"/>
            </w:tcBorders>
            <w:vAlign w:val="center"/>
            <w:hideMark/>
          </w:tcPr>
          <w:p w14:paraId="607109D8" w14:textId="77777777" w:rsidR="00B74DE7" w:rsidRDefault="00B74DE7" w:rsidP="00937ED9">
            <w:pPr>
              <w:spacing w:after="120"/>
              <w:rPr>
                <w:rFonts w:ascii="Calibri" w:hAnsi="Calibri" w:cs="Calibri"/>
                <w:b/>
                <w:bCs/>
                <w:color w:val="000000"/>
                <w:sz w:val="16"/>
                <w:szCs w:val="16"/>
              </w:rPr>
            </w:pPr>
          </w:p>
        </w:tc>
      </w:tr>
      <w:tr w:rsidR="00B74DE7" w14:paraId="5906CAC3" w14:textId="77777777" w:rsidTr="00B74DE7">
        <w:trPr>
          <w:trHeight w:val="227"/>
        </w:trPr>
        <w:tc>
          <w:tcPr>
            <w:tcW w:w="853" w:type="pct"/>
            <w:tcBorders>
              <w:top w:val="nil"/>
              <w:left w:val="nil"/>
              <w:bottom w:val="nil"/>
              <w:right w:val="nil"/>
            </w:tcBorders>
            <w:shd w:val="clear" w:color="auto" w:fill="auto"/>
            <w:noWrap/>
            <w:vAlign w:val="center"/>
            <w:hideMark/>
          </w:tcPr>
          <w:p w14:paraId="13DC35A4" w14:textId="77777777" w:rsidR="00B74DE7" w:rsidRDefault="00B74DE7" w:rsidP="00937ED9">
            <w:pPr>
              <w:spacing w:after="120"/>
              <w:rPr>
                <w:rFonts w:ascii="Calibri" w:hAnsi="Calibri" w:cs="Calibri"/>
                <w:color w:val="000000"/>
                <w:sz w:val="16"/>
                <w:szCs w:val="16"/>
              </w:rPr>
            </w:pPr>
            <w:r>
              <w:rPr>
                <w:rFonts w:ascii="Calibri" w:hAnsi="Calibri" w:cs="Calibri"/>
                <w:color w:val="000000"/>
                <w:sz w:val="16"/>
                <w:szCs w:val="16"/>
              </w:rPr>
              <w:t>Custeio</w:t>
            </w:r>
          </w:p>
        </w:tc>
        <w:tc>
          <w:tcPr>
            <w:tcW w:w="841" w:type="pct"/>
            <w:tcBorders>
              <w:top w:val="nil"/>
              <w:left w:val="nil"/>
              <w:bottom w:val="nil"/>
              <w:right w:val="nil"/>
            </w:tcBorders>
            <w:shd w:val="clear" w:color="auto" w:fill="auto"/>
            <w:noWrap/>
            <w:vAlign w:val="center"/>
            <w:hideMark/>
          </w:tcPr>
          <w:p w14:paraId="02029C97" w14:textId="240B7806" w:rsidR="00B74DE7" w:rsidRDefault="00F0632B" w:rsidP="00937ED9">
            <w:pPr>
              <w:spacing w:after="120"/>
              <w:jc w:val="right"/>
              <w:rPr>
                <w:rFonts w:ascii="Calibri" w:hAnsi="Calibri" w:cs="Calibri"/>
                <w:color w:val="000000"/>
                <w:sz w:val="16"/>
                <w:szCs w:val="16"/>
              </w:rPr>
            </w:pPr>
            <w:r>
              <w:rPr>
                <w:rFonts w:ascii="Calibri" w:hAnsi="Calibri" w:cs="Calibri"/>
                <w:color w:val="000000"/>
                <w:sz w:val="16"/>
                <w:szCs w:val="16"/>
              </w:rPr>
              <w:t>35.565.042</w:t>
            </w:r>
          </w:p>
        </w:tc>
        <w:tc>
          <w:tcPr>
            <w:tcW w:w="841" w:type="pct"/>
            <w:tcBorders>
              <w:top w:val="nil"/>
              <w:left w:val="nil"/>
              <w:bottom w:val="nil"/>
              <w:right w:val="nil"/>
            </w:tcBorders>
            <w:shd w:val="clear" w:color="auto" w:fill="auto"/>
            <w:noWrap/>
            <w:vAlign w:val="center"/>
            <w:hideMark/>
          </w:tcPr>
          <w:p w14:paraId="393DEF53" w14:textId="1B90AF39" w:rsidR="00B74DE7" w:rsidRDefault="00F0632B" w:rsidP="00937ED9">
            <w:pPr>
              <w:spacing w:after="120"/>
              <w:jc w:val="right"/>
              <w:rPr>
                <w:rFonts w:ascii="Calibri" w:hAnsi="Calibri" w:cs="Calibri"/>
                <w:color w:val="000000"/>
                <w:sz w:val="16"/>
                <w:szCs w:val="16"/>
              </w:rPr>
            </w:pPr>
            <w:r>
              <w:rPr>
                <w:rFonts w:ascii="Calibri" w:hAnsi="Calibri" w:cs="Calibri"/>
                <w:color w:val="000000"/>
                <w:sz w:val="16"/>
                <w:szCs w:val="16"/>
              </w:rPr>
              <w:t>399.245</w:t>
            </w:r>
          </w:p>
        </w:tc>
        <w:tc>
          <w:tcPr>
            <w:tcW w:w="689" w:type="pct"/>
            <w:tcBorders>
              <w:top w:val="nil"/>
              <w:left w:val="nil"/>
              <w:bottom w:val="nil"/>
              <w:right w:val="nil"/>
            </w:tcBorders>
            <w:shd w:val="clear" w:color="auto" w:fill="auto"/>
            <w:noWrap/>
            <w:vAlign w:val="center"/>
            <w:hideMark/>
          </w:tcPr>
          <w:p w14:paraId="18130BEA" w14:textId="2DB8B329" w:rsidR="00B74DE7" w:rsidRDefault="0036255C" w:rsidP="00937ED9">
            <w:pPr>
              <w:spacing w:after="120"/>
              <w:jc w:val="right"/>
              <w:rPr>
                <w:rFonts w:ascii="Calibri" w:hAnsi="Calibri" w:cs="Calibri"/>
                <w:color w:val="000000"/>
                <w:sz w:val="16"/>
                <w:szCs w:val="16"/>
              </w:rPr>
            </w:pPr>
            <w:r>
              <w:rPr>
                <w:rFonts w:ascii="Calibri" w:hAnsi="Calibri" w:cs="Calibri"/>
                <w:color w:val="000000"/>
                <w:sz w:val="16"/>
                <w:szCs w:val="16"/>
              </w:rPr>
              <w:t>12.659.859</w:t>
            </w:r>
          </w:p>
        </w:tc>
        <w:tc>
          <w:tcPr>
            <w:tcW w:w="888" w:type="pct"/>
            <w:tcBorders>
              <w:top w:val="nil"/>
              <w:left w:val="nil"/>
              <w:bottom w:val="nil"/>
              <w:right w:val="nil"/>
            </w:tcBorders>
            <w:shd w:val="clear" w:color="auto" w:fill="auto"/>
            <w:vAlign w:val="center"/>
            <w:hideMark/>
          </w:tcPr>
          <w:p w14:paraId="2DBCC270" w14:textId="2796EEAC" w:rsidR="00B74DE7" w:rsidRDefault="0036255C" w:rsidP="00937ED9">
            <w:pPr>
              <w:spacing w:after="120"/>
              <w:jc w:val="right"/>
              <w:rPr>
                <w:rFonts w:ascii="Calibri" w:hAnsi="Calibri" w:cs="Calibri"/>
                <w:color w:val="000000"/>
                <w:sz w:val="16"/>
                <w:szCs w:val="16"/>
              </w:rPr>
            </w:pPr>
            <w:r>
              <w:rPr>
                <w:rFonts w:ascii="Calibri" w:hAnsi="Calibri" w:cs="Calibri"/>
                <w:color w:val="000000"/>
                <w:sz w:val="16"/>
                <w:szCs w:val="16"/>
              </w:rPr>
              <w:t>5.049.394</w:t>
            </w:r>
          </w:p>
        </w:tc>
        <w:tc>
          <w:tcPr>
            <w:tcW w:w="888" w:type="pct"/>
            <w:tcBorders>
              <w:top w:val="nil"/>
              <w:left w:val="nil"/>
              <w:bottom w:val="nil"/>
              <w:right w:val="nil"/>
            </w:tcBorders>
            <w:shd w:val="clear" w:color="auto" w:fill="auto"/>
            <w:noWrap/>
            <w:vAlign w:val="center"/>
            <w:hideMark/>
          </w:tcPr>
          <w:p w14:paraId="3D7BFF88" w14:textId="6E7B89D1" w:rsidR="00B74DE7" w:rsidRDefault="0036255C" w:rsidP="00937ED9">
            <w:pPr>
              <w:spacing w:after="120"/>
              <w:jc w:val="right"/>
              <w:rPr>
                <w:rFonts w:ascii="Calibri" w:hAnsi="Calibri" w:cs="Calibri"/>
                <w:color w:val="000000"/>
                <w:sz w:val="16"/>
                <w:szCs w:val="16"/>
              </w:rPr>
            </w:pPr>
            <w:r>
              <w:rPr>
                <w:rFonts w:ascii="Calibri" w:hAnsi="Calibri" w:cs="Calibri"/>
                <w:color w:val="000000"/>
                <w:sz w:val="16"/>
                <w:szCs w:val="16"/>
              </w:rPr>
              <w:t>12.923.440</w:t>
            </w:r>
          </w:p>
        </w:tc>
      </w:tr>
      <w:tr w:rsidR="00B74DE7" w14:paraId="474B10F0" w14:textId="77777777" w:rsidTr="00B74DE7">
        <w:trPr>
          <w:trHeight w:val="227"/>
        </w:trPr>
        <w:tc>
          <w:tcPr>
            <w:tcW w:w="853" w:type="pct"/>
            <w:tcBorders>
              <w:top w:val="nil"/>
              <w:left w:val="nil"/>
              <w:bottom w:val="nil"/>
              <w:right w:val="nil"/>
            </w:tcBorders>
            <w:shd w:val="clear" w:color="auto" w:fill="auto"/>
            <w:noWrap/>
            <w:vAlign w:val="center"/>
            <w:hideMark/>
          </w:tcPr>
          <w:p w14:paraId="749D8A2E" w14:textId="77777777" w:rsidR="00B74DE7" w:rsidRDefault="00B74DE7" w:rsidP="00937ED9">
            <w:pPr>
              <w:spacing w:after="120"/>
              <w:rPr>
                <w:rFonts w:ascii="Calibri" w:hAnsi="Calibri" w:cs="Calibri"/>
                <w:color w:val="000000"/>
                <w:sz w:val="16"/>
                <w:szCs w:val="16"/>
              </w:rPr>
            </w:pPr>
            <w:r>
              <w:rPr>
                <w:rFonts w:ascii="Calibri" w:hAnsi="Calibri" w:cs="Calibri"/>
                <w:color w:val="000000"/>
                <w:sz w:val="16"/>
                <w:szCs w:val="16"/>
              </w:rPr>
              <w:t>Pessoal e encargos</w:t>
            </w:r>
          </w:p>
        </w:tc>
        <w:tc>
          <w:tcPr>
            <w:tcW w:w="841" w:type="pct"/>
            <w:tcBorders>
              <w:top w:val="nil"/>
              <w:left w:val="nil"/>
              <w:bottom w:val="nil"/>
              <w:right w:val="nil"/>
            </w:tcBorders>
            <w:shd w:val="clear" w:color="auto" w:fill="auto"/>
            <w:noWrap/>
            <w:vAlign w:val="center"/>
            <w:hideMark/>
          </w:tcPr>
          <w:p w14:paraId="5ACB03C4" w14:textId="1E0B6F85" w:rsidR="00B74DE7" w:rsidRDefault="00F0632B" w:rsidP="00937ED9">
            <w:pPr>
              <w:spacing w:after="120"/>
              <w:jc w:val="right"/>
              <w:rPr>
                <w:rFonts w:ascii="Calibri" w:hAnsi="Calibri" w:cs="Calibri"/>
                <w:color w:val="000000"/>
                <w:sz w:val="16"/>
                <w:szCs w:val="16"/>
              </w:rPr>
            </w:pPr>
            <w:r>
              <w:rPr>
                <w:rFonts w:ascii="Calibri" w:hAnsi="Calibri" w:cs="Calibri"/>
                <w:color w:val="000000"/>
                <w:sz w:val="16"/>
                <w:szCs w:val="16"/>
              </w:rPr>
              <w:t>9.467.091</w:t>
            </w:r>
          </w:p>
        </w:tc>
        <w:tc>
          <w:tcPr>
            <w:tcW w:w="841" w:type="pct"/>
            <w:tcBorders>
              <w:top w:val="nil"/>
              <w:left w:val="nil"/>
              <w:bottom w:val="nil"/>
              <w:right w:val="nil"/>
            </w:tcBorders>
            <w:shd w:val="clear" w:color="auto" w:fill="auto"/>
            <w:noWrap/>
            <w:vAlign w:val="center"/>
            <w:hideMark/>
          </w:tcPr>
          <w:p w14:paraId="395C5630" w14:textId="550F50D8" w:rsidR="00B74DE7" w:rsidRDefault="00F0632B" w:rsidP="00937ED9">
            <w:pPr>
              <w:spacing w:after="120"/>
              <w:jc w:val="right"/>
              <w:rPr>
                <w:rFonts w:ascii="Calibri" w:hAnsi="Calibri" w:cs="Calibri"/>
                <w:color w:val="000000"/>
                <w:sz w:val="16"/>
                <w:szCs w:val="16"/>
              </w:rPr>
            </w:pPr>
            <w:r>
              <w:rPr>
                <w:rFonts w:ascii="Calibri" w:hAnsi="Calibri" w:cs="Calibri"/>
                <w:color w:val="000000"/>
                <w:sz w:val="16"/>
                <w:szCs w:val="16"/>
              </w:rPr>
              <w:t>6.279.624</w:t>
            </w:r>
          </w:p>
        </w:tc>
        <w:tc>
          <w:tcPr>
            <w:tcW w:w="689" w:type="pct"/>
            <w:tcBorders>
              <w:top w:val="nil"/>
              <w:left w:val="nil"/>
              <w:bottom w:val="nil"/>
              <w:right w:val="nil"/>
            </w:tcBorders>
            <w:shd w:val="clear" w:color="auto" w:fill="auto"/>
            <w:noWrap/>
            <w:vAlign w:val="center"/>
            <w:hideMark/>
          </w:tcPr>
          <w:p w14:paraId="26633D11" w14:textId="7DF75313" w:rsidR="00B74DE7" w:rsidRDefault="00F0632B" w:rsidP="00937ED9">
            <w:pPr>
              <w:spacing w:after="120"/>
              <w:jc w:val="right"/>
              <w:rPr>
                <w:rFonts w:ascii="Calibri" w:hAnsi="Calibri" w:cs="Calibri"/>
                <w:color w:val="000000"/>
                <w:sz w:val="16"/>
                <w:szCs w:val="16"/>
              </w:rPr>
            </w:pPr>
            <w:r>
              <w:rPr>
                <w:rFonts w:ascii="Calibri" w:hAnsi="Calibri" w:cs="Calibri"/>
                <w:color w:val="000000"/>
                <w:sz w:val="16"/>
                <w:szCs w:val="16"/>
              </w:rPr>
              <w:t>615.776</w:t>
            </w:r>
          </w:p>
        </w:tc>
        <w:tc>
          <w:tcPr>
            <w:tcW w:w="888" w:type="pct"/>
            <w:tcBorders>
              <w:top w:val="nil"/>
              <w:left w:val="nil"/>
              <w:bottom w:val="nil"/>
              <w:right w:val="nil"/>
            </w:tcBorders>
            <w:shd w:val="clear" w:color="auto" w:fill="auto"/>
            <w:vAlign w:val="center"/>
            <w:hideMark/>
          </w:tcPr>
          <w:p w14:paraId="482A6F8B" w14:textId="03DFB5DD" w:rsidR="00B74DE7" w:rsidRDefault="00B71332" w:rsidP="00937ED9">
            <w:pPr>
              <w:spacing w:after="120"/>
              <w:jc w:val="right"/>
              <w:rPr>
                <w:rFonts w:ascii="Calibri" w:hAnsi="Calibri" w:cs="Calibri"/>
                <w:color w:val="000000"/>
                <w:sz w:val="16"/>
                <w:szCs w:val="16"/>
              </w:rPr>
            </w:pPr>
            <w:r>
              <w:rPr>
                <w:rFonts w:ascii="Calibri" w:hAnsi="Calibri" w:cs="Calibri"/>
                <w:color w:val="000000"/>
                <w:sz w:val="16"/>
                <w:szCs w:val="16"/>
              </w:rPr>
              <w:t>2</w:t>
            </w:r>
            <w:r w:rsidR="0036255C">
              <w:rPr>
                <w:rFonts w:ascii="Calibri" w:hAnsi="Calibri" w:cs="Calibri"/>
                <w:color w:val="000000"/>
                <w:sz w:val="16"/>
                <w:szCs w:val="16"/>
              </w:rPr>
              <w:t>.571.691</w:t>
            </w:r>
          </w:p>
        </w:tc>
        <w:tc>
          <w:tcPr>
            <w:tcW w:w="888" w:type="pct"/>
            <w:tcBorders>
              <w:top w:val="nil"/>
              <w:left w:val="nil"/>
              <w:bottom w:val="nil"/>
              <w:right w:val="nil"/>
            </w:tcBorders>
            <w:shd w:val="clear" w:color="auto" w:fill="auto"/>
            <w:noWrap/>
            <w:vAlign w:val="center"/>
            <w:hideMark/>
          </w:tcPr>
          <w:p w14:paraId="1F061472" w14:textId="2B32464A" w:rsidR="00B74DE7" w:rsidRDefault="00B71332" w:rsidP="00937ED9">
            <w:pPr>
              <w:spacing w:after="120"/>
              <w:jc w:val="right"/>
              <w:rPr>
                <w:rFonts w:ascii="Calibri" w:hAnsi="Calibri" w:cs="Calibri"/>
                <w:color w:val="000000"/>
                <w:sz w:val="16"/>
                <w:szCs w:val="16"/>
              </w:rPr>
            </w:pPr>
            <w:r>
              <w:rPr>
                <w:rFonts w:ascii="Calibri" w:hAnsi="Calibri" w:cs="Calibri"/>
                <w:color w:val="000000"/>
                <w:sz w:val="16"/>
                <w:szCs w:val="16"/>
              </w:rPr>
              <w:t>6.</w:t>
            </w:r>
            <w:r w:rsidR="0036255C">
              <w:rPr>
                <w:rFonts w:ascii="Calibri" w:hAnsi="Calibri" w:cs="Calibri"/>
                <w:color w:val="000000"/>
                <w:sz w:val="16"/>
                <w:szCs w:val="16"/>
              </w:rPr>
              <w:t>807.504</w:t>
            </w:r>
          </w:p>
        </w:tc>
      </w:tr>
      <w:tr w:rsidR="00B74DE7" w14:paraId="276111F5" w14:textId="77777777" w:rsidTr="00B74DE7">
        <w:trPr>
          <w:trHeight w:val="227"/>
        </w:trPr>
        <w:tc>
          <w:tcPr>
            <w:tcW w:w="853" w:type="pct"/>
            <w:tcBorders>
              <w:top w:val="nil"/>
              <w:left w:val="nil"/>
              <w:bottom w:val="single" w:sz="8" w:space="0" w:color="auto"/>
              <w:right w:val="nil"/>
            </w:tcBorders>
            <w:shd w:val="clear" w:color="auto" w:fill="auto"/>
            <w:noWrap/>
            <w:vAlign w:val="center"/>
            <w:hideMark/>
          </w:tcPr>
          <w:p w14:paraId="25D59185" w14:textId="77777777" w:rsidR="00B74DE7" w:rsidRDefault="00B74DE7" w:rsidP="00937ED9">
            <w:pPr>
              <w:spacing w:after="120"/>
              <w:rPr>
                <w:rFonts w:ascii="Calibri" w:hAnsi="Calibri" w:cs="Calibri"/>
                <w:color w:val="000000"/>
                <w:sz w:val="16"/>
                <w:szCs w:val="16"/>
              </w:rPr>
            </w:pPr>
            <w:r>
              <w:rPr>
                <w:rFonts w:ascii="Calibri" w:hAnsi="Calibri" w:cs="Calibri"/>
                <w:color w:val="000000"/>
                <w:sz w:val="16"/>
                <w:szCs w:val="16"/>
              </w:rPr>
              <w:t>Investimento</w:t>
            </w:r>
          </w:p>
        </w:tc>
        <w:tc>
          <w:tcPr>
            <w:tcW w:w="841" w:type="pct"/>
            <w:tcBorders>
              <w:top w:val="nil"/>
              <w:left w:val="nil"/>
              <w:bottom w:val="single" w:sz="8" w:space="0" w:color="auto"/>
              <w:right w:val="nil"/>
            </w:tcBorders>
            <w:shd w:val="clear" w:color="auto" w:fill="auto"/>
            <w:noWrap/>
            <w:vAlign w:val="center"/>
            <w:hideMark/>
          </w:tcPr>
          <w:p w14:paraId="0D3C55FD" w14:textId="031BEFE9" w:rsidR="00B74DE7" w:rsidRDefault="00F0632B" w:rsidP="00937ED9">
            <w:pPr>
              <w:spacing w:after="120"/>
              <w:jc w:val="right"/>
              <w:rPr>
                <w:rFonts w:ascii="Calibri" w:hAnsi="Calibri" w:cs="Calibri"/>
                <w:color w:val="000000"/>
                <w:sz w:val="16"/>
                <w:szCs w:val="16"/>
              </w:rPr>
            </w:pPr>
            <w:r>
              <w:rPr>
                <w:rFonts w:ascii="Calibri" w:hAnsi="Calibri" w:cs="Calibri"/>
                <w:color w:val="000000"/>
                <w:sz w:val="16"/>
                <w:szCs w:val="16"/>
              </w:rPr>
              <w:t>308.415.842</w:t>
            </w:r>
          </w:p>
        </w:tc>
        <w:tc>
          <w:tcPr>
            <w:tcW w:w="841" w:type="pct"/>
            <w:tcBorders>
              <w:top w:val="nil"/>
              <w:left w:val="nil"/>
              <w:bottom w:val="single" w:sz="8" w:space="0" w:color="auto"/>
              <w:right w:val="nil"/>
            </w:tcBorders>
            <w:shd w:val="clear" w:color="auto" w:fill="auto"/>
            <w:noWrap/>
            <w:vAlign w:val="center"/>
            <w:hideMark/>
          </w:tcPr>
          <w:p w14:paraId="5EBB8700" w14:textId="254827AA" w:rsidR="00B74DE7" w:rsidRDefault="00F0632B" w:rsidP="00937ED9">
            <w:pPr>
              <w:spacing w:after="120"/>
              <w:jc w:val="right"/>
              <w:rPr>
                <w:rFonts w:ascii="Calibri" w:hAnsi="Calibri" w:cs="Calibri"/>
                <w:color w:val="000000"/>
                <w:sz w:val="16"/>
                <w:szCs w:val="16"/>
              </w:rPr>
            </w:pPr>
            <w:r>
              <w:rPr>
                <w:rFonts w:ascii="Calibri" w:hAnsi="Calibri" w:cs="Calibri"/>
                <w:color w:val="000000"/>
                <w:sz w:val="16"/>
                <w:szCs w:val="16"/>
              </w:rPr>
              <w:t>30.544.522</w:t>
            </w:r>
          </w:p>
        </w:tc>
        <w:tc>
          <w:tcPr>
            <w:tcW w:w="689" w:type="pct"/>
            <w:tcBorders>
              <w:top w:val="nil"/>
              <w:left w:val="nil"/>
              <w:bottom w:val="single" w:sz="8" w:space="0" w:color="auto"/>
              <w:right w:val="nil"/>
            </w:tcBorders>
            <w:shd w:val="clear" w:color="auto" w:fill="auto"/>
            <w:noWrap/>
            <w:vAlign w:val="center"/>
            <w:hideMark/>
          </w:tcPr>
          <w:p w14:paraId="5B36FEC3" w14:textId="7F8D0F8B" w:rsidR="00B74DE7" w:rsidRDefault="0036255C" w:rsidP="00937ED9">
            <w:pPr>
              <w:spacing w:after="120"/>
              <w:jc w:val="right"/>
              <w:rPr>
                <w:rFonts w:ascii="Calibri" w:hAnsi="Calibri" w:cs="Calibri"/>
                <w:color w:val="000000"/>
                <w:sz w:val="16"/>
                <w:szCs w:val="16"/>
              </w:rPr>
            </w:pPr>
            <w:r>
              <w:rPr>
                <w:rFonts w:ascii="Calibri" w:hAnsi="Calibri" w:cs="Calibri"/>
                <w:color w:val="000000"/>
                <w:sz w:val="16"/>
                <w:szCs w:val="16"/>
              </w:rPr>
              <w:t>113.720.269</w:t>
            </w:r>
          </w:p>
        </w:tc>
        <w:tc>
          <w:tcPr>
            <w:tcW w:w="888" w:type="pct"/>
            <w:tcBorders>
              <w:top w:val="nil"/>
              <w:left w:val="nil"/>
              <w:bottom w:val="single" w:sz="8" w:space="0" w:color="auto"/>
              <w:right w:val="nil"/>
            </w:tcBorders>
            <w:shd w:val="clear" w:color="auto" w:fill="auto"/>
            <w:vAlign w:val="center"/>
            <w:hideMark/>
          </w:tcPr>
          <w:p w14:paraId="67D87107" w14:textId="48F95841" w:rsidR="00B74DE7" w:rsidRDefault="003A29CF" w:rsidP="00937ED9">
            <w:pPr>
              <w:spacing w:after="120"/>
              <w:jc w:val="right"/>
              <w:rPr>
                <w:rFonts w:ascii="Calibri" w:hAnsi="Calibri" w:cs="Calibri"/>
                <w:color w:val="000000"/>
                <w:sz w:val="16"/>
                <w:szCs w:val="16"/>
              </w:rPr>
            </w:pPr>
            <w:r>
              <w:rPr>
                <w:rFonts w:ascii="Calibri" w:hAnsi="Calibri" w:cs="Calibri"/>
                <w:color w:val="000000"/>
                <w:sz w:val="16"/>
                <w:szCs w:val="16"/>
              </w:rPr>
              <w:t>1</w:t>
            </w:r>
            <w:r w:rsidR="00B71332">
              <w:rPr>
                <w:rFonts w:ascii="Calibri" w:hAnsi="Calibri" w:cs="Calibri"/>
                <w:color w:val="000000"/>
                <w:sz w:val="16"/>
                <w:szCs w:val="16"/>
              </w:rPr>
              <w:t>1.</w:t>
            </w:r>
            <w:r w:rsidR="0036255C">
              <w:rPr>
                <w:rFonts w:ascii="Calibri" w:hAnsi="Calibri" w:cs="Calibri"/>
                <w:color w:val="000000"/>
                <w:sz w:val="16"/>
                <w:szCs w:val="16"/>
              </w:rPr>
              <w:t>949.663</w:t>
            </w:r>
          </w:p>
        </w:tc>
        <w:tc>
          <w:tcPr>
            <w:tcW w:w="888" w:type="pct"/>
            <w:tcBorders>
              <w:top w:val="nil"/>
              <w:left w:val="nil"/>
              <w:bottom w:val="single" w:sz="8" w:space="0" w:color="auto"/>
              <w:right w:val="nil"/>
            </w:tcBorders>
            <w:shd w:val="clear" w:color="auto" w:fill="auto"/>
            <w:noWrap/>
            <w:vAlign w:val="center"/>
            <w:hideMark/>
          </w:tcPr>
          <w:p w14:paraId="757512D9" w14:textId="5D659859" w:rsidR="00B74DE7" w:rsidRDefault="0036255C" w:rsidP="00937ED9">
            <w:pPr>
              <w:spacing w:after="120"/>
              <w:jc w:val="right"/>
              <w:rPr>
                <w:rFonts w:ascii="Calibri" w:hAnsi="Calibri" w:cs="Calibri"/>
                <w:color w:val="000000"/>
                <w:sz w:val="16"/>
                <w:szCs w:val="16"/>
              </w:rPr>
            </w:pPr>
            <w:r>
              <w:rPr>
                <w:rFonts w:ascii="Calibri" w:hAnsi="Calibri" w:cs="Calibri"/>
                <w:color w:val="000000"/>
                <w:sz w:val="16"/>
                <w:szCs w:val="16"/>
              </w:rPr>
              <w:t>112.878.724</w:t>
            </w:r>
          </w:p>
        </w:tc>
      </w:tr>
      <w:tr w:rsidR="00B74DE7" w14:paraId="63970874" w14:textId="77777777" w:rsidTr="00B74DE7">
        <w:trPr>
          <w:trHeight w:val="227"/>
        </w:trPr>
        <w:tc>
          <w:tcPr>
            <w:tcW w:w="853" w:type="pct"/>
            <w:tcBorders>
              <w:top w:val="nil"/>
              <w:left w:val="nil"/>
              <w:bottom w:val="single" w:sz="8" w:space="0" w:color="auto"/>
              <w:right w:val="nil"/>
            </w:tcBorders>
            <w:shd w:val="clear" w:color="auto" w:fill="auto"/>
            <w:noWrap/>
            <w:vAlign w:val="center"/>
            <w:hideMark/>
          </w:tcPr>
          <w:p w14:paraId="51FAB90C" w14:textId="77777777" w:rsidR="00B74DE7" w:rsidRDefault="00B74DE7" w:rsidP="00937ED9">
            <w:pPr>
              <w:spacing w:after="120"/>
              <w:rPr>
                <w:rFonts w:ascii="Calibri" w:hAnsi="Calibri" w:cs="Calibri"/>
                <w:b/>
                <w:bCs/>
                <w:color w:val="000000"/>
                <w:sz w:val="16"/>
                <w:szCs w:val="16"/>
              </w:rPr>
            </w:pPr>
            <w:r>
              <w:rPr>
                <w:rFonts w:ascii="Calibri" w:hAnsi="Calibri" w:cs="Calibri"/>
                <w:b/>
                <w:bCs/>
                <w:color w:val="000000"/>
                <w:sz w:val="16"/>
                <w:szCs w:val="16"/>
              </w:rPr>
              <w:t>TOTAL GERAL</w:t>
            </w:r>
          </w:p>
        </w:tc>
        <w:tc>
          <w:tcPr>
            <w:tcW w:w="841" w:type="pct"/>
            <w:tcBorders>
              <w:top w:val="nil"/>
              <w:left w:val="nil"/>
              <w:bottom w:val="single" w:sz="8" w:space="0" w:color="auto"/>
              <w:right w:val="nil"/>
            </w:tcBorders>
            <w:shd w:val="clear" w:color="auto" w:fill="auto"/>
            <w:noWrap/>
            <w:vAlign w:val="center"/>
            <w:hideMark/>
          </w:tcPr>
          <w:p w14:paraId="1A99E16C" w14:textId="00943517" w:rsidR="00B74DE7" w:rsidRDefault="00F0632B" w:rsidP="00937ED9">
            <w:pPr>
              <w:spacing w:after="120"/>
              <w:jc w:val="right"/>
              <w:rPr>
                <w:rFonts w:ascii="Calibri" w:hAnsi="Calibri" w:cs="Calibri"/>
                <w:b/>
                <w:bCs/>
                <w:color w:val="000000"/>
                <w:sz w:val="16"/>
                <w:szCs w:val="16"/>
              </w:rPr>
            </w:pPr>
            <w:r>
              <w:rPr>
                <w:rFonts w:ascii="Calibri" w:hAnsi="Calibri" w:cs="Calibri"/>
                <w:b/>
                <w:bCs/>
                <w:color w:val="000000"/>
                <w:sz w:val="16"/>
                <w:szCs w:val="16"/>
              </w:rPr>
              <w:t>353.447.975</w:t>
            </w:r>
          </w:p>
        </w:tc>
        <w:tc>
          <w:tcPr>
            <w:tcW w:w="841" w:type="pct"/>
            <w:tcBorders>
              <w:top w:val="nil"/>
              <w:left w:val="nil"/>
              <w:bottom w:val="single" w:sz="8" w:space="0" w:color="auto"/>
              <w:right w:val="nil"/>
            </w:tcBorders>
            <w:shd w:val="clear" w:color="auto" w:fill="auto"/>
            <w:noWrap/>
            <w:vAlign w:val="center"/>
            <w:hideMark/>
          </w:tcPr>
          <w:p w14:paraId="1C699A78" w14:textId="1A0E65CA" w:rsidR="00B74DE7" w:rsidRDefault="00F0632B" w:rsidP="00937ED9">
            <w:pPr>
              <w:spacing w:after="120"/>
              <w:jc w:val="right"/>
              <w:rPr>
                <w:rFonts w:ascii="Calibri" w:hAnsi="Calibri" w:cs="Calibri"/>
                <w:b/>
                <w:bCs/>
                <w:color w:val="000000"/>
                <w:sz w:val="16"/>
                <w:szCs w:val="16"/>
              </w:rPr>
            </w:pPr>
            <w:r>
              <w:rPr>
                <w:rFonts w:ascii="Calibri" w:hAnsi="Calibri" w:cs="Calibri"/>
                <w:b/>
                <w:bCs/>
                <w:color w:val="000000"/>
                <w:sz w:val="16"/>
                <w:szCs w:val="16"/>
              </w:rPr>
              <w:t>37.223.391</w:t>
            </w:r>
          </w:p>
        </w:tc>
        <w:tc>
          <w:tcPr>
            <w:tcW w:w="689" w:type="pct"/>
            <w:tcBorders>
              <w:top w:val="nil"/>
              <w:left w:val="nil"/>
              <w:bottom w:val="single" w:sz="8" w:space="0" w:color="auto"/>
              <w:right w:val="nil"/>
            </w:tcBorders>
            <w:shd w:val="clear" w:color="auto" w:fill="auto"/>
            <w:noWrap/>
            <w:vAlign w:val="center"/>
            <w:hideMark/>
          </w:tcPr>
          <w:p w14:paraId="1A57A3D8" w14:textId="32B9E838" w:rsidR="00B74DE7" w:rsidRDefault="0036255C" w:rsidP="00937ED9">
            <w:pPr>
              <w:spacing w:after="120"/>
              <w:jc w:val="right"/>
              <w:rPr>
                <w:rFonts w:ascii="Calibri" w:hAnsi="Calibri" w:cs="Calibri"/>
                <w:b/>
                <w:bCs/>
                <w:color w:val="000000"/>
                <w:sz w:val="16"/>
                <w:szCs w:val="16"/>
              </w:rPr>
            </w:pPr>
            <w:r>
              <w:rPr>
                <w:rFonts w:ascii="Calibri" w:hAnsi="Calibri" w:cs="Calibri"/>
                <w:b/>
                <w:bCs/>
                <w:color w:val="000000"/>
                <w:sz w:val="16"/>
                <w:szCs w:val="16"/>
              </w:rPr>
              <w:t>126.995.904</w:t>
            </w:r>
          </w:p>
        </w:tc>
        <w:tc>
          <w:tcPr>
            <w:tcW w:w="888" w:type="pct"/>
            <w:tcBorders>
              <w:top w:val="nil"/>
              <w:left w:val="nil"/>
              <w:bottom w:val="single" w:sz="8" w:space="0" w:color="auto"/>
              <w:right w:val="nil"/>
            </w:tcBorders>
            <w:shd w:val="clear" w:color="auto" w:fill="auto"/>
            <w:noWrap/>
            <w:vAlign w:val="center"/>
            <w:hideMark/>
          </w:tcPr>
          <w:p w14:paraId="2F355C6D" w14:textId="579FF4F4" w:rsidR="00B74DE7" w:rsidRDefault="00B71332" w:rsidP="00937ED9">
            <w:pPr>
              <w:spacing w:after="120"/>
              <w:jc w:val="right"/>
              <w:rPr>
                <w:rFonts w:ascii="Calibri" w:hAnsi="Calibri" w:cs="Calibri"/>
                <w:b/>
                <w:bCs/>
                <w:color w:val="000000"/>
                <w:sz w:val="16"/>
                <w:szCs w:val="16"/>
              </w:rPr>
            </w:pPr>
            <w:r>
              <w:rPr>
                <w:rFonts w:ascii="Calibri" w:hAnsi="Calibri" w:cs="Calibri"/>
                <w:b/>
                <w:bCs/>
                <w:color w:val="000000"/>
                <w:sz w:val="16"/>
                <w:szCs w:val="16"/>
              </w:rPr>
              <w:t>1</w:t>
            </w:r>
            <w:r w:rsidR="0036255C">
              <w:rPr>
                <w:rFonts w:ascii="Calibri" w:hAnsi="Calibri" w:cs="Calibri"/>
                <w:b/>
                <w:bCs/>
                <w:color w:val="000000"/>
                <w:sz w:val="16"/>
                <w:szCs w:val="16"/>
              </w:rPr>
              <w:t>9.570.748</w:t>
            </w:r>
          </w:p>
        </w:tc>
        <w:tc>
          <w:tcPr>
            <w:tcW w:w="888" w:type="pct"/>
            <w:tcBorders>
              <w:top w:val="nil"/>
              <w:left w:val="nil"/>
              <w:bottom w:val="single" w:sz="8" w:space="0" w:color="auto"/>
              <w:right w:val="nil"/>
            </w:tcBorders>
            <w:shd w:val="clear" w:color="auto" w:fill="auto"/>
            <w:noWrap/>
            <w:vAlign w:val="center"/>
            <w:hideMark/>
          </w:tcPr>
          <w:p w14:paraId="2D279BF6" w14:textId="64AA773D" w:rsidR="00B74DE7" w:rsidRDefault="0036255C" w:rsidP="00937ED9">
            <w:pPr>
              <w:spacing w:after="120"/>
              <w:jc w:val="right"/>
              <w:rPr>
                <w:rFonts w:ascii="Calibri" w:hAnsi="Calibri" w:cs="Calibri"/>
                <w:b/>
                <w:bCs/>
                <w:color w:val="000000"/>
                <w:sz w:val="16"/>
                <w:szCs w:val="16"/>
              </w:rPr>
            </w:pPr>
            <w:r>
              <w:rPr>
                <w:rFonts w:ascii="Calibri" w:hAnsi="Calibri" w:cs="Calibri"/>
                <w:b/>
                <w:bCs/>
                <w:color w:val="000000"/>
                <w:sz w:val="16"/>
                <w:szCs w:val="16"/>
              </w:rPr>
              <w:t>132.609.668</w:t>
            </w:r>
          </w:p>
        </w:tc>
      </w:tr>
    </w:tbl>
    <w:p w14:paraId="0AE59FD0" w14:textId="6B99005B" w:rsidR="005557CC" w:rsidRPr="00654405" w:rsidRDefault="007158EB" w:rsidP="003B2914">
      <w:pPr>
        <w:spacing w:before="120"/>
        <w:rPr>
          <w:rFonts w:ascii="Calibri" w:hAnsi="Calibri" w:cs="Calibri"/>
          <w:b/>
          <w:sz w:val="22"/>
          <w:szCs w:val="22"/>
        </w:rPr>
      </w:pPr>
      <w:r w:rsidRPr="00654405">
        <w:rPr>
          <w:rFonts w:ascii="Calibri" w:hAnsi="Calibri" w:cs="Calibri"/>
          <w:b/>
          <w:sz w:val="22"/>
          <w:szCs w:val="22"/>
        </w:rPr>
        <w:t>NOTA 2</w:t>
      </w:r>
      <w:r w:rsidR="00550ED5">
        <w:rPr>
          <w:rFonts w:ascii="Calibri" w:hAnsi="Calibri" w:cs="Calibri"/>
          <w:b/>
          <w:sz w:val="22"/>
          <w:szCs w:val="22"/>
        </w:rPr>
        <w:t>4</w:t>
      </w:r>
      <w:r w:rsidRPr="00654405">
        <w:rPr>
          <w:rFonts w:ascii="Calibri" w:hAnsi="Calibri" w:cs="Calibri"/>
          <w:b/>
          <w:sz w:val="22"/>
          <w:szCs w:val="22"/>
        </w:rPr>
        <w:t xml:space="preserve"> </w:t>
      </w:r>
      <w:r w:rsidR="005557CC" w:rsidRPr="00654405">
        <w:rPr>
          <w:rFonts w:ascii="Calibri" w:hAnsi="Calibri" w:cs="Calibri"/>
          <w:b/>
          <w:sz w:val="22"/>
          <w:szCs w:val="22"/>
        </w:rPr>
        <w:t xml:space="preserve">– </w:t>
      </w:r>
      <w:r w:rsidR="00F150CE" w:rsidRPr="00654405">
        <w:rPr>
          <w:rFonts w:ascii="Calibri" w:hAnsi="Calibri" w:cs="Calibri"/>
          <w:b/>
          <w:sz w:val="22"/>
          <w:szCs w:val="22"/>
        </w:rPr>
        <w:t xml:space="preserve">CONCILIAÇÃO ENTRE A LEI Nº 6.404/76 E A LEI Nº 4.320/64 </w:t>
      </w:r>
      <w:r w:rsidR="006E295E" w:rsidRPr="00654405">
        <w:rPr>
          <w:rFonts w:ascii="Calibri" w:hAnsi="Calibri" w:cs="Calibri"/>
          <w:b/>
          <w:sz w:val="22"/>
          <w:szCs w:val="22"/>
        </w:rPr>
        <w:t>(NOTA NÃO AUDITADA)</w:t>
      </w:r>
    </w:p>
    <w:p w14:paraId="2630A93C" w14:textId="6D2DD13F" w:rsidR="00F150CE" w:rsidRDefault="00863872" w:rsidP="00937ED9">
      <w:pPr>
        <w:spacing w:before="120" w:after="120"/>
        <w:ind w:right="57"/>
        <w:jc w:val="both"/>
        <w:rPr>
          <w:rFonts w:ascii="Calibri" w:hAnsi="Calibri" w:cs="Calibri"/>
          <w:sz w:val="22"/>
          <w:szCs w:val="22"/>
        </w:rPr>
      </w:pPr>
      <w:r w:rsidRPr="00654405">
        <w:rPr>
          <w:rFonts w:ascii="Calibri" w:hAnsi="Calibri" w:cs="Calibri"/>
          <w:sz w:val="22"/>
          <w:szCs w:val="22"/>
        </w:rPr>
        <w:t xml:space="preserve">De acordo com </w:t>
      </w:r>
      <w:r w:rsidR="00F82D2C">
        <w:rPr>
          <w:rFonts w:ascii="Calibri" w:hAnsi="Calibri" w:cs="Calibri"/>
          <w:sz w:val="22"/>
          <w:szCs w:val="22"/>
        </w:rPr>
        <w:t>o</w:t>
      </w:r>
      <w:r w:rsidRPr="00654405">
        <w:rPr>
          <w:rFonts w:ascii="Calibri" w:hAnsi="Calibri" w:cs="Calibri"/>
          <w:sz w:val="22"/>
          <w:szCs w:val="22"/>
        </w:rPr>
        <w:t xml:space="preserve"> Acórdão</w:t>
      </w:r>
      <w:r w:rsidR="0023205E" w:rsidRPr="00654405">
        <w:rPr>
          <w:rFonts w:ascii="Calibri" w:hAnsi="Calibri" w:cs="Calibri"/>
          <w:sz w:val="22"/>
          <w:szCs w:val="22"/>
        </w:rPr>
        <w:t xml:space="preserve"> nº </w:t>
      </w:r>
      <w:r w:rsidRPr="00654405">
        <w:rPr>
          <w:rFonts w:ascii="Calibri" w:hAnsi="Calibri" w:cs="Calibri"/>
          <w:sz w:val="22"/>
          <w:szCs w:val="22"/>
        </w:rPr>
        <w:t>2016/2006 do Tribunal de Contas Da União, a</w:t>
      </w:r>
      <w:r w:rsidR="00F150CE" w:rsidRPr="00654405">
        <w:rPr>
          <w:rFonts w:ascii="Calibri" w:hAnsi="Calibri" w:cs="Calibri"/>
          <w:sz w:val="22"/>
          <w:szCs w:val="22"/>
        </w:rPr>
        <w:t xml:space="preserve">presenta-se o Balanço Patrimonial </w:t>
      </w:r>
      <w:r w:rsidR="009D5C7E" w:rsidRPr="00654405">
        <w:rPr>
          <w:rFonts w:ascii="Calibri" w:hAnsi="Calibri" w:cs="Calibri"/>
          <w:sz w:val="22"/>
          <w:szCs w:val="22"/>
        </w:rPr>
        <w:t xml:space="preserve">e a Demonstração de Resultados </w:t>
      </w:r>
      <w:r w:rsidR="00F150CE" w:rsidRPr="00654405">
        <w:rPr>
          <w:rFonts w:ascii="Calibri" w:hAnsi="Calibri" w:cs="Calibri"/>
          <w:sz w:val="22"/>
          <w:szCs w:val="22"/>
        </w:rPr>
        <w:t>comparativo</w:t>
      </w:r>
      <w:r w:rsidR="009D5C7E" w:rsidRPr="00654405">
        <w:rPr>
          <w:rFonts w:ascii="Calibri" w:hAnsi="Calibri" w:cs="Calibri"/>
          <w:sz w:val="22"/>
          <w:szCs w:val="22"/>
        </w:rPr>
        <w:t>s</w:t>
      </w:r>
      <w:r w:rsidR="00F150CE" w:rsidRPr="00654405">
        <w:rPr>
          <w:rFonts w:ascii="Calibri" w:hAnsi="Calibri" w:cs="Calibri"/>
          <w:sz w:val="22"/>
          <w:szCs w:val="22"/>
        </w:rPr>
        <w:t xml:space="preserve"> entre a contabilização conforme preceitos da Lei nº 6.404</w:t>
      </w:r>
      <w:r w:rsidR="00372962" w:rsidRPr="00654405">
        <w:rPr>
          <w:rFonts w:ascii="Calibri" w:hAnsi="Calibri" w:cs="Calibri"/>
          <w:sz w:val="22"/>
          <w:szCs w:val="22"/>
        </w:rPr>
        <w:t>, de 15 de dezembro de 19</w:t>
      </w:r>
      <w:r w:rsidR="00F150CE" w:rsidRPr="00654405">
        <w:rPr>
          <w:rFonts w:ascii="Calibri" w:hAnsi="Calibri" w:cs="Calibri"/>
          <w:sz w:val="22"/>
          <w:szCs w:val="22"/>
        </w:rPr>
        <w:t>76</w:t>
      </w:r>
      <w:r w:rsidR="00372962" w:rsidRPr="00654405">
        <w:rPr>
          <w:rFonts w:ascii="Calibri" w:hAnsi="Calibri" w:cs="Calibri"/>
          <w:sz w:val="22"/>
          <w:szCs w:val="22"/>
        </w:rPr>
        <w:t>,</w:t>
      </w:r>
      <w:r w:rsidR="00F150CE" w:rsidRPr="00654405">
        <w:rPr>
          <w:rFonts w:ascii="Calibri" w:hAnsi="Calibri" w:cs="Calibri"/>
          <w:sz w:val="22"/>
          <w:szCs w:val="22"/>
        </w:rPr>
        <w:t xml:space="preserve"> aplicadas às empresas sociedades anônimas e a Lei nº 4.320</w:t>
      </w:r>
      <w:r w:rsidR="00372962" w:rsidRPr="00654405">
        <w:rPr>
          <w:rFonts w:ascii="Calibri" w:hAnsi="Calibri" w:cs="Calibri"/>
          <w:sz w:val="22"/>
          <w:szCs w:val="22"/>
        </w:rPr>
        <w:t>, de 17 de março de 19</w:t>
      </w:r>
      <w:r w:rsidR="00F150CE" w:rsidRPr="00654405">
        <w:rPr>
          <w:rFonts w:ascii="Calibri" w:hAnsi="Calibri" w:cs="Calibri"/>
          <w:sz w:val="22"/>
          <w:szCs w:val="22"/>
        </w:rPr>
        <w:t>64</w:t>
      </w:r>
      <w:r w:rsidR="00372962" w:rsidRPr="00654405">
        <w:rPr>
          <w:rFonts w:ascii="Calibri" w:hAnsi="Calibri" w:cs="Calibri"/>
          <w:sz w:val="22"/>
          <w:szCs w:val="22"/>
        </w:rPr>
        <w:t xml:space="preserve">, </w:t>
      </w:r>
      <w:r w:rsidR="00F150CE" w:rsidRPr="00654405">
        <w:rPr>
          <w:rFonts w:ascii="Calibri" w:hAnsi="Calibri" w:cs="Calibri"/>
          <w:sz w:val="22"/>
          <w:szCs w:val="22"/>
        </w:rPr>
        <w:t xml:space="preserve">aplicada </w:t>
      </w:r>
      <w:r w:rsidRPr="00654405">
        <w:rPr>
          <w:rFonts w:ascii="Calibri" w:hAnsi="Calibri" w:cs="Calibri"/>
          <w:sz w:val="22"/>
          <w:szCs w:val="22"/>
        </w:rPr>
        <w:t>a</w:t>
      </w:r>
      <w:r w:rsidR="00F150CE" w:rsidRPr="00654405">
        <w:rPr>
          <w:rFonts w:ascii="Calibri" w:hAnsi="Calibri" w:cs="Calibri"/>
          <w:sz w:val="22"/>
          <w:szCs w:val="22"/>
        </w:rPr>
        <w:t xml:space="preserve">o setor público. </w:t>
      </w:r>
    </w:p>
    <w:p w14:paraId="7B084CC0" w14:textId="7CE27243" w:rsidR="00FA77B3" w:rsidRPr="00654405" w:rsidRDefault="00FA77B3" w:rsidP="00937ED9">
      <w:pPr>
        <w:spacing w:before="120" w:after="120"/>
        <w:ind w:right="57"/>
        <w:jc w:val="both"/>
        <w:rPr>
          <w:rFonts w:ascii="Calibri" w:hAnsi="Calibri" w:cs="Calibri"/>
          <w:sz w:val="22"/>
          <w:szCs w:val="22"/>
        </w:rPr>
      </w:pPr>
      <w:r>
        <w:rPr>
          <w:rFonts w:ascii="Calibri" w:hAnsi="Calibri" w:cs="Calibri"/>
          <w:sz w:val="22"/>
          <w:szCs w:val="22"/>
        </w:rPr>
        <w:lastRenderedPageBreak/>
        <w:t>Conforme divulgado na Nota 2e, o</w:t>
      </w:r>
      <w:r w:rsidRPr="009B67A2">
        <w:rPr>
          <w:rFonts w:ascii="Calibri" w:hAnsi="Calibri" w:cs="Calibri"/>
          <w:sz w:val="22"/>
          <w:szCs w:val="22"/>
        </w:rPr>
        <w:t>s registros contábeis da empresa são realizados por meio do Sistema Integrado de Administração Financeira do Governo Federal (SIAFI)</w:t>
      </w:r>
      <w:r>
        <w:rPr>
          <w:rFonts w:ascii="Calibri" w:hAnsi="Calibri" w:cs="Calibri"/>
          <w:sz w:val="22"/>
          <w:szCs w:val="22"/>
        </w:rPr>
        <w:t xml:space="preserve"> conforme as normas aplicadas à contabilidade do Setor Público</w:t>
      </w:r>
      <w:r w:rsidRPr="009B67A2">
        <w:rPr>
          <w:rFonts w:ascii="Calibri" w:hAnsi="Calibri" w:cs="Calibri"/>
          <w:sz w:val="22"/>
          <w:szCs w:val="22"/>
        </w:rPr>
        <w:t xml:space="preserve"> e</w:t>
      </w:r>
      <w:r>
        <w:rPr>
          <w:rFonts w:ascii="Calibri" w:hAnsi="Calibri" w:cs="Calibri"/>
          <w:sz w:val="22"/>
          <w:szCs w:val="22"/>
        </w:rPr>
        <w:t>,</w:t>
      </w:r>
      <w:r w:rsidRPr="009B67A2">
        <w:rPr>
          <w:rFonts w:ascii="Calibri" w:hAnsi="Calibri" w:cs="Calibri"/>
          <w:sz w:val="22"/>
          <w:szCs w:val="22"/>
        </w:rPr>
        <w:t xml:space="preserve"> posteriormente</w:t>
      </w:r>
      <w:r>
        <w:rPr>
          <w:rFonts w:ascii="Calibri" w:hAnsi="Calibri" w:cs="Calibri"/>
          <w:sz w:val="22"/>
          <w:szCs w:val="22"/>
        </w:rPr>
        <w:t>,</w:t>
      </w:r>
      <w:r w:rsidRPr="009B67A2">
        <w:rPr>
          <w:rFonts w:ascii="Calibri" w:hAnsi="Calibri" w:cs="Calibri"/>
          <w:sz w:val="22"/>
          <w:szCs w:val="22"/>
        </w:rPr>
        <w:t xml:space="preserve"> são conciliados para atender </w:t>
      </w:r>
      <w:r>
        <w:rPr>
          <w:rFonts w:ascii="Calibri" w:hAnsi="Calibri" w:cs="Calibri"/>
          <w:sz w:val="22"/>
          <w:szCs w:val="22"/>
        </w:rPr>
        <w:t>às normas aplicadas à Contabilidade</w:t>
      </w:r>
      <w:r w:rsidRPr="009B67A2">
        <w:rPr>
          <w:rFonts w:ascii="Calibri" w:hAnsi="Calibri" w:cs="Calibri"/>
          <w:sz w:val="22"/>
          <w:szCs w:val="22"/>
        </w:rPr>
        <w:t xml:space="preserve"> Societária</w:t>
      </w:r>
      <w:r>
        <w:rPr>
          <w:rFonts w:ascii="Calibri" w:hAnsi="Calibri" w:cs="Calibri"/>
          <w:sz w:val="22"/>
          <w:szCs w:val="22"/>
        </w:rPr>
        <w:t xml:space="preserve">. A conciliação é realizada </w:t>
      </w:r>
      <w:r w:rsidRPr="009B67A2">
        <w:rPr>
          <w:rFonts w:ascii="Calibri" w:hAnsi="Calibri" w:cs="Calibri"/>
          <w:sz w:val="22"/>
          <w:szCs w:val="22"/>
        </w:rPr>
        <w:t>“off-book”, por meio de planilhas</w:t>
      </w:r>
      <w:r>
        <w:rPr>
          <w:rFonts w:ascii="Calibri" w:hAnsi="Calibri" w:cs="Calibri"/>
          <w:sz w:val="22"/>
          <w:szCs w:val="22"/>
        </w:rPr>
        <w:t xml:space="preserve"> de Excel</w:t>
      </w:r>
      <w:r w:rsidR="00F82D2C">
        <w:rPr>
          <w:rFonts w:ascii="Calibri" w:hAnsi="Calibri" w:cs="Calibri"/>
          <w:sz w:val="22"/>
          <w:szCs w:val="22"/>
        </w:rPr>
        <w:t>,</w:t>
      </w:r>
      <w:r>
        <w:rPr>
          <w:rFonts w:ascii="Calibri" w:hAnsi="Calibri" w:cs="Calibri"/>
          <w:sz w:val="22"/>
          <w:szCs w:val="22"/>
        </w:rPr>
        <w:t xml:space="preserve"> e </w:t>
      </w:r>
      <w:r w:rsidR="00F82D2C">
        <w:rPr>
          <w:rFonts w:ascii="Calibri" w:hAnsi="Calibri" w:cs="Calibri"/>
          <w:sz w:val="22"/>
          <w:szCs w:val="22"/>
        </w:rPr>
        <w:t>é</w:t>
      </w:r>
      <w:r>
        <w:rPr>
          <w:rFonts w:ascii="Calibri" w:hAnsi="Calibri" w:cs="Calibri"/>
          <w:sz w:val="22"/>
          <w:szCs w:val="22"/>
        </w:rPr>
        <w:t xml:space="preserve"> </w:t>
      </w:r>
      <w:r w:rsidRPr="009B67A2">
        <w:rPr>
          <w:rFonts w:ascii="Calibri" w:hAnsi="Calibri" w:cs="Calibri"/>
          <w:sz w:val="22"/>
          <w:szCs w:val="22"/>
        </w:rPr>
        <w:t xml:space="preserve">necessária devido </w:t>
      </w:r>
      <w:r>
        <w:rPr>
          <w:rFonts w:ascii="Calibri" w:hAnsi="Calibri" w:cs="Calibri"/>
          <w:sz w:val="22"/>
          <w:szCs w:val="22"/>
        </w:rPr>
        <w:t>às</w:t>
      </w:r>
      <w:r w:rsidRPr="009B67A2">
        <w:rPr>
          <w:rFonts w:ascii="Calibri" w:hAnsi="Calibri" w:cs="Calibri"/>
          <w:sz w:val="22"/>
          <w:szCs w:val="22"/>
        </w:rPr>
        <w:t xml:space="preserve"> diferenças temporais e </w:t>
      </w:r>
      <w:r>
        <w:rPr>
          <w:rFonts w:ascii="Calibri" w:hAnsi="Calibri" w:cs="Calibri"/>
          <w:sz w:val="22"/>
          <w:szCs w:val="22"/>
        </w:rPr>
        <w:t>normativas</w:t>
      </w:r>
      <w:r w:rsidRPr="009B67A2">
        <w:rPr>
          <w:rFonts w:ascii="Calibri" w:hAnsi="Calibri" w:cs="Calibri"/>
          <w:sz w:val="22"/>
          <w:szCs w:val="22"/>
        </w:rPr>
        <w:t xml:space="preserve"> </w:t>
      </w:r>
      <w:r>
        <w:rPr>
          <w:rFonts w:ascii="Calibri" w:hAnsi="Calibri" w:cs="Calibri"/>
          <w:sz w:val="22"/>
          <w:szCs w:val="22"/>
        </w:rPr>
        <w:t xml:space="preserve">entre contabilidade pública e societária. </w:t>
      </w:r>
    </w:p>
    <w:p w14:paraId="2D47AB6D" w14:textId="0B7B8DA5" w:rsidR="004E7131" w:rsidRDefault="00F150CE" w:rsidP="00937ED9">
      <w:pPr>
        <w:spacing w:before="120" w:after="120"/>
        <w:ind w:right="57"/>
        <w:jc w:val="both"/>
        <w:rPr>
          <w:rFonts w:ascii="Calibri" w:hAnsi="Calibri" w:cs="Calibri"/>
          <w:sz w:val="22"/>
          <w:szCs w:val="22"/>
        </w:rPr>
      </w:pPr>
      <w:r w:rsidRPr="00654405">
        <w:rPr>
          <w:rFonts w:ascii="Calibri" w:hAnsi="Calibri" w:cs="Calibri"/>
          <w:sz w:val="22"/>
          <w:szCs w:val="22"/>
        </w:rPr>
        <w:t xml:space="preserve">Os dados para a elaboração </w:t>
      </w:r>
      <w:r w:rsidR="009D5C7E" w:rsidRPr="00654405">
        <w:rPr>
          <w:rFonts w:ascii="Calibri" w:hAnsi="Calibri" w:cs="Calibri"/>
          <w:sz w:val="22"/>
          <w:szCs w:val="22"/>
        </w:rPr>
        <w:t>das demonstrações</w:t>
      </w:r>
      <w:r w:rsidRPr="00654405">
        <w:rPr>
          <w:rFonts w:ascii="Calibri" w:hAnsi="Calibri" w:cs="Calibri"/>
          <w:sz w:val="22"/>
          <w:szCs w:val="22"/>
        </w:rPr>
        <w:t xml:space="preserve"> conforme a Lei 4.320/64 foram extraídos do Sistema Integrado de Administração Financeira do Governo Federal -SIAFI</w:t>
      </w:r>
      <w:r w:rsidR="00927F8A" w:rsidRPr="00654405">
        <w:rPr>
          <w:rFonts w:ascii="Calibri" w:hAnsi="Calibri" w:cs="Calibri"/>
          <w:sz w:val="22"/>
          <w:szCs w:val="22"/>
        </w:rPr>
        <w:t>.</w:t>
      </w:r>
    </w:p>
    <w:p w14:paraId="1DF5AFB6" w14:textId="281168E6" w:rsidR="00FA77B3" w:rsidRDefault="00FA77B3" w:rsidP="00937ED9">
      <w:pPr>
        <w:spacing w:before="120" w:after="120"/>
        <w:ind w:right="57"/>
        <w:jc w:val="both"/>
        <w:rPr>
          <w:rFonts w:ascii="Calibri" w:hAnsi="Calibri" w:cs="Calibri"/>
          <w:sz w:val="22"/>
          <w:szCs w:val="22"/>
        </w:rPr>
      </w:pPr>
      <w:r>
        <w:rPr>
          <w:rFonts w:ascii="Calibri" w:hAnsi="Calibri" w:cs="Calibri"/>
          <w:sz w:val="22"/>
          <w:szCs w:val="22"/>
        </w:rPr>
        <w:t>A conciliação apresentada nos itens (i) Ativo; (</w:t>
      </w:r>
      <w:proofErr w:type="spellStart"/>
      <w:r>
        <w:rPr>
          <w:rFonts w:ascii="Calibri" w:hAnsi="Calibri" w:cs="Calibri"/>
          <w:sz w:val="22"/>
          <w:szCs w:val="22"/>
        </w:rPr>
        <w:t>ii</w:t>
      </w:r>
      <w:proofErr w:type="spellEnd"/>
      <w:r>
        <w:rPr>
          <w:rFonts w:ascii="Calibri" w:hAnsi="Calibri" w:cs="Calibri"/>
          <w:sz w:val="22"/>
          <w:szCs w:val="22"/>
        </w:rPr>
        <w:t xml:space="preserve">) </w:t>
      </w:r>
      <w:r w:rsidR="00F82D2C">
        <w:rPr>
          <w:rFonts w:ascii="Calibri" w:hAnsi="Calibri" w:cs="Calibri"/>
          <w:sz w:val="22"/>
          <w:szCs w:val="22"/>
        </w:rPr>
        <w:t>P</w:t>
      </w:r>
      <w:r>
        <w:rPr>
          <w:rFonts w:ascii="Calibri" w:hAnsi="Calibri" w:cs="Calibri"/>
          <w:sz w:val="22"/>
          <w:szCs w:val="22"/>
        </w:rPr>
        <w:t>assivo; e (</w:t>
      </w:r>
      <w:proofErr w:type="spellStart"/>
      <w:r>
        <w:rPr>
          <w:rFonts w:ascii="Calibri" w:hAnsi="Calibri" w:cs="Calibri"/>
          <w:sz w:val="22"/>
          <w:szCs w:val="22"/>
        </w:rPr>
        <w:t>iii</w:t>
      </w:r>
      <w:proofErr w:type="spellEnd"/>
      <w:r>
        <w:rPr>
          <w:rFonts w:ascii="Calibri" w:hAnsi="Calibri" w:cs="Calibri"/>
          <w:sz w:val="22"/>
          <w:szCs w:val="22"/>
        </w:rPr>
        <w:t xml:space="preserve">) Demonstração do Resultado do Exercício </w:t>
      </w:r>
      <w:r w:rsidR="006306CB">
        <w:rPr>
          <w:rFonts w:ascii="Calibri" w:hAnsi="Calibri" w:cs="Calibri"/>
          <w:sz w:val="22"/>
          <w:szCs w:val="22"/>
        </w:rPr>
        <w:t xml:space="preserve">possui as seguintes características: </w:t>
      </w:r>
    </w:p>
    <w:p w14:paraId="3169FFF0" w14:textId="6FFF45F3" w:rsidR="006306CB" w:rsidRDefault="006306CB" w:rsidP="006306CB">
      <w:pPr>
        <w:pStyle w:val="PargrafodaLista"/>
        <w:numPr>
          <w:ilvl w:val="0"/>
          <w:numId w:val="47"/>
        </w:numPr>
        <w:spacing w:before="120" w:after="120"/>
        <w:ind w:right="57"/>
        <w:jc w:val="both"/>
        <w:rPr>
          <w:rFonts w:ascii="Calibri" w:hAnsi="Calibri" w:cs="Calibri"/>
          <w:sz w:val="22"/>
          <w:szCs w:val="22"/>
        </w:rPr>
      </w:pPr>
      <w:r>
        <w:rPr>
          <w:rFonts w:ascii="Calibri" w:hAnsi="Calibri" w:cs="Calibri"/>
          <w:sz w:val="22"/>
          <w:szCs w:val="22"/>
        </w:rPr>
        <w:t>Tempestivas</w:t>
      </w:r>
      <w:r w:rsidR="00BF03E5">
        <w:rPr>
          <w:rFonts w:ascii="Calibri" w:hAnsi="Calibri" w:cs="Calibri"/>
          <w:sz w:val="22"/>
          <w:szCs w:val="22"/>
        </w:rPr>
        <w:t>, que</w:t>
      </w:r>
      <w:r>
        <w:rPr>
          <w:rFonts w:ascii="Calibri" w:hAnsi="Calibri" w:cs="Calibri"/>
          <w:sz w:val="22"/>
          <w:szCs w:val="22"/>
        </w:rPr>
        <w:t xml:space="preserve"> foram registradas no SIAFI em momento posterior </w:t>
      </w:r>
      <w:r w:rsidR="00F82D2C">
        <w:rPr>
          <w:rFonts w:ascii="Calibri" w:hAnsi="Calibri" w:cs="Calibri"/>
          <w:sz w:val="22"/>
          <w:szCs w:val="22"/>
        </w:rPr>
        <w:t>ao de competência</w:t>
      </w:r>
      <w:r>
        <w:rPr>
          <w:rFonts w:ascii="Calibri" w:hAnsi="Calibri" w:cs="Calibri"/>
          <w:sz w:val="22"/>
          <w:szCs w:val="22"/>
        </w:rPr>
        <w:t>: referências (</w:t>
      </w:r>
      <w:r w:rsidR="00587766">
        <w:rPr>
          <w:rFonts w:ascii="Calibri" w:hAnsi="Calibri" w:cs="Calibri"/>
          <w:sz w:val="22"/>
          <w:szCs w:val="22"/>
        </w:rPr>
        <w:t>2</w:t>
      </w:r>
      <w:r w:rsidR="00140954">
        <w:rPr>
          <w:rFonts w:ascii="Calibri" w:hAnsi="Calibri" w:cs="Calibri"/>
          <w:sz w:val="22"/>
          <w:szCs w:val="22"/>
        </w:rPr>
        <w:t>), (</w:t>
      </w:r>
      <w:r w:rsidR="00A1499A">
        <w:rPr>
          <w:rFonts w:ascii="Calibri" w:hAnsi="Calibri" w:cs="Calibri"/>
          <w:sz w:val="22"/>
          <w:szCs w:val="22"/>
        </w:rPr>
        <w:t>3</w:t>
      </w:r>
      <w:r w:rsidR="00140954">
        <w:rPr>
          <w:rFonts w:ascii="Calibri" w:hAnsi="Calibri" w:cs="Calibri"/>
          <w:sz w:val="22"/>
          <w:szCs w:val="22"/>
        </w:rPr>
        <w:t>), (</w:t>
      </w:r>
      <w:r w:rsidR="00BF03E5">
        <w:rPr>
          <w:rFonts w:ascii="Calibri" w:hAnsi="Calibri" w:cs="Calibri"/>
          <w:sz w:val="22"/>
          <w:szCs w:val="22"/>
        </w:rPr>
        <w:t>9</w:t>
      </w:r>
      <w:r w:rsidR="00140954">
        <w:rPr>
          <w:rFonts w:ascii="Calibri" w:hAnsi="Calibri" w:cs="Calibri"/>
          <w:sz w:val="22"/>
          <w:szCs w:val="22"/>
        </w:rPr>
        <w:t>), (</w:t>
      </w:r>
      <w:r w:rsidR="00BF03E5">
        <w:rPr>
          <w:rFonts w:ascii="Calibri" w:hAnsi="Calibri" w:cs="Calibri"/>
          <w:sz w:val="22"/>
          <w:szCs w:val="22"/>
        </w:rPr>
        <w:t>10</w:t>
      </w:r>
      <w:r w:rsidR="00140954">
        <w:rPr>
          <w:rFonts w:ascii="Calibri" w:hAnsi="Calibri" w:cs="Calibri"/>
          <w:sz w:val="22"/>
          <w:szCs w:val="22"/>
        </w:rPr>
        <w:t>)</w:t>
      </w:r>
      <w:r w:rsidR="00A1499A">
        <w:rPr>
          <w:rFonts w:ascii="Calibri" w:hAnsi="Calibri" w:cs="Calibri"/>
          <w:sz w:val="22"/>
          <w:szCs w:val="22"/>
        </w:rPr>
        <w:t>, (11), (12)</w:t>
      </w:r>
      <w:r w:rsidR="00140954">
        <w:rPr>
          <w:rFonts w:ascii="Calibri" w:hAnsi="Calibri" w:cs="Calibri"/>
          <w:sz w:val="22"/>
          <w:szCs w:val="22"/>
        </w:rPr>
        <w:t xml:space="preserve"> e (1</w:t>
      </w:r>
      <w:r w:rsidR="00A1499A">
        <w:rPr>
          <w:rFonts w:ascii="Calibri" w:hAnsi="Calibri" w:cs="Calibri"/>
          <w:sz w:val="22"/>
          <w:szCs w:val="22"/>
        </w:rPr>
        <w:t>3</w:t>
      </w:r>
      <w:r w:rsidR="00140954">
        <w:rPr>
          <w:rFonts w:ascii="Calibri" w:hAnsi="Calibri" w:cs="Calibri"/>
          <w:sz w:val="22"/>
          <w:szCs w:val="22"/>
        </w:rPr>
        <w:t>);</w:t>
      </w:r>
    </w:p>
    <w:p w14:paraId="7C5996E2" w14:textId="0CC5D129" w:rsidR="00140954" w:rsidRDefault="00140954" w:rsidP="006306CB">
      <w:pPr>
        <w:pStyle w:val="PargrafodaLista"/>
        <w:numPr>
          <w:ilvl w:val="0"/>
          <w:numId w:val="47"/>
        </w:numPr>
        <w:spacing w:before="120" w:after="120"/>
        <w:ind w:right="57"/>
        <w:jc w:val="both"/>
        <w:rPr>
          <w:rFonts w:ascii="Calibri" w:hAnsi="Calibri" w:cs="Calibri"/>
          <w:sz w:val="22"/>
          <w:szCs w:val="22"/>
        </w:rPr>
      </w:pPr>
      <w:r>
        <w:rPr>
          <w:rFonts w:ascii="Calibri" w:hAnsi="Calibri" w:cs="Calibri"/>
          <w:sz w:val="22"/>
          <w:szCs w:val="22"/>
        </w:rPr>
        <w:t>Normativas</w:t>
      </w:r>
      <w:r w:rsidR="00BF03E5">
        <w:rPr>
          <w:rFonts w:ascii="Calibri" w:hAnsi="Calibri" w:cs="Calibri"/>
          <w:sz w:val="22"/>
          <w:szCs w:val="22"/>
        </w:rPr>
        <w:t>, que correspondem a</w:t>
      </w:r>
      <w:r>
        <w:rPr>
          <w:rFonts w:ascii="Calibri" w:hAnsi="Calibri" w:cs="Calibri"/>
          <w:sz w:val="22"/>
          <w:szCs w:val="22"/>
        </w:rPr>
        <w:t xml:space="preserve"> diferenças entre contabilidade pública e societária: referências: (1), (</w:t>
      </w:r>
      <w:r w:rsidR="00A1499A">
        <w:rPr>
          <w:rFonts w:ascii="Calibri" w:hAnsi="Calibri" w:cs="Calibri"/>
          <w:sz w:val="22"/>
          <w:szCs w:val="22"/>
        </w:rPr>
        <w:t>4</w:t>
      </w:r>
      <w:r>
        <w:rPr>
          <w:rFonts w:ascii="Calibri" w:hAnsi="Calibri" w:cs="Calibri"/>
          <w:sz w:val="22"/>
          <w:szCs w:val="22"/>
        </w:rPr>
        <w:t>), (</w:t>
      </w:r>
      <w:r w:rsidR="00A1499A">
        <w:rPr>
          <w:rFonts w:ascii="Calibri" w:hAnsi="Calibri" w:cs="Calibri"/>
          <w:sz w:val="22"/>
          <w:szCs w:val="22"/>
        </w:rPr>
        <w:t>5</w:t>
      </w:r>
      <w:r>
        <w:rPr>
          <w:rFonts w:ascii="Calibri" w:hAnsi="Calibri" w:cs="Calibri"/>
          <w:sz w:val="22"/>
          <w:szCs w:val="22"/>
        </w:rPr>
        <w:t>), (</w:t>
      </w:r>
      <w:r w:rsidR="00A1499A">
        <w:rPr>
          <w:rFonts w:ascii="Calibri" w:hAnsi="Calibri" w:cs="Calibri"/>
          <w:sz w:val="22"/>
          <w:szCs w:val="22"/>
        </w:rPr>
        <w:t>6</w:t>
      </w:r>
      <w:r>
        <w:rPr>
          <w:rFonts w:ascii="Calibri" w:hAnsi="Calibri" w:cs="Calibri"/>
          <w:sz w:val="22"/>
          <w:szCs w:val="22"/>
        </w:rPr>
        <w:t>)</w:t>
      </w:r>
      <w:r w:rsidR="00BF03E5">
        <w:rPr>
          <w:rFonts w:ascii="Calibri" w:hAnsi="Calibri" w:cs="Calibri"/>
          <w:sz w:val="22"/>
          <w:szCs w:val="22"/>
        </w:rPr>
        <w:t>, (</w:t>
      </w:r>
      <w:r w:rsidR="00A1499A">
        <w:rPr>
          <w:rFonts w:ascii="Calibri" w:hAnsi="Calibri" w:cs="Calibri"/>
          <w:sz w:val="22"/>
          <w:szCs w:val="22"/>
        </w:rPr>
        <w:t>7</w:t>
      </w:r>
      <w:r w:rsidR="00BF03E5">
        <w:rPr>
          <w:rFonts w:ascii="Calibri" w:hAnsi="Calibri" w:cs="Calibri"/>
          <w:sz w:val="22"/>
          <w:szCs w:val="22"/>
        </w:rPr>
        <w:t>)</w:t>
      </w:r>
      <w:r>
        <w:rPr>
          <w:rFonts w:ascii="Calibri" w:hAnsi="Calibri" w:cs="Calibri"/>
          <w:sz w:val="22"/>
          <w:szCs w:val="22"/>
        </w:rPr>
        <w:t xml:space="preserve"> e (</w:t>
      </w:r>
      <w:r w:rsidR="00A1499A">
        <w:rPr>
          <w:rFonts w:ascii="Calibri" w:hAnsi="Calibri" w:cs="Calibri"/>
          <w:sz w:val="22"/>
          <w:szCs w:val="22"/>
        </w:rPr>
        <w:t>8</w:t>
      </w:r>
      <w:r>
        <w:rPr>
          <w:rFonts w:ascii="Calibri" w:hAnsi="Calibri" w:cs="Calibri"/>
          <w:sz w:val="22"/>
          <w:szCs w:val="22"/>
        </w:rPr>
        <w:t>).</w:t>
      </w:r>
    </w:p>
    <w:p w14:paraId="032417FF" w14:textId="7F323F95" w:rsidR="005E272E" w:rsidRDefault="00EC7A73" w:rsidP="00937ED9">
      <w:pPr>
        <w:spacing w:after="120"/>
        <w:ind w:right="-142"/>
        <w:jc w:val="both"/>
        <w:rPr>
          <w:rFonts w:ascii="Calibri" w:hAnsi="Calibri" w:cs="Calibri"/>
          <w:b/>
          <w:sz w:val="22"/>
          <w:szCs w:val="22"/>
        </w:rPr>
      </w:pPr>
      <w:r w:rsidRPr="002E2B5B">
        <w:rPr>
          <w:rFonts w:ascii="Calibri" w:hAnsi="Calibri" w:cs="Calibri"/>
          <w:b/>
          <w:sz w:val="22"/>
          <w:szCs w:val="22"/>
        </w:rPr>
        <w:t>I – ATIVO</w:t>
      </w:r>
    </w:p>
    <w:p w14:paraId="702774CC" w14:textId="25B7A9E9" w:rsidR="00D93424" w:rsidRDefault="00F06BD6" w:rsidP="00937ED9">
      <w:pPr>
        <w:spacing w:after="120"/>
        <w:ind w:right="-142"/>
        <w:jc w:val="both"/>
        <w:rPr>
          <w:noProof/>
        </w:rPr>
      </w:pPr>
      <w:r w:rsidRPr="00F06BD6">
        <w:rPr>
          <w:noProof/>
        </w:rPr>
        <w:lastRenderedPageBreak/>
        <w:drawing>
          <wp:inline distT="0" distB="0" distL="0" distR="0" wp14:anchorId="23A22316" wp14:editId="2344E952">
            <wp:extent cx="5898204" cy="727710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10563" cy="7292348"/>
                    </a:xfrm>
                    <a:prstGeom prst="rect">
                      <a:avLst/>
                    </a:prstGeom>
                    <a:noFill/>
                    <a:ln>
                      <a:noFill/>
                    </a:ln>
                  </pic:spPr>
                </pic:pic>
              </a:graphicData>
            </a:graphic>
          </wp:inline>
        </w:drawing>
      </w:r>
    </w:p>
    <w:p w14:paraId="11FE0F30" w14:textId="77777777" w:rsidR="00F06BD6" w:rsidRDefault="00F06BD6" w:rsidP="00937ED9">
      <w:pPr>
        <w:spacing w:after="120"/>
        <w:ind w:right="-142"/>
        <w:jc w:val="both"/>
        <w:rPr>
          <w:noProof/>
        </w:rPr>
      </w:pPr>
    </w:p>
    <w:p w14:paraId="39350A0D" w14:textId="601E78E6" w:rsidR="00EC7A73" w:rsidRDefault="00E26B0F" w:rsidP="00937ED9">
      <w:pPr>
        <w:spacing w:after="120"/>
        <w:ind w:right="-142"/>
        <w:jc w:val="both"/>
        <w:rPr>
          <w:rFonts w:ascii="Calibri" w:hAnsi="Calibri" w:cs="Calibri"/>
          <w:b/>
          <w:sz w:val="22"/>
          <w:szCs w:val="22"/>
        </w:rPr>
      </w:pPr>
      <w:r w:rsidRPr="002E2B5B">
        <w:rPr>
          <w:rFonts w:ascii="Calibri" w:hAnsi="Calibri" w:cs="Calibri"/>
          <w:b/>
          <w:sz w:val="22"/>
          <w:szCs w:val="22"/>
        </w:rPr>
        <w:t>II – PASSIVO</w:t>
      </w:r>
    </w:p>
    <w:p w14:paraId="0C110891" w14:textId="0EF2C8AA" w:rsidR="00EC7A50" w:rsidRDefault="00F06BD6" w:rsidP="00937ED9">
      <w:pPr>
        <w:spacing w:after="120"/>
        <w:ind w:right="-142"/>
        <w:jc w:val="both"/>
        <w:rPr>
          <w:rFonts w:ascii="Calibri" w:hAnsi="Calibri" w:cs="Calibri"/>
          <w:b/>
          <w:sz w:val="22"/>
          <w:szCs w:val="22"/>
        </w:rPr>
      </w:pPr>
      <w:r w:rsidRPr="00F06BD6">
        <w:rPr>
          <w:noProof/>
        </w:rPr>
        <w:lastRenderedPageBreak/>
        <w:drawing>
          <wp:inline distT="0" distB="0" distL="0" distR="0" wp14:anchorId="0E395B40" wp14:editId="18478101">
            <wp:extent cx="5168900" cy="4788652"/>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78666" cy="4797699"/>
                    </a:xfrm>
                    <a:prstGeom prst="rect">
                      <a:avLst/>
                    </a:prstGeom>
                    <a:noFill/>
                    <a:ln>
                      <a:noFill/>
                    </a:ln>
                  </pic:spPr>
                </pic:pic>
              </a:graphicData>
            </a:graphic>
          </wp:inline>
        </w:drawing>
      </w:r>
    </w:p>
    <w:p w14:paraId="3707D03C" w14:textId="12A40F1F" w:rsidR="00D07CEE" w:rsidRDefault="00D07CEE" w:rsidP="00937ED9">
      <w:pPr>
        <w:spacing w:after="120"/>
        <w:ind w:right="-142"/>
        <w:rPr>
          <w:rFonts w:ascii="Calibri" w:hAnsi="Calibri" w:cs="Calibri"/>
          <w:bCs/>
          <w:sz w:val="22"/>
          <w:szCs w:val="22"/>
        </w:rPr>
      </w:pPr>
    </w:p>
    <w:p w14:paraId="5857B968" w14:textId="38709FFA" w:rsidR="00D07CEE" w:rsidRDefault="00D07CEE" w:rsidP="00937ED9">
      <w:pPr>
        <w:spacing w:after="120"/>
        <w:ind w:right="-142"/>
        <w:rPr>
          <w:rFonts w:ascii="Calibri" w:hAnsi="Calibri" w:cs="Calibri"/>
          <w:bCs/>
          <w:sz w:val="22"/>
          <w:szCs w:val="22"/>
        </w:rPr>
      </w:pPr>
    </w:p>
    <w:p w14:paraId="53B60173" w14:textId="1F64EFE7" w:rsidR="00D07CEE" w:rsidRDefault="00D07CEE" w:rsidP="00937ED9">
      <w:pPr>
        <w:spacing w:after="120"/>
        <w:ind w:right="-142"/>
        <w:rPr>
          <w:rFonts w:ascii="Calibri" w:hAnsi="Calibri" w:cs="Calibri"/>
          <w:bCs/>
          <w:sz w:val="22"/>
          <w:szCs w:val="22"/>
        </w:rPr>
      </w:pPr>
    </w:p>
    <w:p w14:paraId="7E543014" w14:textId="48067905" w:rsidR="004B283E" w:rsidRDefault="004B283E" w:rsidP="00937ED9">
      <w:pPr>
        <w:spacing w:after="120"/>
        <w:ind w:right="-142"/>
        <w:rPr>
          <w:rFonts w:ascii="Calibri" w:hAnsi="Calibri" w:cs="Calibri"/>
          <w:bCs/>
          <w:sz w:val="22"/>
          <w:szCs w:val="22"/>
        </w:rPr>
      </w:pPr>
    </w:p>
    <w:p w14:paraId="3B5D9972" w14:textId="0A2CB3B2" w:rsidR="004B283E" w:rsidRDefault="004B283E" w:rsidP="00937ED9">
      <w:pPr>
        <w:spacing w:after="120"/>
        <w:ind w:right="-142"/>
        <w:rPr>
          <w:rFonts w:ascii="Calibri" w:hAnsi="Calibri" w:cs="Calibri"/>
          <w:bCs/>
          <w:sz w:val="22"/>
          <w:szCs w:val="22"/>
        </w:rPr>
      </w:pPr>
    </w:p>
    <w:p w14:paraId="6FF66D35" w14:textId="44659F99" w:rsidR="00F06BD6" w:rsidRDefault="00F06BD6" w:rsidP="00937ED9">
      <w:pPr>
        <w:spacing w:after="120"/>
        <w:ind w:right="-142"/>
        <w:rPr>
          <w:rFonts w:ascii="Calibri" w:hAnsi="Calibri" w:cs="Calibri"/>
          <w:bCs/>
          <w:sz w:val="22"/>
          <w:szCs w:val="22"/>
        </w:rPr>
      </w:pPr>
    </w:p>
    <w:p w14:paraId="09A88DDF" w14:textId="22575CF6" w:rsidR="00F06BD6" w:rsidRDefault="00F06BD6" w:rsidP="00937ED9">
      <w:pPr>
        <w:spacing w:after="120"/>
        <w:ind w:right="-142"/>
        <w:rPr>
          <w:rFonts w:ascii="Calibri" w:hAnsi="Calibri" w:cs="Calibri"/>
          <w:bCs/>
          <w:sz w:val="22"/>
          <w:szCs w:val="22"/>
        </w:rPr>
      </w:pPr>
    </w:p>
    <w:p w14:paraId="5F9482FD" w14:textId="5F720910" w:rsidR="004B283E" w:rsidRDefault="004B283E" w:rsidP="00937ED9">
      <w:pPr>
        <w:spacing w:after="120"/>
        <w:ind w:right="-142"/>
        <w:rPr>
          <w:rFonts w:ascii="Calibri" w:hAnsi="Calibri" w:cs="Calibri"/>
          <w:bCs/>
          <w:sz w:val="22"/>
          <w:szCs w:val="22"/>
        </w:rPr>
      </w:pPr>
    </w:p>
    <w:p w14:paraId="34D28CE5" w14:textId="0C73FE1E" w:rsidR="004B283E" w:rsidRDefault="004B283E" w:rsidP="00937ED9">
      <w:pPr>
        <w:spacing w:after="120"/>
        <w:ind w:right="-142"/>
        <w:rPr>
          <w:rFonts w:ascii="Calibri" w:hAnsi="Calibri" w:cs="Calibri"/>
          <w:bCs/>
          <w:sz w:val="22"/>
          <w:szCs w:val="22"/>
        </w:rPr>
      </w:pPr>
    </w:p>
    <w:p w14:paraId="58E87EF7" w14:textId="6A5BC12A" w:rsidR="004B283E" w:rsidRDefault="004B283E" w:rsidP="00937ED9">
      <w:pPr>
        <w:spacing w:after="120"/>
        <w:ind w:right="-142"/>
        <w:rPr>
          <w:rFonts w:ascii="Calibri" w:hAnsi="Calibri" w:cs="Calibri"/>
          <w:bCs/>
          <w:sz w:val="22"/>
          <w:szCs w:val="22"/>
        </w:rPr>
      </w:pPr>
    </w:p>
    <w:p w14:paraId="5D0E56A0" w14:textId="0A1E2752" w:rsidR="004B283E" w:rsidRDefault="004B283E" w:rsidP="00937ED9">
      <w:pPr>
        <w:spacing w:after="120"/>
        <w:ind w:right="-142"/>
        <w:rPr>
          <w:rFonts w:ascii="Calibri" w:hAnsi="Calibri" w:cs="Calibri"/>
          <w:bCs/>
          <w:sz w:val="22"/>
          <w:szCs w:val="22"/>
        </w:rPr>
      </w:pPr>
    </w:p>
    <w:p w14:paraId="41D73D8B" w14:textId="77777777" w:rsidR="004B283E" w:rsidRDefault="004B283E" w:rsidP="00937ED9">
      <w:pPr>
        <w:spacing w:after="120"/>
        <w:ind w:right="-142"/>
        <w:rPr>
          <w:rFonts w:ascii="Calibri" w:hAnsi="Calibri" w:cs="Calibri"/>
          <w:bCs/>
          <w:sz w:val="22"/>
          <w:szCs w:val="22"/>
        </w:rPr>
      </w:pPr>
    </w:p>
    <w:p w14:paraId="06A635CE" w14:textId="7CD1D5B4" w:rsidR="000B3A75" w:rsidRDefault="000B3A75" w:rsidP="00937ED9">
      <w:pPr>
        <w:spacing w:after="120"/>
        <w:ind w:right="-142"/>
        <w:rPr>
          <w:rFonts w:ascii="Calibri" w:hAnsi="Calibri" w:cs="Calibri"/>
          <w:bCs/>
          <w:sz w:val="22"/>
          <w:szCs w:val="22"/>
        </w:rPr>
      </w:pPr>
    </w:p>
    <w:p w14:paraId="19004D1C" w14:textId="3B9AE23F" w:rsidR="004B283E" w:rsidRDefault="004B283E" w:rsidP="00937ED9">
      <w:pPr>
        <w:spacing w:after="120"/>
        <w:ind w:right="-142"/>
        <w:rPr>
          <w:rFonts w:ascii="Calibri" w:hAnsi="Calibri" w:cs="Calibri"/>
          <w:bCs/>
          <w:sz w:val="22"/>
          <w:szCs w:val="22"/>
        </w:rPr>
      </w:pPr>
    </w:p>
    <w:p w14:paraId="2D294B92" w14:textId="5DE8A838" w:rsidR="00E26B0F" w:rsidRDefault="00E26B0F" w:rsidP="00937ED9">
      <w:pPr>
        <w:spacing w:after="120"/>
        <w:ind w:right="-142"/>
        <w:rPr>
          <w:rFonts w:ascii="Calibri" w:hAnsi="Calibri" w:cs="Calibri"/>
          <w:b/>
          <w:sz w:val="22"/>
          <w:szCs w:val="22"/>
        </w:rPr>
      </w:pPr>
      <w:r w:rsidRPr="002E2B5B">
        <w:rPr>
          <w:rFonts w:ascii="Calibri" w:hAnsi="Calibri" w:cs="Calibri"/>
          <w:b/>
          <w:sz w:val="22"/>
          <w:szCs w:val="22"/>
        </w:rPr>
        <w:t>III – DEM</w:t>
      </w:r>
      <w:r w:rsidR="009470F8" w:rsidRPr="002E2B5B">
        <w:rPr>
          <w:rFonts w:ascii="Calibri" w:hAnsi="Calibri" w:cs="Calibri"/>
          <w:b/>
          <w:sz w:val="22"/>
          <w:szCs w:val="22"/>
        </w:rPr>
        <w:t>O</w:t>
      </w:r>
      <w:r w:rsidRPr="002E2B5B">
        <w:rPr>
          <w:rFonts w:ascii="Calibri" w:hAnsi="Calibri" w:cs="Calibri"/>
          <w:b/>
          <w:sz w:val="22"/>
          <w:szCs w:val="22"/>
        </w:rPr>
        <w:t>NSTRAÇÃO DO RESULTADO DO EXERCÍCIO</w:t>
      </w:r>
    </w:p>
    <w:p w14:paraId="1CC95302" w14:textId="5730A80E" w:rsidR="00A40611" w:rsidRDefault="00587766" w:rsidP="00B105BE">
      <w:pPr>
        <w:spacing w:before="240" w:after="360"/>
        <w:ind w:right="-142"/>
        <w:rPr>
          <w:rFonts w:ascii="Calibri" w:hAnsi="Calibri" w:cs="Calibri"/>
          <w:bCs/>
          <w:noProof/>
          <w:sz w:val="22"/>
          <w:szCs w:val="22"/>
        </w:rPr>
      </w:pPr>
      <w:r w:rsidRPr="00587766">
        <w:rPr>
          <w:noProof/>
        </w:rPr>
        <w:lastRenderedPageBreak/>
        <w:drawing>
          <wp:inline distT="0" distB="0" distL="0" distR="0" wp14:anchorId="38DB8300" wp14:editId="0FC997BC">
            <wp:extent cx="5588000" cy="5789268"/>
            <wp:effectExtent l="0" t="0" r="0" b="254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95593" cy="5797135"/>
                    </a:xfrm>
                    <a:prstGeom prst="rect">
                      <a:avLst/>
                    </a:prstGeom>
                    <a:noFill/>
                    <a:ln>
                      <a:noFill/>
                    </a:ln>
                  </pic:spPr>
                </pic:pic>
              </a:graphicData>
            </a:graphic>
          </wp:inline>
        </w:drawing>
      </w:r>
    </w:p>
    <w:p w14:paraId="7CD57E77" w14:textId="2D427841" w:rsidR="00781F33" w:rsidRPr="002E2B5B" w:rsidRDefault="00F22275" w:rsidP="00937ED9">
      <w:pPr>
        <w:numPr>
          <w:ilvl w:val="0"/>
          <w:numId w:val="21"/>
        </w:numPr>
        <w:spacing w:after="120"/>
        <w:ind w:left="714" w:right="57" w:hanging="357"/>
        <w:jc w:val="both"/>
        <w:rPr>
          <w:rFonts w:ascii="Calibri" w:hAnsi="Calibri" w:cs="Calibri"/>
          <w:bCs/>
          <w:sz w:val="18"/>
          <w:szCs w:val="18"/>
        </w:rPr>
      </w:pPr>
      <w:r w:rsidRPr="00F22275">
        <w:rPr>
          <w:rFonts w:ascii="Calibri" w:hAnsi="Calibri" w:cs="Calibri"/>
          <w:bCs/>
          <w:sz w:val="18"/>
          <w:szCs w:val="18"/>
        </w:rPr>
        <w:t>As permissões de uso de pátios e terminais são registradas na contabilidade societária pelo regime de competência, portanto, os direitos a receber sobre os contratos de permissões são contabilizados no ativo circulante e não circulante conforme o vencimento e são corrigidas monetariamente de acordo com as cláusulas contratuais. No SIAFI essas receitas são registradas somente no momento que são recebidas, já na contabilidade societária, observando-se o regime de competência, a receita é contabilizada no passivo circulante e não circulante, e será diferida durante todo o período contratual;</w:t>
      </w:r>
    </w:p>
    <w:p w14:paraId="24A220C2" w14:textId="43CEBDB2" w:rsidR="00E21C8C" w:rsidRDefault="00E21C8C" w:rsidP="00937ED9">
      <w:pPr>
        <w:numPr>
          <w:ilvl w:val="0"/>
          <w:numId w:val="21"/>
        </w:numPr>
        <w:spacing w:after="120"/>
        <w:ind w:left="714" w:right="57" w:hanging="357"/>
        <w:jc w:val="both"/>
        <w:rPr>
          <w:rFonts w:ascii="Calibri" w:hAnsi="Calibri" w:cs="Calibri"/>
          <w:bCs/>
          <w:sz w:val="18"/>
          <w:szCs w:val="18"/>
        </w:rPr>
      </w:pPr>
      <w:r w:rsidRPr="00E21C8C">
        <w:rPr>
          <w:rFonts w:ascii="Calibri" w:hAnsi="Calibri" w:cs="Calibri"/>
          <w:bCs/>
          <w:sz w:val="18"/>
          <w:szCs w:val="18"/>
        </w:rPr>
        <w:t xml:space="preserve">Os registros do resultado da equivalência patrimonial sobre o investimento na Transnordestina Logística S/A são registrados no SIAFI intempestivamente, visto que a coligada envia à VALEC suas demonstrações somente após serem auditadas. A diferença apresentada se refere ao resultado do </w:t>
      </w:r>
      <w:r>
        <w:rPr>
          <w:rFonts w:ascii="Calibri" w:hAnsi="Calibri" w:cs="Calibri"/>
          <w:bCs/>
          <w:sz w:val="18"/>
          <w:szCs w:val="18"/>
        </w:rPr>
        <w:t>2</w:t>
      </w:r>
      <w:r w:rsidRPr="00E21C8C">
        <w:rPr>
          <w:rFonts w:ascii="Calibri" w:hAnsi="Calibri" w:cs="Calibri"/>
          <w:bCs/>
          <w:sz w:val="18"/>
          <w:szCs w:val="18"/>
        </w:rPr>
        <w:t xml:space="preserve">º trimestre de 2022, o qual foi registrado no SIAFI apenas em </w:t>
      </w:r>
      <w:r>
        <w:rPr>
          <w:rFonts w:ascii="Calibri" w:hAnsi="Calibri" w:cs="Calibri"/>
          <w:bCs/>
          <w:sz w:val="18"/>
          <w:szCs w:val="18"/>
        </w:rPr>
        <w:t>agosto</w:t>
      </w:r>
      <w:r w:rsidRPr="00E21C8C">
        <w:rPr>
          <w:rFonts w:ascii="Calibri" w:hAnsi="Calibri" w:cs="Calibri"/>
          <w:bCs/>
          <w:sz w:val="18"/>
          <w:szCs w:val="18"/>
        </w:rPr>
        <w:t xml:space="preserve"> de 2022.</w:t>
      </w:r>
    </w:p>
    <w:p w14:paraId="6D502A8E" w14:textId="53CB6BAE" w:rsidR="00587766" w:rsidRDefault="00587766" w:rsidP="00937ED9">
      <w:pPr>
        <w:numPr>
          <w:ilvl w:val="0"/>
          <w:numId w:val="21"/>
        </w:numPr>
        <w:spacing w:after="120"/>
        <w:ind w:left="714" w:right="57" w:hanging="357"/>
        <w:jc w:val="both"/>
        <w:rPr>
          <w:rFonts w:ascii="Calibri" w:hAnsi="Calibri" w:cs="Calibri"/>
          <w:bCs/>
          <w:sz w:val="18"/>
          <w:szCs w:val="18"/>
        </w:rPr>
      </w:pPr>
      <w:r w:rsidRPr="00587766">
        <w:rPr>
          <w:rFonts w:ascii="Calibri" w:hAnsi="Calibri" w:cs="Calibri"/>
          <w:bCs/>
          <w:sz w:val="18"/>
          <w:szCs w:val="18"/>
        </w:rPr>
        <w:t>Foram realizados ajustes após conciliação das Notas Fiscais relacionadas ao Investimento Cruzado. No SIAFI o valor ajustado foi registrado em agosto de 2022, já na Societária a referida conciliação foi considerada em junho de 2022;</w:t>
      </w:r>
    </w:p>
    <w:p w14:paraId="7024FA6A" w14:textId="3CA5184D" w:rsidR="00C65B00" w:rsidRDefault="00C65B00" w:rsidP="00937ED9">
      <w:pPr>
        <w:numPr>
          <w:ilvl w:val="0"/>
          <w:numId w:val="21"/>
        </w:numPr>
        <w:spacing w:after="120"/>
        <w:ind w:left="714" w:right="57" w:hanging="357"/>
        <w:jc w:val="both"/>
        <w:rPr>
          <w:rFonts w:ascii="Calibri" w:hAnsi="Calibri" w:cs="Calibri"/>
          <w:bCs/>
          <w:sz w:val="18"/>
          <w:szCs w:val="18"/>
        </w:rPr>
      </w:pPr>
      <w:r w:rsidRPr="002E2B5B">
        <w:rPr>
          <w:rFonts w:ascii="Calibri" w:hAnsi="Calibri" w:cs="Calibri"/>
          <w:bCs/>
          <w:sz w:val="18"/>
          <w:szCs w:val="18"/>
        </w:rPr>
        <w:t>Conforme descrito na Nota 1</w:t>
      </w:r>
      <w:r>
        <w:rPr>
          <w:rFonts w:ascii="Calibri" w:hAnsi="Calibri" w:cs="Calibri"/>
          <w:bCs/>
          <w:sz w:val="18"/>
          <w:szCs w:val="18"/>
        </w:rPr>
        <w:t>5</w:t>
      </w:r>
      <w:r w:rsidRPr="002E2B5B">
        <w:rPr>
          <w:rFonts w:ascii="Calibri" w:hAnsi="Calibri" w:cs="Calibri"/>
          <w:bCs/>
          <w:sz w:val="18"/>
          <w:szCs w:val="18"/>
        </w:rPr>
        <w:t>, o CPC 06 (R2) estabelece que os contratos de aluguéis, que se enquadram nos requisitos estipulados naquele pronunciamento, deverão ser registrados como direitos de uso no ativo e passivos de arrendamentos no passivo, além de registrar a depreciação desses direitos. Na contabilidade aplicada ao setor público ainda não houve alterações na contabilização dos contratos de aluguéis, os quais continuam sendo registrados como despesas de locações</w:t>
      </w:r>
      <w:r>
        <w:rPr>
          <w:rFonts w:ascii="Calibri" w:hAnsi="Calibri" w:cs="Calibri"/>
          <w:bCs/>
          <w:sz w:val="18"/>
          <w:szCs w:val="18"/>
        </w:rPr>
        <w:t>;</w:t>
      </w:r>
    </w:p>
    <w:p w14:paraId="023A71B1" w14:textId="6493D326" w:rsidR="00C65B00" w:rsidRDefault="00C65B00" w:rsidP="00937ED9">
      <w:pPr>
        <w:numPr>
          <w:ilvl w:val="0"/>
          <w:numId w:val="21"/>
        </w:numPr>
        <w:spacing w:after="120"/>
        <w:ind w:left="714" w:right="57" w:hanging="357"/>
        <w:jc w:val="both"/>
        <w:rPr>
          <w:rFonts w:ascii="Calibri" w:hAnsi="Calibri" w:cs="Calibri"/>
          <w:bCs/>
          <w:sz w:val="18"/>
          <w:szCs w:val="18"/>
        </w:rPr>
      </w:pPr>
      <w:r w:rsidRPr="00CF3FAA">
        <w:rPr>
          <w:rFonts w:ascii="Calibri" w:hAnsi="Calibri" w:cs="Calibri"/>
          <w:bCs/>
          <w:sz w:val="18"/>
          <w:szCs w:val="18"/>
        </w:rPr>
        <w:lastRenderedPageBreak/>
        <w:t xml:space="preserve">A receita decorrente da Subconcessão da FIOL I foi registrada no SIAFI quando foi recebida. Já na contabilidade societária, observando-se o regime de competência, a receita foi contabilizada no passivo circulante e não circulante, e será diferida durante todo o período </w:t>
      </w:r>
      <w:r>
        <w:rPr>
          <w:rFonts w:ascii="Calibri" w:hAnsi="Calibri" w:cs="Calibri"/>
          <w:bCs/>
          <w:sz w:val="18"/>
          <w:szCs w:val="18"/>
        </w:rPr>
        <w:t>contratual;</w:t>
      </w:r>
    </w:p>
    <w:p w14:paraId="02B1ED15" w14:textId="1427A349" w:rsidR="00727B6F" w:rsidRDefault="00727B6F" w:rsidP="00937ED9">
      <w:pPr>
        <w:numPr>
          <w:ilvl w:val="0"/>
          <w:numId w:val="21"/>
        </w:numPr>
        <w:spacing w:after="120"/>
        <w:ind w:left="714" w:right="57" w:hanging="357"/>
        <w:jc w:val="both"/>
        <w:rPr>
          <w:rFonts w:ascii="Calibri" w:hAnsi="Calibri" w:cs="Calibri"/>
          <w:bCs/>
          <w:sz w:val="18"/>
          <w:szCs w:val="18"/>
        </w:rPr>
      </w:pPr>
      <w:r>
        <w:rPr>
          <w:rFonts w:ascii="Calibri" w:hAnsi="Calibri" w:cs="Calibri"/>
          <w:bCs/>
          <w:sz w:val="18"/>
          <w:szCs w:val="18"/>
        </w:rPr>
        <w:t>Conforme descrito na Nota 14, a contabilização do investimento cruzado ainda está em discussão. No entanto, por orientação da CCONT/STN foi registrado no SIAFI em conta de resultado como outras receitas. Já o entendimento da VALEC é que, enquanto não se define a metodologia, deverá ser registrado como um passivo, o que não interfere no resultado da empresa</w:t>
      </w:r>
      <w:r w:rsidR="00311842">
        <w:rPr>
          <w:rFonts w:ascii="Calibri" w:hAnsi="Calibri" w:cs="Calibri"/>
          <w:bCs/>
          <w:sz w:val="18"/>
          <w:szCs w:val="18"/>
        </w:rPr>
        <w:t>;</w:t>
      </w:r>
    </w:p>
    <w:p w14:paraId="11A7D550" w14:textId="16FD6831" w:rsidR="00727B6F" w:rsidRDefault="00727B6F" w:rsidP="00937ED9">
      <w:pPr>
        <w:numPr>
          <w:ilvl w:val="0"/>
          <w:numId w:val="21"/>
        </w:numPr>
        <w:spacing w:after="120"/>
        <w:ind w:left="714" w:right="57" w:hanging="357"/>
        <w:jc w:val="both"/>
        <w:rPr>
          <w:rFonts w:ascii="Calibri" w:hAnsi="Calibri" w:cs="Calibri"/>
          <w:bCs/>
          <w:sz w:val="18"/>
          <w:szCs w:val="18"/>
        </w:rPr>
      </w:pPr>
      <w:r>
        <w:rPr>
          <w:rFonts w:ascii="Calibri" w:hAnsi="Calibri" w:cs="Calibri"/>
          <w:bCs/>
          <w:sz w:val="18"/>
          <w:szCs w:val="18"/>
        </w:rPr>
        <w:t>Considerando que parte das diferenças apontadas afetam diretamente o resultado do exercício, consequentemente o saldo Prejuízos Acumulados reconhecido no SIAFI apresenta-se diferente do saldo apurado na Contabilidade Societária;</w:t>
      </w:r>
    </w:p>
    <w:p w14:paraId="1292E423" w14:textId="1DF7A24A" w:rsidR="00727B6F" w:rsidRDefault="00727B6F" w:rsidP="00937ED9">
      <w:pPr>
        <w:numPr>
          <w:ilvl w:val="0"/>
          <w:numId w:val="21"/>
        </w:numPr>
        <w:spacing w:after="120"/>
        <w:ind w:left="714" w:right="57" w:hanging="357"/>
        <w:jc w:val="both"/>
        <w:rPr>
          <w:rFonts w:ascii="Calibri" w:hAnsi="Calibri" w:cs="Calibri"/>
          <w:bCs/>
          <w:sz w:val="18"/>
          <w:szCs w:val="18"/>
        </w:rPr>
      </w:pPr>
      <w:r>
        <w:rPr>
          <w:rFonts w:ascii="Calibri" w:hAnsi="Calibri" w:cs="Calibri"/>
          <w:bCs/>
          <w:sz w:val="18"/>
          <w:szCs w:val="18"/>
        </w:rPr>
        <w:t>No SIAFI, o r</w:t>
      </w:r>
      <w:r w:rsidRPr="00212F6A">
        <w:rPr>
          <w:rFonts w:ascii="Calibri" w:hAnsi="Calibri" w:cs="Calibri"/>
          <w:bCs/>
          <w:sz w:val="18"/>
          <w:szCs w:val="18"/>
        </w:rPr>
        <w:t xml:space="preserve">econhecimento de </w:t>
      </w:r>
      <w:r>
        <w:rPr>
          <w:rFonts w:ascii="Calibri" w:hAnsi="Calibri" w:cs="Calibri"/>
          <w:bCs/>
          <w:sz w:val="18"/>
          <w:szCs w:val="18"/>
        </w:rPr>
        <w:t xml:space="preserve">crédito de </w:t>
      </w:r>
      <w:r w:rsidRPr="00212F6A">
        <w:rPr>
          <w:rFonts w:ascii="Calibri" w:hAnsi="Calibri" w:cs="Calibri"/>
          <w:bCs/>
          <w:sz w:val="18"/>
          <w:szCs w:val="18"/>
        </w:rPr>
        <w:t>PIS e COFINS</w:t>
      </w:r>
      <w:r>
        <w:rPr>
          <w:rFonts w:ascii="Calibri" w:hAnsi="Calibri" w:cs="Calibri"/>
          <w:bCs/>
          <w:sz w:val="18"/>
          <w:szCs w:val="18"/>
        </w:rPr>
        <w:t xml:space="preserve"> é realizado pelo valor líquido. Já na Contabilidade Societária, são evidenciados os lançamentos de PIS e COFINS a recolher bem como os de PIS e COFINS a recuperar;</w:t>
      </w:r>
    </w:p>
    <w:p w14:paraId="4A0F75B1" w14:textId="7E653572" w:rsidR="00311842" w:rsidRDefault="00311842" w:rsidP="00311842">
      <w:pPr>
        <w:numPr>
          <w:ilvl w:val="0"/>
          <w:numId w:val="21"/>
        </w:numPr>
        <w:spacing w:after="120"/>
        <w:ind w:left="714" w:right="57" w:hanging="357"/>
        <w:jc w:val="both"/>
        <w:rPr>
          <w:rFonts w:ascii="Calibri" w:hAnsi="Calibri" w:cs="Calibri"/>
          <w:bCs/>
          <w:sz w:val="18"/>
          <w:szCs w:val="18"/>
        </w:rPr>
      </w:pPr>
      <w:r>
        <w:rPr>
          <w:rFonts w:ascii="Calibri" w:hAnsi="Calibri" w:cs="Calibri"/>
          <w:bCs/>
          <w:sz w:val="18"/>
          <w:szCs w:val="18"/>
        </w:rPr>
        <w:t>Devido a problemas na emissão do e-social referentes aos meses de novembro e dezembro de 2021, as despesas com INSS sobre a folha de pagamento desses respectivos períodos foram parcialmente registradas no SIAFI nas devidas competências, restando o valor de R$ 2,5 milhões que foi registrado no SIAFI apenas em janeiro de 2022 quando foram concluídas as informações no e-social e efetivado os pagamentos;</w:t>
      </w:r>
    </w:p>
    <w:p w14:paraId="256190B8" w14:textId="4BCA97B0" w:rsidR="0068558C" w:rsidRDefault="00311842" w:rsidP="00937ED9">
      <w:pPr>
        <w:numPr>
          <w:ilvl w:val="0"/>
          <w:numId w:val="21"/>
        </w:numPr>
        <w:spacing w:after="120"/>
        <w:ind w:left="714" w:right="57" w:hanging="357"/>
        <w:jc w:val="both"/>
        <w:rPr>
          <w:rFonts w:ascii="Calibri" w:hAnsi="Calibri" w:cs="Calibri"/>
          <w:bCs/>
          <w:sz w:val="18"/>
          <w:szCs w:val="18"/>
        </w:rPr>
      </w:pPr>
      <w:r w:rsidRPr="003A7F74">
        <w:rPr>
          <w:rFonts w:ascii="Calibri" w:hAnsi="Calibri" w:cs="Calibri"/>
          <w:bCs/>
          <w:sz w:val="18"/>
          <w:szCs w:val="18"/>
        </w:rPr>
        <w:t xml:space="preserve">Conforme explicitado na Nota 8, fez-se necessária a reversão de parte do valor provisionado relativo a FIOL I, totalizando R$ 20,77 milhões. Entretanto, na data de encerramento do exercício de 2021, não havia evento ou situação disponível no SIAFI para realizar tal lançamento. O referido evento foi devidamente disponibilizado para o registro apenas </w:t>
      </w:r>
      <w:r w:rsidR="00105561">
        <w:rPr>
          <w:rFonts w:ascii="Calibri" w:hAnsi="Calibri" w:cs="Calibri"/>
          <w:bCs/>
          <w:sz w:val="18"/>
          <w:szCs w:val="18"/>
        </w:rPr>
        <w:t xml:space="preserve">em </w:t>
      </w:r>
      <w:r w:rsidRPr="003A7F74">
        <w:rPr>
          <w:rFonts w:ascii="Calibri" w:hAnsi="Calibri" w:cs="Calibri"/>
          <w:bCs/>
          <w:sz w:val="18"/>
          <w:szCs w:val="18"/>
        </w:rPr>
        <w:t>janeiro</w:t>
      </w:r>
      <w:r w:rsidR="00105561">
        <w:rPr>
          <w:rFonts w:ascii="Calibri" w:hAnsi="Calibri" w:cs="Calibri"/>
          <w:bCs/>
          <w:sz w:val="18"/>
          <w:szCs w:val="18"/>
        </w:rPr>
        <w:t xml:space="preserve"> de </w:t>
      </w:r>
      <w:r w:rsidRPr="003A7F74">
        <w:rPr>
          <w:rFonts w:ascii="Calibri" w:hAnsi="Calibri" w:cs="Calibri"/>
          <w:bCs/>
          <w:sz w:val="18"/>
          <w:szCs w:val="18"/>
        </w:rPr>
        <w:t>2022</w:t>
      </w:r>
      <w:r>
        <w:rPr>
          <w:rFonts w:ascii="Calibri" w:hAnsi="Calibri" w:cs="Calibri"/>
          <w:bCs/>
          <w:sz w:val="18"/>
          <w:szCs w:val="18"/>
        </w:rPr>
        <w:t>;</w:t>
      </w:r>
    </w:p>
    <w:p w14:paraId="1447BE82" w14:textId="4FB98B80" w:rsidR="00311842" w:rsidRDefault="00311842" w:rsidP="00937ED9">
      <w:pPr>
        <w:numPr>
          <w:ilvl w:val="0"/>
          <w:numId w:val="21"/>
        </w:numPr>
        <w:spacing w:after="120"/>
        <w:ind w:left="714" w:right="57" w:hanging="357"/>
        <w:jc w:val="both"/>
        <w:rPr>
          <w:rFonts w:ascii="Calibri" w:hAnsi="Calibri" w:cs="Calibri"/>
          <w:bCs/>
          <w:sz w:val="18"/>
          <w:szCs w:val="18"/>
        </w:rPr>
      </w:pPr>
      <w:r>
        <w:rPr>
          <w:rFonts w:ascii="Calibri" w:hAnsi="Calibri" w:cs="Calibri"/>
          <w:bCs/>
          <w:sz w:val="18"/>
          <w:szCs w:val="18"/>
        </w:rPr>
        <w:t>A</w:t>
      </w:r>
      <w:r w:rsidRPr="003A7F74">
        <w:rPr>
          <w:rFonts w:ascii="Calibri" w:hAnsi="Calibri" w:cs="Calibri"/>
          <w:bCs/>
          <w:sz w:val="18"/>
          <w:szCs w:val="18"/>
        </w:rPr>
        <w:t>o final do exercício de 2021 foi identificada a possibilidade de baixa na conta “Depósitos Retidos de Fornecedores” e consequentemente a baixa dos ativos</w:t>
      </w:r>
      <w:r>
        <w:rPr>
          <w:rFonts w:ascii="Calibri" w:hAnsi="Calibri" w:cs="Calibri"/>
          <w:bCs/>
          <w:sz w:val="18"/>
          <w:szCs w:val="18"/>
        </w:rPr>
        <w:t xml:space="preserve"> e redução a valor recuperável </w:t>
      </w:r>
      <w:r w:rsidRPr="003A7F74">
        <w:rPr>
          <w:rFonts w:ascii="Calibri" w:hAnsi="Calibri" w:cs="Calibri"/>
          <w:bCs/>
          <w:sz w:val="18"/>
          <w:szCs w:val="18"/>
        </w:rPr>
        <w:t>respectivos</w:t>
      </w:r>
      <w:r>
        <w:rPr>
          <w:rFonts w:ascii="Calibri" w:hAnsi="Calibri" w:cs="Calibri"/>
          <w:bCs/>
          <w:sz w:val="18"/>
          <w:szCs w:val="18"/>
        </w:rPr>
        <w:t>,</w:t>
      </w:r>
      <w:r w:rsidRPr="003A7F74">
        <w:rPr>
          <w:rFonts w:ascii="Calibri" w:hAnsi="Calibri" w:cs="Calibri"/>
          <w:bCs/>
          <w:sz w:val="18"/>
          <w:szCs w:val="18"/>
        </w:rPr>
        <w:t xml:space="preserve"> no total de R$ 12,5 milhões, referente a contratos já encerrados e com prazos decadenciais para reclamações administrativas já decorridos. Entretanto, no SIAFI os registros foram realizados parcialmente em dezembro/2021, ficando o restante para registrar apenas em janeiro</w:t>
      </w:r>
      <w:r w:rsidR="00105561">
        <w:rPr>
          <w:rFonts w:ascii="Calibri" w:hAnsi="Calibri" w:cs="Calibri"/>
          <w:bCs/>
          <w:sz w:val="18"/>
          <w:szCs w:val="18"/>
        </w:rPr>
        <w:t xml:space="preserve"> de </w:t>
      </w:r>
      <w:r w:rsidRPr="003A7F74">
        <w:rPr>
          <w:rFonts w:ascii="Calibri" w:hAnsi="Calibri" w:cs="Calibri"/>
          <w:bCs/>
          <w:sz w:val="18"/>
          <w:szCs w:val="18"/>
        </w:rPr>
        <w:t xml:space="preserve">2022, devido a problemas estruturais do sistema, corrigido posteriormente pela Secretaria do </w:t>
      </w:r>
      <w:r>
        <w:rPr>
          <w:rFonts w:ascii="Calibri" w:hAnsi="Calibri" w:cs="Calibri"/>
          <w:bCs/>
          <w:sz w:val="18"/>
          <w:szCs w:val="18"/>
        </w:rPr>
        <w:t>T</w:t>
      </w:r>
      <w:r w:rsidRPr="003A7F74">
        <w:rPr>
          <w:rFonts w:ascii="Calibri" w:hAnsi="Calibri" w:cs="Calibri"/>
          <w:bCs/>
          <w:sz w:val="18"/>
          <w:szCs w:val="18"/>
        </w:rPr>
        <w:t>esouro Nacional;</w:t>
      </w:r>
    </w:p>
    <w:p w14:paraId="7D353DF6" w14:textId="240FE420" w:rsidR="00A55355" w:rsidRDefault="00A55355" w:rsidP="00A55355">
      <w:pPr>
        <w:numPr>
          <w:ilvl w:val="0"/>
          <w:numId w:val="21"/>
        </w:numPr>
        <w:spacing w:after="120"/>
        <w:ind w:left="714" w:right="57" w:hanging="357"/>
        <w:jc w:val="both"/>
        <w:rPr>
          <w:rFonts w:ascii="Calibri" w:hAnsi="Calibri" w:cs="Calibri"/>
          <w:bCs/>
          <w:sz w:val="18"/>
          <w:szCs w:val="18"/>
        </w:rPr>
      </w:pPr>
      <w:r w:rsidRPr="002E2B5B">
        <w:rPr>
          <w:rFonts w:ascii="Calibri" w:hAnsi="Calibri" w:cs="Calibri"/>
          <w:bCs/>
          <w:sz w:val="18"/>
          <w:szCs w:val="18"/>
        </w:rPr>
        <w:t>Reclassificação de risco</w:t>
      </w:r>
      <w:r>
        <w:rPr>
          <w:rFonts w:ascii="Calibri" w:hAnsi="Calibri" w:cs="Calibri"/>
          <w:bCs/>
          <w:sz w:val="18"/>
          <w:szCs w:val="18"/>
        </w:rPr>
        <w:t xml:space="preserve"> e mensuração devido à mudança de metodologia, conforme descrito na Nota 11b,</w:t>
      </w:r>
      <w:r w:rsidRPr="002E2B5B">
        <w:rPr>
          <w:rFonts w:ascii="Calibri" w:hAnsi="Calibri" w:cs="Calibri"/>
          <w:bCs/>
          <w:sz w:val="18"/>
          <w:szCs w:val="18"/>
        </w:rPr>
        <w:t xml:space="preserve"> corrigida no SIAFI </w:t>
      </w:r>
      <w:r>
        <w:rPr>
          <w:rFonts w:ascii="Calibri" w:hAnsi="Calibri" w:cs="Calibri"/>
          <w:bCs/>
          <w:sz w:val="18"/>
          <w:szCs w:val="18"/>
        </w:rPr>
        <w:t>intempestivamente;</w:t>
      </w:r>
      <w:r w:rsidR="00B105BE">
        <w:rPr>
          <w:rFonts w:ascii="Calibri" w:hAnsi="Calibri" w:cs="Calibri"/>
          <w:bCs/>
          <w:sz w:val="18"/>
          <w:szCs w:val="18"/>
        </w:rPr>
        <w:t xml:space="preserve"> e</w:t>
      </w:r>
    </w:p>
    <w:p w14:paraId="1B8AFA37" w14:textId="2A9EC940" w:rsidR="00917E9B" w:rsidRPr="00E13F29" w:rsidRDefault="00E13F29" w:rsidP="00032F89">
      <w:pPr>
        <w:numPr>
          <w:ilvl w:val="0"/>
          <w:numId w:val="21"/>
        </w:numPr>
        <w:spacing w:after="120"/>
        <w:ind w:left="714" w:right="57" w:hanging="357"/>
        <w:jc w:val="both"/>
        <w:rPr>
          <w:rFonts w:ascii="Calibri" w:hAnsi="Calibri" w:cs="Calibri"/>
          <w:bCs/>
          <w:sz w:val="18"/>
          <w:szCs w:val="18"/>
        </w:rPr>
      </w:pPr>
      <w:r w:rsidRPr="00E13F29">
        <w:rPr>
          <w:rFonts w:ascii="Calibri" w:hAnsi="Calibri" w:cs="Calibri"/>
          <w:bCs/>
          <w:sz w:val="18"/>
          <w:szCs w:val="18"/>
        </w:rPr>
        <w:t>Conforme explicitado no item 2, o</w:t>
      </w:r>
      <w:r w:rsidR="006B68F7" w:rsidRPr="00E13F29">
        <w:rPr>
          <w:rFonts w:ascii="Calibri" w:hAnsi="Calibri" w:cs="Calibri"/>
          <w:bCs/>
          <w:sz w:val="18"/>
          <w:szCs w:val="18"/>
        </w:rPr>
        <w:t>s registros do resultado da equivalência patrimonial sobre o investimento na Transnordestina Logística S/A são registrados no SIAFI intempestivamente, visto que a coligada envia à VALEC suas demonstrações somente após serem auditadas. A diferença apresentada se refere ao resultado do 4º trimestre de 2021, o qual foi registrado no SIAFI apenas em janeiro de 2022</w:t>
      </w:r>
      <w:r w:rsidRPr="00E13F29">
        <w:rPr>
          <w:rFonts w:ascii="Calibri" w:hAnsi="Calibri" w:cs="Calibri"/>
          <w:bCs/>
          <w:sz w:val="18"/>
          <w:szCs w:val="18"/>
        </w:rPr>
        <w:t xml:space="preserve"> e ao resultado do 2º trimestre de 2022, o qual foi registrado no SIAFI apenas em agosto de 2022.</w:t>
      </w:r>
    </w:p>
    <w:p w14:paraId="7352C7A7" w14:textId="77777777" w:rsidR="00105561" w:rsidRDefault="00105561" w:rsidP="00105561">
      <w:pPr>
        <w:spacing w:after="120"/>
        <w:ind w:left="714" w:right="57"/>
        <w:jc w:val="both"/>
        <w:rPr>
          <w:rFonts w:ascii="Calibri" w:hAnsi="Calibri" w:cs="Calibri"/>
          <w:bCs/>
          <w:sz w:val="18"/>
          <w:szCs w:val="18"/>
        </w:rPr>
      </w:pPr>
    </w:p>
    <w:p w14:paraId="3CDB7EC0" w14:textId="13887E20" w:rsidR="009E12C5" w:rsidRPr="002E2B5B" w:rsidRDefault="008E01DD" w:rsidP="009E12C5">
      <w:pPr>
        <w:spacing w:after="120"/>
        <w:ind w:left="714" w:right="57"/>
        <w:jc w:val="center"/>
        <w:rPr>
          <w:rFonts w:ascii="Calibri" w:hAnsi="Calibri" w:cs="Calibri"/>
          <w:b/>
          <w:sz w:val="22"/>
          <w:szCs w:val="22"/>
        </w:rPr>
      </w:pPr>
      <w:r>
        <w:rPr>
          <w:rFonts w:ascii="Calibri" w:hAnsi="Calibri" w:cs="Calibri"/>
          <w:b/>
          <w:sz w:val="22"/>
          <w:szCs w:val="22"/>
        </w:rPr>
        <w:t>Alex Augusto Sanches Trevizan</w:t>
      </w:r>
    </w:p>
    <w:p w14:paraId="4B9A6789" w14:textId="4457E1CB" w:rsidR="009E12C5" w:rsidRDefault="009E12C5" w:rsidP="009E12C5">
      <w:pPr>
        <w:spacing w:after="120"/>
        <w:ind w:left="714" w:right="57"/>
        <w:jc w:val="center"/>
        <w:rPr>
          <w:rFonts w:ascii="Calibri" w:hAnsi="Calibri" w:cs="Calibri"/>
          <w:bCs/>
          <w:sz w:val="22"/>
          <w:szCs w:val="22"/>
        </w:rPr>
      </w:pPr>
      <w:r w:rsidRPr="002E2B5B">
        <w:rPr>
          <w:rFonts w:ascii="Calibri" w:hAnsi="Calibri" w:cs="Calibri"/>
          <w:bCs/>
          <w:sz w:val="22"/>
          <w:szCs w:val="22"/>
        </w:rPr>
        <w:t>Diretor Presidente</w:t>
      </w:r>
      <w:r w:rsidR="008E01DD">
        <w:rPr>
          <w:rFonts w:ascii="Calibri" w:hAnsi="Calibri" w:cs="Calibri"/>
          <w:bCs/>
          <w:sz w:val="22"/>
          <w:szCs w:val="22"/>
        </w:rPr>
        <w:t xml:space="preserve"> Interino</w:t>
      </w:r>
    </w:p>
    <w:p w14:paraId="5856ECAC" w14:textId="77777777" w:rsidR="009E12C5" w:rsidRPr="002E2B5B" w:rsidRDefault="009E12C5" w:rsidP="009E12C5">
      <w:pPr>
        <w:spacing w:after="120"/>
        <w:ind w:left="714" w:right="57"/>
        <w:jc w:val="center"/>
        <w:rPr>
          <w:rFonts w:ascii="Calibri" w:hAnsi="Calibri" w:cs="Calibri"/>
          <w:bCs/>
          <w:sz w:val="22"/>
          <w:szCs w:val="22"/>
        </w:rPr>
      </w:pPr>
    </w:p>
    <w:p w14:paraId="11F81BED" w14:textId="77777777" w:rsidR="009E12C5" w:rsidRDefault="009E12C5" w:rsidP="009E12C5">
      <w:pPr>
        <w:spacing w:after="120"/>
        <w:ind w:left="709" w:right="57"/>
        <w:jc w:val="center"/>
        <w:rPr>
          <w:rFonts w:ascii="Calibri" w:hAnsi="Calibri" w:cs="Calibri"/>
          <w:b/>
          <w:sz w:val="22"/>
          <w:szCs w:val="22"/>
        </w:rPr>
      </w:pPr>
      <w:r w:rsidRPr="00773397">
        <w:rPr>
          <w:rFonts w:ascii="Calibri" w:hAnsi="Calibri" w:cs="Calibri"/>
          <w:b/>
          <w:sz w:val="22"/>
          <w:szCs w:val="22"/>
        </w:rPr>
        <w:t>Leonardo Silva Maia</w:t>
      </w:r>
    </w:p>
    <w:p w14:paraId="765401DA" w14:textId="77777777" w:rsidR="009E12C5" w:rsidRDefault="009E12C5" w:rsidP="009E12C5">
      <w:pPr>
        <w:spacing w:after="120"/>
        <w:ind w:left="709" w:right="57"/>
        <w:jc w:val="center"/>
        <w:rPr>
          <w:rFonts w:ascii="Calibri" w:hAnsi="Calibri" w:cs="Calibri"/>
          <w:bCs/>
          <w:sz w:val="22"/>
          <w:szCs w:val="22"/>
        </w:rPr>
      </w:pPr>
      <w:r w:rsidRPr="00075117">
        <w:rPr>
          <w:rFonts w:ascii="Calibri" w:hAnsi="Calibri" w:cs="Calibri"/>
          <w:bCs/>
          <w:sz w:val="22"/>
          <w:szCs w:val="22"/>
        </w:rPr>
        <w:t>Gerente Contábil e Tributário</w:t>
      </w:r>
    </w:p>
    <w:p w14:paraId="6DE716BB" w14:textId="25AC542C" w:rsidR="00105561" w:rsidRDefault="009E12C5" w:rsidP="00486CAC">
      <w:pPr>
        <w:spacing w:after="120"/>
        <w:ind w:left="709" w:right="57"/>
        <w:jc w:val="center"/>
        <w:rPr>
          <w:rFonts w:ascii="Calibri" w:hAnsi="Calibri" w:cs="Calibri"/>
          <w:bCs/>
          <w:sz w:val="18"/>
          <w:szCs w:val="18"/>
        </w:rPr>
      </w:pPr>
      <w:r>
        <w:rPr>
          <w:rFonts w:ascii="Calibri" w:hAnsi="Calibri" w:cs="Calibri"/>
          <w:bCs/>
          <w:sz w:val="22"/>
          <w:szCs w:val="22"/>
        </w:rPr>
        <w:t>Contador – CRC/</w:t>
      </w:r>
      <w:r w:rsidRPr="00E97491">
        <w:rPr>
          <w:rFonts w:ascii="Calibri" w:hAnsi="Calibri" w:cs="Calibri"/>
          <w:bCs/>
          <w:sz w:val="22"/>
          <w:szCs w:val="22"/>
        </w:rPr>
        <w:t>DF</w:t>
      </w:r>
      <w:r>
        <w:rPr>
          <w:rFonts w:ascii="Calibri" w:hAnsi="Calibri" w:cs="Calibri"/>
          <w:bCs/>
          <w:sz w:val="22"/>
          <w:szCs w:val="22"/>
        </w:rPr>
        <w:t xml:space="preserve"> – </w:t>
      </w:r>
      <w:r w:rsidRPr="00E97491">
        <w:rPr>
          <w:rFonts w:ascii="Calibri" w:hAnsi="Calibri" w:cs="Calibri"/>
          <w:bCs/>
          <w:sz w:val="22"/>
          <w:szCs w:val="22"/>
        </w:rPr>
        <w:t>026984/O-3</w:t>
      </w:r>
    </w:p>
    <w:sectPr w:rsidR="00105561" w:rsidSect="00591E10">
      <w:headerReference w:type="default" r:id="rId14"/>
      <w:footerReference w:type="default" r:id="rId15"/>
      <w:pgSz w:w="11907" w:h="16840" w:code="9"/>
      <w:pgMar w:top="720" w:right="720" w:bottom="720" w:left="720" w:header="709" w:footer="110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47D51" w14:textId="77777777" w:rsidR="006255B0" w:rsidRDefault="006255B0">
      <w:r>
        <w:separator/>
      </w:r>
    </w:p>
  </w:endnote>
  <w:endnote w:type="continuationSeparator" w:id="0">
    <w:p w14:paraId="3B3AA3A1" w14:textId="77777777" w:rsidR="006255B0" w:rsidRDefault="006255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otham Light">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1243443"/>
      <w:docPartObj>
        <w:docPartGallery w:val="Page Numbers (Bottom of Page)"/>
        <w:docPartUnique/>
      </w:docPartObj>
    </w:sdtPr>
    <w:sdtEndPr/>
    <w:sdtContent>
      <w:p w14:paraId="58B3AB4C" w14:textId="6C169044" w:rsidR="006255B0" w:rsidRDefault="006255B0">
        <w:pPr>
          <w:pStyle w:val="Rodap"/>
          <w:jc w:val="center"/>
        </w:pPr>
        <w:r>
          <w:fldChar w:fldCharType="begin"/>
        </w:r>
        <w:r>
          <w:instrText>PAGE   \* MERGEFORMAT</w:instrText>
        </w:r>
        <w:r>
          <w:fldChar w:fldCharType="separate"/>
        </w:r>
        <w:r>
          <w:rPr>
            <w:lang w:val="pt-BR"/>
          </w:rPr>
          <w:t>2</w:t>
        </w:r>
        <w:r>
          <w:fldChar w:fldCharType="end"/>
        </w:r>
      </w:p>
    </w:sdtContent>
  </w:sdt>
  <w:p w14:paraId="437BD4BE" w14:textId="77777777" w:rsidR="006255B0" w:rsidRPr="00D1757A" w:rsidRDefault="006255B0">
    <w:pPr>
      <w:pStyle w:val="Rodap"/>
      <w:jc w:val="center"/>
      <w:rPr>
        <w:lang w:val="pt-B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A25C8C" w14:textId="77777777" w:rsidR="006255B0" w:rsidRDefault="006255B0">
      <w:r>
        <w:separator/>
      </w:r>
    </w:p>
  </w:footnote>
  <w:footnote w:type="continuationSeparator" w:id="0">
    <w:p w14:paraId="5E6EA9CD" w14:textId="77777777" w:rsidR="006255B0" w:rsidRDefault="006255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EDB0E" w14:textId="5BC0CDFB" w:rsidR="006255B0" w:rsidRDefault="006255B0">
    <w:pPr>
      <w:pStyle w:val="Cabealho"/>
    </w:pPr>
    <w:r>
      <w:rPr>
        <w:noProof/>
      </w:rPr>
      <w:drawing>
        <wp:inline distT="0" distB="0" distL="0" distR="0" wp14:anchorId="737FDF62" wp14:editId="5907D0C6">
          <wp:extent cx="2677160" cy="349885"/>
          <wp:effectExtent l="0" t="0" r="8890" b="0"/>
          <wp:docPr id="1" name="Imagem 1" descr="logo valec1"/>
          <wp:cNvGraphicFramePr/>
          <a:graphic xmlns:a="http://schemas.openxmlformats.org/drawingml/2006/main">
            <a:graphicData uri="http://schemas.openxmlformats.org/drawingml/2006/picture">
              <pic:pic xmlns:pic="http://schemas.openxmlformats.org/drawingml/2006/picture">
                <pic:nvPicPr>
                  <pic:cNvPr id="5" name="Imagem 5" descr="logo valec1"/>
                  <pic:cNvPicPr/>
                </pic:nvPicPr>
                <pic:blipFill>
                  <a:blip r:embed="rId1"/>
                  <a:srcRect/>
                  <a:stretch>
                    <a:fillRect/>
                  </a:stretch>
                </pic:blipFill>
                <pic:spPr bwMode="auto">
                  <a:xfrm>
                    <a:off x="0" y="0"/>
                    <a:ext cx="2677160" cy="349885"/>
                  </a:xfrm>
                  <a:prstGeom prst="rect">
                    <a:avLst/>
                  </a:prstGeom>
                  <a:noFill/>
                  <a:ln w="9525">
                    <a:noFill/>
                    <a:miter lim="800000"/>
                    <a:headEnd/>
                    <a:tailEnd/>
                  </a:ln>
                </pic:spPr>
              </pic:pic>
            </a:graphicData>
          </a:graphic>
        </wp:inline>
      </w:drawing>
    </w:r>
  </w:p>
  <w:p w14:paraId="185A0884" w14:textId="77777777" w:rsidR="006255B0" w:rsidRDefault="006255B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0" type="#_x0000_t75" style="width:8.25pt;height:9pt" o:bullet="t">
        <v:imagedata r:id="rId1" o:title="clip_image001"/>
      </v:shape>
    </w:pict>
  </w:numPicBullet>
  <w:abstractNum w:abstractNumId="0" w15:restartNumberingAfterBreak="0">
    <w:nsid w:val="04BB26BB"/>
    <w:multiLevelType w:val="hybridMultilevel"/>
    <w:tmpl w:val="CE5AF8BA"/>
    <w:lvl w:ilvl="0" w:tplc="88C21872">
      <w:start w:val="1"/>
      <w:numFmt w:val="lowerLetter"/>
      <w:lvlText w:val="%1)"/>
      <w:lvlJc w:val="left"/>
      <w:pPr>
        <w:ind w:left="644" w:hanging="360"/>
      </w:pPr>
      <w:rPr>
        <w:rFonts w:hint="default"/>
        <w:sz w:val="24"/>
        <w:szCs w:val="24"/>
      </w:rPr>
    </w:lvl>
    <w:lvl w:ilvl="1" w:tplc="04160019" w:tentative="1">
      <w:start w:val="1"/>
      <w:numFmt w:val="lowerLetter"/>
      <w:lvlText w:val="%2."/>
      <w:lvlJc w:val="left"/>
      <w:pPr>
        <w:ind w:left="4058" w:hanging="360"/>
      </w:pPr>
    </w:lvl>
    <w:lvl w:ilvl="2" w:tplc="0416001B" w:tentative="1">
      <w:start w:val="1"/>
      <w:numFmt w:val="lowerRoman"/>
      <w:lvlText w:val="%3."/>
      <w:lvlJc w:val="right"/>
      <w:pPr>
        <w:ind w:left="4778" w:hanging="180"/>
      </w:pPr>
    </w:lvl>
    <w:lvl w:ilvl="3" w:tplc="0416000F" w:tentative="1">
      <w:start w:val="1"/>
      <w:numFmt w:val="decimal"/>
      <w:lvlText w:val="%4."/>
      <w:lvlJc w:val="left"/>
      <w:pPr>
        <w:ind w:left="5498" w:hanging="360"/>
      </w:pPr>
    </w:lvl>
    <w:lvl w:ilvl="4" w:tplc="04160019" w:tentative="1">
      <w:start w:val="1"/>
      <w:numFmt w:val="lowerLetter"/>
      <w:lvlText w:val="%5."/>
      <w:lvlJc w:val="left"/>
      <w:pPr>
        <w:ind w:left="6218" w:hanging="360"/>
      </w:pPr>
    </w:lvl>
    <w:lvl w:ilvl="5" w:tplc="0416001B" w:tentative="1">
      <w:start w:val="1"/>
      <w:numFmt w:val="lowerRoman"/>
      <w:lvlText w:val="%6."/>
      <w:lvlJc w:val="right"/>
      <w:pPr>
        <w:ind w:left="6938" w:hanging="180"/>
      </w:pPr>
    </w:lvl>
    <w:lvl w:ilvl="6" w:tplc="0416000F" w:tentative="1">
      <w:start w:val="1"/>
      <w:numFmt w:val="decimal"/>
      <w:lvlText w:val="%7."/>
      <w:lvlJc w:val="left"/>
      <w:pPr>
        <w:ind w:left="7658" w:hanging="360"/>
      </w:pPr>
    </w:lvl>
    <w:lvl w:ilvl="7" w:tplc="04160019" w:tentative="1">
      <w:start w:val="1"/>
      <w:numFmt w:val="lowerLetter"/>
      <w:lvlText w:val="%8."/>
      <w:lvlJc w:val="left"/>
      <w:pPr>
        <w:ind w:left="8378" w:hanging="360"/>
      </w:pPr>
    </w:lvl>
    <w:lvl w:ilvl="8" w:tplc="0416001B" w:tentative="1">
      <w:start w:val="1"/>
      <w:numFmt w:val="lowerRoman"/>
      <w:lvlText w:val="%9."/>
      <w:lvlJc w:val="right"/>
      <w:pPr>
        <w:ind w:left="9098" w:hanging="180"/>
      </w:pPr>
    </w:lvl>
  </w:abstractNum>
  <w:abstractNum w:abstractNumId="1" w15:restartNumberingAfterBreak="0">
    <w:nsid w:val="09C610F1"/>
    <w:multiLevelType w:val="hybridMultilevel"/>
    <w:tmpl w:val="9D042E94"/>
    <w:lvl w:ilvl="0" w:tplc="04160017">
      <w:start w:val="1"/>
      <w:numFmt w:val="lowerLetter"/>
      <w:lvlText w:val="%1)"/>
      <w:lvlJc w:val="left"/>
      <w:pPr>
        <w:ind w:left="4046"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A516FEE"/>
    <w:multiLevelType w:val="hybridMultilevel"/>
    <w:tmpl w:val="0D90D0B4"/>
    <w:lvl w:ilvl="0" w:tplc="0082F4BA">
      <w:start w:val="1"/>
      <w:numFmt w:val="lowerLetter"/>
      <w:lvlText w:val="%1)"/>
      <w:lvlJc w:val="left"/>
      <w:pPr>
        <w:ind w:left="720" w:hanging="360"/>
      </w:pPr>
      <w:rPr>
        <w:rFonts w:ascii="Calibri" w:eastAsia="Times New Roman" w:hAnsi="Calibri" w:cs="Calibri"/>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BA14C82"/>
    <w:multiLevelType w:val="hybridMultilevel"/>
    <w:tmpl w:val="9BB8828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C63683E"/>
    <w:multiLevelType w:val="hybridMultilevel"/>
    <w:tmpl w:val="21985030"/>
    <w:lvl w:ilvl="0" w:tplc="F0DE01E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1714E4C"/>
    <w:multiLevelType w:val="hybridMultilevel"/>
    <w:tmpl w:val="7A86DF0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4936EAB"/>
    <w:multiLevelType w:val="hybridMultilevel"/>
    <w:tmpl w:val="CCDA5052"/>
    <w:lvl w:ilvl="0" w:tplc="8424FA3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5DD6630"/>
    <w:multiLevelType w:val="hybridMultilevel"/>
    <w:tmpl w:val="ADE26C1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E2704CB"/>
    <w:multiLevelType w:val="hybridMultilevel"/>
    <w:tmpl w:val="0DAE396A"/>
    <w:lvl w:ilvl="0" w:tplc="04160017">
      <w:start w:val="1"/>
      <w:numFmt w:val="low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213D6C52"/>
    <w:multiLevelType w:val="hybridMultilevel"/>
    <w:tmpl w:val="E0969A6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47560D7"/>
    <w:multiLevelType w:val="hybridMultilevel"/>
    <w:tmpl w:val="57A25C90"/>
    <w:lvl w:ilvl="0" w:tplc="5F04B31A">
      <w:start w:val="1"/>
      <w:numFmt w:val="lowerLetter"/>
      <w:lvlText w:val="%1)"/>
      <w:lvlJc w:val="left"/>
      <w:pPr>
        <w:ind w:left="720" w:hanging="360"/>
      </w:pPr>
      <w:rPr>
        <w:rFonts w:asciiTheme="minorHAnsi" w:hAnsiTheme="minorHAnsi" w:cstheme="minorHAnsi" w:hint="default"/>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6542AF3"/>
    <w:multiLevelType w:val="hybridMultilevel"/>
    <w:tmpl w:val="2EB2EE1C"/>
    <w:lvl w:ilvl="0" w:tplc="3FE6CBA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A6B0E84"/>
    <w:multiLevelType w:val="hybridMultilevel"/>
    <w:tmpl w:val="86A2641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CBD04E3"/>
    <w:multiLevelType w:val="hybridMultilevel"/>
    <w:tmpl w:val="8864EAF2"/>
    <w:lvl w:ilvl="0" w:tplc="E340B244">
      <w:start w:val="3"/>
      <w:numFmt w:val="lowerLetter"/>
      <w:lvlText w:val="%1)"/>
      <w:lvlJc w:val="left"/>
      <w:pPr>
        <w:ind w:left="720" w:hanging="360"/>
      </w:pPr>
      <w:rPr>
        <w:rFonts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8956740"/>
    <w:multiLevelType w:val="hybridMultilevel"/>
    <w:tmpl w:val="2E0C0A66"/>
    <w:lvl w:ilvl="0" w:tplc="608899E6">
      <w:start w:val="1"/>
      <w:numFmt w:val="decimal"/>
      <w:lvlText w:val="(%1)"/>
      <w:lvlJc w:val="left"/>
      <w:pPr>
        <w:ind w:left="720" w:hanging="360"/>
      </w:pPr>
      <w:rPr>
        <w:rFonts w:ascii="Calibri" w:eastAsia="Times New Roman" w:hAnsi="Calibri" w:cs="Calibri"/>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8D20147"/>
    <w:multiLevelType w:val="hybridMultilevel"/>
    <w:tmpl w:val="544E9E7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BCA735D"/>
    <w:multiLevelType w:val="hybridMultilevel"/>
    <w:tmpl w:val="80B8B57E"/>
    <w:lvl w:ilvl="0" w:tplc="8FCE4A9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CBA7190"/>
    <w:multiLevelType w:val="hybridMultilevel"/>
    <w:tmpl w:val="6204BC5C"/>
    <w:lvl w:ilvl="0" w:tplc="A0F8FC4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CF127D2"/>
    <w:multiLevelType w:val="hybridMultilevel"/>
    <w:tmpl w:val="A1E2D0A6"/>
    <w:lvl w:ilvl="0" w:tplc="0416001B">
      <w:start w:val="1"/>
      <w:numFmt w:val="low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D0A6201"/>
    <w:multiLevelType w:val="hybridMultilevel"/>
    <w:tmpl w:val="97D4183E"/>
    <w:lvl w:ilvl="0" w:tplc="225EE5F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3FB2ECE"/>
    <w:multiLevelType w:val="hybridMultilevel"/>
    <w:tmpl w:val="86A2641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69753EE"/>
    <w:multiLevelType w:val="hybridMultilevel"/>
    <w:tmpl w:val="610224EE"/>
    <w:lvl w:ilvl="0" w:tplc="27764A86">
      <w:start w:val="1"/>
      <w:numFmt w:val="lowerLetter"/>
      <w:lvlText w:val="%1)"/>
      <w:lvlJc w:val="left"/>
      <w:pPr>
        <w:ind w:left="1418" w:hanging="71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2" w15:restartNumberingAfterBreak="0">
    <w:nsid w:val="4B6A69AC"/>
    <w:multiLevelType w:val="hybridMultilevel"/>
    <w:tmpl w:val="90382556"/>
    <w:lvl w:ilvl="0" w:tplc="04160017">
      <w:start w:val="1"/>
      <w:numFmt w:val="low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4DB60E16"/>
    <w:multiLevelType w:val="hybridMultilevel"/>
    <w:tmpl w:val="DA1E5116"/>
    <w:lvl w:ilvl="0" w:tplc="26F4BD7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F4434FA"/>
    <w:multiLevelType w:val="hybridMultilevel"/>
    <w:tmpl w:val="10BA319C"/>
    <w:lvl w:ilvl="0" w:tplc="04160017">
      <w:start w:val="1"/>
      <w:numFmt w:val="low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52F13B24"/>
    <w:multiLevelType w:val="hybridMultilevel"/>
    <w:tmpl w:val="2994816C"/>
    <w:lvl w:ilvl="0" w:tplc="04160013">
      <w:start w:val="1"/>
      <w:numFmt w:val="upperRoman"/>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36F03F8"/>
    <w:multiLevelType w:val="multilevel"/>
    <w:tmpl w:val="A4C0FEDA"/>
    <w:lvl w:ilvl="0">
      <w:start w:val="1"/>
      <w:numFmt w:val="decimal"/>
      <w:lvlText w:val="%1."/>
      <w:lvlJc w:val="left"/>
      <w:pPr>
        <w:tabs>
          <w:tab w:val="num" w:pos="1418"/>
        </w:tabs>
        <w:ind w:left="0" w:firstLine="0"/>
      </w:pPr>
      <w:rPr>
        <w:rFonts w:ascii="Times New Roman" w:hAnsi="Times New Roman" w:cs="Times New Roman" w:hint="default"/>
        <w:sz w:val="24"/>
        <w:szCs w:val="22"/>
      </w:rPr>
    </w:lvl>
    <w:lvl w:ilvl="1">
      <w:start w:val="1"/>
      <w:numFmt w:val="lowerLetter"/>
      <w:lvlText w:val="%2."/>
      <w:lvlJc w:val="left"/>
      <w:pPr>
        <w:ind w:left="2269" w:hanging="1418"/>
      </w:pPr>
      <w:rPr>
        <w:rFonts w:hint="default"/>
      </w:rPr>
    </w:lvl>
    <w:lvl w:ilvl="2">
      <w:start w:val="1"/>
      <w:numFmt w:val="lowerRoman"/>
      <w:lvlText w:val="%3."/>
      <w:lvlJc w:val="right"/>
      <w:pPr>
        <w:ind w:left="3120" w:hanging="1418"/>
      </w:pPr>
      <w:rPr>
        <w:rFonts w:hint="default"/>
      </w:rPr>
    </w:lvl>
    <w:lvl w:ilvl="3">
      <w:start w:val="1"/>
      <w:numFmt w:val="decimal"/>
      <w:lvlText w:val="%4."/>
      <w:lvlJc w:val="left"/>
      <w:pPr>
        <w:ind w:left="3971" w:hanging="1418"/>
      </w:pPr>
      <w:rPr>
        <w:rFonts w:hint="default"/>
      </w:rPr>
    </w:lvl>
    <w:lvl w:ilvl="4">
      <w:start w:val="1"/>
      <w:numFmt w:val="lowerLetter"/>
      <w:lvlText w:val="%5."/>
      <w:lvlJc w:val="left"/>
      <w:pPr>
        <w:ind w:left="4822" w:hanging="1418"/>
      </w:pPr>
      <w:rPr>
        <w:rFonts w:hint="default"/>
      </w:rPr>
    </w:lvl>
    <w:lvl w:ilvl="5">
      <w:start w:val="1"/>
      <w:numFmt w:val="lowerRoman"/>
      <w:lvlText w:val="%6."/>
      <w:lvlJc w:val="right"/>
      <w:pPr>
        <w:ind w:left="5673" w:hanging="1418"/>
      </w:pPr>
      <w:rPr>
        <w:rFonts w:hint="default"/>
      </w:rPr>
    </w:lvl>
    <w:lvl w:ilvl="6">
      <w:start w:val="1"/>
      <w:numFmt w:val="decimal"/>
      <w:lvlText w:val="%7."/>
      <w:lvlJc w:val="left"/>
      <w:pPr>
        <w:ind w:left="6524" w:hanging="1418"/>
      </w:pPr>
      <w:rPr>
        <w:rFonts w:hint="default"/>
      </w:rPr>
    </w:lvl>
    <w:lvl w:ilvl="7">
      <w:start w:val="1"/>
      <w:numFmt w:val="lowerLetter"/>
      <w:lvlText w:val="%8."/>
      <w:lvlJc w:val="left"/>
      <w:pPr>
        <w:ind w:left="7375" w:hanging="1418"/>
      </w:pPr>
      <w:rPr>
        <w:rFonts w:hint="default"/>
      </w:rPr>
    </w:lvl>
    <w:lvl w:ilvl="8">
      <w:start w:val="1"/>
      <w:numFmt w:val="lowerRoman"/>
      <w:lvlText w:val="%9."/>
      <w:lvlJc w:val="right"/>
      <w:pPr>
        <w:ind w:left="8226" w:hanging="1418"/>
      </w:pPr>
      <w:rPr>
        <w:rFonts w:hint="default"/>
      </w:rPr>
    </w:lvl>
  </w:abstractNum>
  <w:abstractNum w:abstractNumId="27" w15:restartNumberingAfterBreak="0">
    <w:nsid w:val="53F772D5"/>
    <w:multiLevelType w:val="hybridMultilevel"/>
    <w:tmpl w:val="002847E2"/>
    <w:lvl w:ilvl="0" w:tplc="3FC00C00">
      <w:start w:val="1"/>
      <w:numFmt w:val="lowerLetter"/>
      <w:lvlText w:val="%1)"/>
      <w:lvlJc w:val="left"/>
      <w:pPr>
        <w:ind w:left="1637" w:hanging="360"/>
      </w:pPr>
      <w:rPr>
        <w:rFonts w:hint="default"/>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42D7DA4"/>
    <w:multiLevelType w:val="hybridMultilevel"/>
    <w:tmpl w:val="B8506C5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560161D"/>
    <w:multiLevelType w:val="hybridMultilevel"/>
    <w:tmpl w:val="A1E2D0A6"/>
    <w:lvl w:ilvl="0" w:tplc="FFFFFFFF">
      <w:start w:val="1"/>
      <w:numFmt w:val="lowerRoman"/>
      <w:lvlText w:val="%1."/>
      <w:lvlJc w:val="righ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B076B7F"/>
    <w:multiLevelType w:val="hybridMultilevel"/>
    <w:tmpl w:val="32DC7932"/>
    <w:lvl w:ilvl="0" w:tplc="108C4072">
      <w:start w:val="1"/>
      <w:numFmt w:val="decimal"/>
      <w:lvlText w:val="%1."/>
      <w:lvlJc w:val="left"/>
      <w:pPr>
        <w:ind w:left="928" w:hanging="360"/>
      </w:pPr>
      <w:rPr>
        <w:b w:val="0"/>
        <w:i w:val="0"/>
        <w:color w:val="auto"/>
        <w:lang w:val="pt-BR"/>
      </w:rPr>
    </w:lvl>
    <w:lvl w:ilvl="1" w:tplc="FCDAE2C6">
      <w:start w:val="1"/>
      <w:numFmt w:val="lowerLetter"/>
      <w:lvlText w:val="%2)"/>
      <w:lvlJc w:val="left"/>
      <w:pPr>
        <w:ind w:left="1495" w:hanging="360"/>
      </w:pPr>
      <w:rPr>
        <w:rFonts w:hint="default"/>
        <w:b w:val="0"/>
        <w:i/>
        <w:color w:val="auto"/>
      </w:rPr>
    </w:lvl>
    <w:lvl w:ilvl="2" w:tplc="0416001B">
      <w:start w:val="1"/>
      <w:numFmt w:val="lowerRoman"/>
      <w:lvlText w:val="%3."/>
      <w:lvlJc w:val="right"/>
      <w:pPr>
        <w:ind w:left="2160" w:hanging="180"/>
      </w:pPr>
    </w:lvl>
    <w:lvl w:ilvl="3" w:tplc="08160001">
      <w:start w:val="1"/>
      <w:numFmt w:val="bullet"/>
      <w:lvlText w:val=""/>
      <w:lvlJc w:val="left"/>
      <w:pPr>
        <w:ind w:left="2880" w:hanging="360"/>
      </w:pPr>
      <w:rPr>
        <w:rFonts w:ascii="Symbol" w:hAnsi="Symbol" w:hint="default"/>
      </w:r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B4C4CDD"/>
    <w:multiLevelType w:val="hybridMultilevel"/>
    <w:tmpl w:val="D63C3B4A"/>
    <w:lvl w:ilvl="0" w:tplc="CEBA4714">
      <w:start w:val="1"/>
      <w:numFmt w:val="lowerLetter"/>
      <w:lvlText w:val="%1)"/>
      <w:lvlJc w:val="left"/>
      <w:pPr>
        <w:ind w:left="644" w:hanging="360"/>
      </w:pPr>
      <w:rPr>
        <w:rFonts w:hint="default"/>
        <w:b/>
        <w:sz w:val="24"/>
        <w:szCs w:val="24"/>
      </w:rPr>
    </w:lvl>
    <w:lvl w:ilvl="1" w:tplc="04160019" w:tentative="1">
      <w:start w:val="1"/>
      <w:numFmt w:val="lowerLetter"/>
      <w:lvlText w:val="%2."/>
      <w:lvlJc w:val="left"/>
      <w:pPr>
        <w:ind w:left="4058" w:hanging="360"/>
      </w:pPr>
    </w:lvl>
    <w:lvl w:ilvl="2" w:tplc="0416001B" w:tentative="1">
      <w:start w:val="1"/>
      <w:numFmt w:val="lowerRoman"/>
      <w:lvlText w:val="%3."/>
      <w:lvlJc w:val="right"/>
      <w:pPr>
        <w:ind w:left="4778" w:hanging="180"/>
      </w:pPr>
    </w:lvl>
    <w:lvl w:ilvl="3" w:tplc="0416000F" w:tentative="1">
      <w:start w:val="1"/>
      <w:numFmt w:val="decimal"/>
      <w:lvlText w:val="%4."/>
      <w:lvlJc w:val="left"/>
      <w:pPr>
        <w:ind w:left="5498" w:hanging="360"/>
      </w:pPr>
    </w:lvl>
    <w:lvl w:ilvl="4" w:tplc="04160019" w:tentative="1">
      <w:start w:val="1"/>
      <w:numFmt w:val="lowerLetter"/>
      <w:lvlText w:val="%5."/>
      <w:lvlJc w:val="left"/>
      <w:pPr>
        <w:ind w:left="6218" w:hanging="360"/>
      </w:pPr>
    </w:lvl>
    <w:lvl w:ilvl="5" w:tplc="0416001B" w:tentative="1">
      <w:start w:val="1"/>
      <w:numFmt w:val="lowerRoman"/>
      <w:lvlText w:val="%6."/>
      <w:lvlJc w:val="right"/>
      <w:pPr>
        <w:ind w:left="6938" w:hanging="180"/>
      </w:pPr>
    </w:lvl>
    <w:lvl w:ilvl="6" w:tplc="0416000F" w:tentative="1">
      <w:start w:val="1"/>
      <w:numFmt w:val="decimal"/>
      <w:lvlText w:val="%7."/>
      <w:lvlJc w:val="left"/>
      <w:pPr>
        <w:ind w:left="7658" w:hanging="360"/>
      </w:pPr>
    </w:lvl>
    <w:lvl w:ilvl="7" w:tplc="04160019" w:tentative="1">
      <w:start w:val="1"/>
      <w:numFmt w:val="lowerLetter"/>
      <w:lvlText w:val="%8."/>
      <w:lvlJc w:val="left"/>
      <w:pPr>
        <w:ind w:left="8378" w:hanging="360"/>
      </w:pPr>
    </w:lvl>
    <w:lvl w:ilvl="8" w:tplc="0416001B" w:tentative="1">
      <w:start w:val="1"/>
      <w:numFmt w:val="lowerRoman"/>
      <w:lvlText w:val="%9."/>
      <w:lvlJc w:val="right"/>
      <w:pPr>
        <w:ind w:left="9098" w:hanging="180"/>
      </w:pPr>
    </w:lvl>
  </w:abstractNum>
  <w:abstractNum w:abstractNumId="32" w15:restartNumberingAfterBreak="0">
    <w:nsid w:val="5D9453D1"/>
    <w:multiLevelType w:val="hybridMultilevel"/>
    <w:tmpl w:val="E79AA2BA"/>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15:restartNumberingAfterBreak="0">
    <w:nsid w:val="61622C2C"/>
    <w:multiLevelType w:val="hybridMultilevel"/>
    <w:tmpl w:val="E9A89910"/>
    <w:lvl w:ilvl="0" w:tplc="9BA813C6">
      <w:start w:val="2"/>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19D0CF3"/>
    <w:multiLevelType w:val="hybridMultilevel"/>
    <w:tmpl w:val="7A8AA542"/>
    <w:lvl w:ilvl="0" w:tplc="FB323B32">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3370784"/>
    <w:multiLevelType w:val="hybridMultilevel"/>
    <w:tmpl w:val="178CAD4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79D366B"/>
    <w:multiLevelType w:val="hybridMultilevel"/>
    <w:tmpl w:val="5102133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84143D1"/>
    <w:multiLevelType w:val="hybridMultilevel"/>
    <w:tmpl w:val="552ABC62"/>
    <w:lvl w:ilvl="0" w:tplc="B1FCC016">
      <w:start w:val="1"/>
      <w:numFmt w:val="decimal"/>
      <w:lvlText w:val="(%1)"/>
      <w:lvlJc w:val="left"/>
      <w:pPr>
        <w:ind w:left="720" w:hanging="360"/>
      </w:pPr>
      <w:rPr>
        <w:rFonts w:ascii="Calibri" w:eastAsia="Times New Roman" w:hAnsi="Calibri" w:cs="Calibri"/>
        <w:sz w:val="18"/>
        <w:szCs w:val="18"/>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9D1541E"/>
    <w:multiLevelType w:val="hybridMultilevel"/>
    <w:tmpl w:val="8416CBFC"/>
    <w:lvl w:ilvl="0" w:tplc="2940BF3A">
      <w:start w:val="1"/>
      <w:numFmt w:val="lowerLetter"/>
      <w:lvlText w:val="%1)"/>
      <w:lvlJc w:val="left"/>
      <w:pPr>
        <w:ind w:left="1070" w:hanging="71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DBE6C1D"/>
    <w:multiLevelType w:val="hybridMultilevel"/>
    <w:tmpl w:val="36F0FDB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DDC608A"/>
    <w:multiLevelType w:val="hybridMultilevel"/>
    <w:tmpl w:val="D7CA1482"/>
    <w:lvl w:ilvl="0" w:tplc="1A243D74">
      <w:start w:val="1"/>
      <w:numFmt w:val="decimal"/>
      <w:lvlText w:val="(%1)"/>
      <w:lvlJc w:val="left"/>
      <w:pPr>
        <w:ind w:left="720" w:hanging="360"/>
      </w:pPr>
      <w:rPr>
        <w:rFonts w:ascii="Calibri" w:eastAsia="Times New Roman" w:hAnsi="Calibri" w:cs="Calibri"/>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0401238"/>
    <w:multiLevelType w:val="hybridMultilevel"/>
    <w:tmpl w:val="21622F7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160323D"/>
    <w:multiLevelType w:val="hybridMultilevel"/>
    <w:tmpl w:val="22440F78"/>
    <w:lvl w:ilvl="0" w:tplc="04160013">
      <w:start w:val="1"/>
      <w:numFmt w:val="upperRoman"/>
      <w:lvlText w:val="%1."/>
      <w:lvlJc w:val="right"/>
      <w:pPr>
        <w:ind w:left="2520" w:hanging="360"/>
      </w:pPr>
    </w:lvl>
    <w:lvl w:ilvl="1" w:tplc="04160019" w:tentative="1">
      <w:start w:val="1"/>
      <w:numFmt w:val="lowerLetter"/>
      <w:lvlText w:val="%2."/>
      <w:lvlJc w:val="left"/>
      <w:pPr>
        <w:ind w:left="3240" w:hanging="360"/>
      </w:pPr>
    </w:lvl>
    <w:lvl w:ilvl="2" w:tplc="0416001B" w:tentative="1">
      <w:start w:val="1"/>
      <w:numFmt w:val="lowerRoman"/>
      <w:lvlText w:val="%3."/>
      <w:lvlJc w:val="right"/>
      <w:pPr>
        <w:ind w:left="3960" w:hanging="180"/>
      </w:pPr>
    </w:lvl>
    <w:lvl w:ilvl="3" w:tplc="0416000F" w:tentative="1">
      <w:start w:val="1"/>
      <w:numFmt w:val="decimal"/>
      <w:lvlText w:val="%4."/>
      <w:lvlJc w:val="left"/>
      <w:pPr>
        <w:ind w:left="4680" w:hanging="360"/>
      </w:pPr>
    </w:lvl>
    <w:lvl w:ilvl="4" w:tplc="04160019" w:tentative="1">
      <w:start w:val="1"/>
      <w:numFmt w:val="lowerLetter"/>
      <w:lvlText w:val="%5."/>
      <w:lvlJc w:val="left"/>
      <w:pPr>
        <w:ind w:left="5400" w:hanging="360"/>
      </w:pPr>
    </w:lvl>
    <w:lvl w:ilvl="5" w:tplc="0416001B" w:tentative="1">
      <w:start w:val="1"/>
      <w:numFmt w:val="lowerRoman"/>
      <w:lvlText w:val="%6."/>
      <w:lvlJc w:val="right"/>
      <w:pPr>
        <w:ind w:left="6120" w:hanging="180"/>
      </w:pPr>
    </w:lvl>
    <w:lvl w:ilvl="6" w:tplc="0416000F" w:tentative="1">
      <w:start w:val="1"/>
      <w:numFmt w:val="decimal"/>
      <w:lvlText w:val="%7."/>
      <w:lvlJc w:val="left"/>
      <w:pPr>
        <w:ind w:left="6840" w:hanging="360"/>
      </w:pPr>
    </w:lvl>
    <w:lvl w:ilvl="7" w:tplc="04160019" w:tentative="1">
      <w:start w:val="1"/>
      <w:numFmt w:val="lowerLetter"/>
      <w:lvlText w:val="%8."/>
      <w:lvlJc w:val="left"/>
      <w:pPr>
        <w:ind w:left="7560" w:hanging="360"/>
      </w:pPr>
    </w:lvl>
    <w:lvl w:ilvl="8" w:tplc="0416001B" w:tentative="1">
      <w:start w:val="1"/>
      <w:numFmt w:val="lowerRoman"/>
      <w:lvlText w:val="%9."/>
      <w:lvlJc w:val="right"/>
      <w:pPr>
        <w:ind w:left="8280" w:hanging="180"/>
      </w:pPr>
    </w:lvl>
  </w:abstractNum>
  <w:abstractNum w:abstractNumId="43" w15:restartNumberingAfterBreak="0">
    <w:nsid w:val="732C3BE0"/>
    <w:multiLevelType w:val="hybridMultilevel"/>
    <w:tmpl w:val="319ED61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672361C"/>
    <w:multiLevelType w:val="hybridMultilevel"/>
    <w:tmpl w:val="F4B0CEFA"/>
    <w:lvl w:ilvl="0" w:tplc="B2946952">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77D02846"/>
    <w:multiLevelType w:val="hybridMultilevel"/>
    <w:tmpl w:val="7BDC4CA6"/>
    <w:lvl w:ilvl="0" w:tplc="04160017">
      <w:start w:val="1"/>
      <w:numFmt w:val="lowerLetter"/>
      <w:lvlText w:val="%1)"/>
      <w:lvlJc w:val="left"/>
      <w:pPr>
        <w:ind w:left="720" w:hanging="360"/>
      </w:p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781E7B19"/>
    <w:multiLevelType w:val="hybridMultilevel"/>
    <w:tmpl w:val="69067E88"/>
    <w:lvl w:ilvl="0" w:tplc="AE9C3EB4">
      <w:numFmt w:val="bullet"/>
      <w:lvlText w:val=""/>
      <w:lvlJc w:val="left"/>
      <w:pPr>
        <w:ind w:left="2118" w:hanging="360"/>
      </w:pPr>
      <w:rPr>
        <w:rFonts w:ascii="Wingdings" w:eastAsia="Wingdings" w:hAnsi="Wingdings" w:cs="Wingdings" w:hint="default"/>
        <w:w w:val="100"/>
        <w:sz w:val="22"/>
        <w:szCs w:val="22"/>
        <w:lang w:val="pt-PT" w:eastAsia="en-US" w:bidi="ar-SA"/>
      </w:rPr>
    </w:lvl>
    <w:lvl w:ilvl="1" w:tplc="E4DC7D58">
      <w:numFmt w:val="bullet"/>
      <w:lvlText w:val="•"/>
      <w:lvlJc w:val="left"/>
      <w:pPr>
        <w:ind w:left="3020" w:hanging="360"/>
      </w:pPr>
      <w:rPr>
        <w:rFonts w:hint="default"/>
        <w:lang w:val="pt-PT" w:eastAsia="en-US" w:bidi="ar-SA"/>
      </w:rPr>
    </w:lvl>
    <w:lvl w:ilvl="2" w:tplc="1C184AF0">
      <w:numFmt w:val="bullet"/>
      <w:lvlText w:val="•"/>
      <w:lvlJc w:val="left"/>
      <w:pPr>
        <w:ind w:left="3920" w:hanging="360"/>
      </w:pPr>
      <w:rPr>
        <w:rFonts w:hint="default"/>
        <w:lang w:val="pt-PT" w:eastAsia="en-US" w:bidi="ar-SA"/>
      </w:rPr>
    </w:lvl>
    <w:lvl w:ilvl="3" w:tplc="46BCEFBC">
      <w:numFmt w:val="bullet"/>
      <w:lvlText w:val="•"/>
      <w:lvlJc w:val="left"/>
      <w:pPr>
        <w:ind w:left="4820" w:hanging="360"/>
      </w:pPr>
      <w:rPr>
        <w:rFonts w:hint="default"/>
        <w:lang w:val="pt-PT" w:eastAsia="en-US" w:bidi="ar-SA"/>
      </w:rPr>
    </w:lvl>
    <w:lvl w:ilvl="4" w:tplc="BD1C81DE">
      <w:numFmt w:val="bullet"/>
      <w:lvlText w:val="•"/>
      <w:lvlJc w:val="left"/>
      <w:pPr>
        <w:ind w:left="5720" w:hanging="360"/>
      </w:pPr>
      <w:rPr>
        <w:rFonts w:hint="default"/>
        <w:lang w:val="pt-PT" w:eastAsia="en-US" w:bidi="ar-SA"/>
      </w:rPr>
    </w:lvl>
    <w:lvl w:ilvl="5" w:tplc="96523094">
      <w:numFmt w:val="bullet"/>
      <w:lvlText w:val="•"/>
      <w:lvlJc w:val="left"/>
      <w:pPr>
        <w:ind w:left="6620" w:hanging="360"/>
      </w:pPr>
      <w:rPr>
        <w:rFonts w:hint="default"/>
        <w:lang w:val="pt-PT" w:eastAsia="en-US" w:bidi="ar-SA"/>
      </w:rPr>
    </w:lvl>
    <w:lvl w:ilvl="6" w:tplc="2856D76C">
      <w:numFmt w:val="bullet"/>
      <w:lvlText w:val="•"/>
      <w:lvlJc w:val="left"/>
      <w:pPr>
        <w:ind w:left="7520" w:hanging="360"/>
      </w:pPr>
      <w:rPr>
        <w:rFonts w:hint="default"/>
        <w:lang w:val="pt-PT" w:eastAsia="en-US" w:bidi="ar-SA"/>
      </w:rPr>
    </w:lvl>
    <w:lvl w:ilvl="7" w:tplc="0B307206">
      <w:numFmt w:val="bullet"/>
      <w:lvlText w:val="•"/>
      <w:lvlJc w:val="left"/>
      <w:pPr>
        <w:ind w:left="8420" w:hanging="360"/>
      </w:pPr>
      <w:rPr>
        <w:rFonts w:hint="default"/>
        <w:lang w:val="pt-PT" w:eastAsia="en-US" w:bidi="ar-SA"/>
      </w:rPr>
    </w:lvl>
    <w:lvl w:ilvl="8" w:tplc="C8A87708">
      <w:numFmt w:val="bullet"/>
      <w:lvlText w:val="•"/>
      <w:lvlJc w:val="left"/>
      <w:pPr>
        <w:ind w:left="9320" w:hanging="360"/>
      </w:pPr>
      <w:rPr>
        <w:rFonts w:hint="default"/>
        <w:lang w:val="pt-PT" w:eastAsia="en-US" w:bidi="ar-SA"/>
      </w:rPr>
    </w:lvl>
  </w:abstractNum>
  <w:abstractNum w:abstractNumId="47" w15:restartNumberingAfterBreak="0">
    <w:nsid w:val="7CE7090E"/>
    <w:multiLevelType w:val="hybridMultilevel"/>
    <w:tmpl w:val="299813CE"/>
    <w:lvl w:ilvl="0" w:tplc="9AE84224">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7E891B70"/>
    <w:multiLevelType w:val="hybridMultilevel"/>
    <w:tmpl w:val="7BDC4CA6"/>
    <w:lvl w:ilvl="0" w:tplc="04160017">
      <w:start w:val="1"/>
      <w:numFmt w:val="lowerLetter"/>
      <w:lvlText w:val="%1)"/>
      <w:lvlJc w:val="left"/>
      <w:pPr>
        <w:ind w:left="720" w:hanging="360"/>
      </w:p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885948294">
    <w:abstractNumId w:val="27"/>
  </w:num>
  <w:num w:numId="2" w16cid:durableId="113137201">
    <w:abstractNumId w:val="0"/>
  </w:num>
  <w:num w:numId="3" w16cid:durableId="785123804">
    <w:abstractNumId w:val="33"/>
  </w:num>
  <w:num w:numId="4" w16cid:durableId="840773772">
    <w:abstractNumId w:val="13"/>
  </w:num>
  <w:num w:numId="5" w16cid:durableId="804078008">
    <w:abstractNumId w:val="31"/>
  </w:num>
  <w:num w:numId="6" w16cid:durableId="2046829832">
    <w:abstractNumId w:val="5"/>
  </w:num>
  <w:num w:numId="7" w16cid:durableId="332268903">
    <w:abstractNumId w:val="11"/>
  </w:num>
  <w:num w:numId="8" w16cid:durableId="1549100251">
    <w:abstractNumId w:val="23"/>
  </w:num>
  <w:num w:numId="9" w16cid:durableId="634219420">
    <w:abstractNumId w:val="7"/>
  </w:num>
  <w:num w:numId="10" w16cid:durableId="289364349">
    <w:abstractNumId w:val="1"/>
  </w:num>
  <w:num w:numId="11" w16cid:durableId="2138596775">
    <w:abstractNumId w:val="43"/>
  </w:num>
  <w:num w:numId="12" w16cid:durableId="435371366">
    <w:abstractNumId w:val="9"/>
  </w:num>
  <w:num w:numId="13" w16cid:durableId="829713687">
    <w:abstractNumId w:val="36"/>
  </w:num>
  <w:num w:numId="14" w16cid:durableId="1766462262">
    <w:abstractNumId w:val="14"/>
  </w:num>
  <w:num w:numId="15" w16cid:durableId="1676111057">
    <w:abstractNumId w:val="2"/>
  </w:num>
  <w:num w:numId="16" w16cid:durableId="1936009841">
    <w:abstractNumId w:val="45"/>
  </w:num>
  <w:num w:numId="17" w16cid:durableId="1896506753">
    <w:abstractNumId w:val="28"/>
  </w:num>
  <w:num w:numId="18" w16cid:durableId="1998025185">
    <w:abstractNumId w:val="15"/>
  </w:num>
  <w:num w:numId="19" w16cid:durableId="750348823">
    <w:abstractNumId w:val="19"/>
  </w:num>
  <w:num w:numId="20" w16cid:durableId="788233455">
    <w:abstractNumId w:val="34"/>
  </w:num>
  <w:num w:numId="21" w16cid:durableId="1458833240">
    <w:abstractNumId w:val="37"/>
  </w:num>
  <w:num w:numId="22" w16cid:durableId="1704407374">
    <w:abstractNumId w:val="26"/>
  </w:num>
  <w:num w:numId="23" w16cid:durableId="889877353">
    <w:abstractNumId w:val="30"/>
  </w:num>
  <w:num w:numId="24" w16cid:durableId="1034578227">
    <w:abstractNumId w:val="25"/>
  </w:num>
  <w:num w:numId="25" w16cid:durableId="1741096063">
    <w:abstractNumId w:val="48"/>
  </w:num>
  <w:num w:numId="26" w16cid:durableId="1933510129">
    <w:abstractNumId w:val="4"/>
  </w:num>
  <w:num w:numId="27" w16cid:durableId="340356127">
    <w:abstractNumId w:val="46"/>
  </w:num>
  <w:num w:numId="28" w16cid:durableId="1752308391">
    <w:abstractNumId w:val="32"/>
  </w:num>
  <w:num w:numId="29" w16cid:durableId="1327587119">
    <w:abstractNumId w:val="22"/>
  </w:num>
  <w:num w:numId="30" w16cid:durableId="697392995">
    <w:abstractNumId w:val="8"/>
  </w:num>
  <w:num w:numId="31" w16cid:durableId="1855723529">
    <w:abstractNumId w:val="24"/>
  </w:num>
  <w:num w:numId="32" w16cid:durableId="237518386">
    <w:abstractNumId w:val="20"/>
  </w:num>
  <w:num w:numId="33" w16cid:durableId="1883321878">
    <w:abstractNumId w:val="47"/>
  </w:num>
  <w:num w:numId="34" w16cid:durableId="2087145569">
    <w:abstractNumId w:val="18"/>
  </w:num>
  <w:num w:numId="35" w16cid:durableId="805196237">
    <w:abstractNumId w:val="39"/>
  </w:num>
  <w:num w:numId="36" w16cid:durableId="252587469">
    <w:abstractNumId w:val="40"/>
  </w:num>
  <w:num w:numId="37" w16cid:durableId="1625113594">
    <w:abstractNumId w:val="17"/>
  </w:num>
  <w:num w:numId="38" w16cid:durableId="592907009">
    <w:abstractNumId w:val="6"/>
  </w:num>
  <w:num w:numId="39" w16cid:durableId="1360008206">
    <w:abstractNumId w:val="10"/>
  </w:num>
  <w:num w:numId="40" w16cid:durableId="1976180432">
    <w:abstractNumId w:val="35"/>
  </w:num>
  <w:num w:numId="41" w16cid:durableId="281230705">
    <w:abstractNumId w:val="42"/>
  </w:num>
  <w:num w:numId="42" w16cid:durableId="2000426915">
    <w:abstractNumId w:val="44"/>
  </w:num>
  <w:num w:numId="43" w16cid:durableId="1463887718">
    <w:abstractNumId w:val="41"/>
  </w:num>
  <w:num w:numId="44" w16cid:durableId="1057602">
    <w:abstractNumId w:val="29"/>
  </w:num>
  <w:num w:numId="45" w16cid:durableId="1489051999">
    <w:abstractNumId w:val="3"/>
  </w:num>
  <w:num w:numId="46" w16cid:durableId="501237037">
    <w:abstractNumId w:val="12"/>
  </w:num>
  <w:num w:numId="47" w16cid:durableId="2062164768">
    <w:abstractNumId w:val="16"/>
  </w:num>
  <w:num w:numId="48" w16cid:durableId="1074594625">
    <w:abstractNumId w:val="21"/>
  </w:num>
  <w:num w:numId="49" w16cid:durableId="375813474">
    <w:abstractNumId w:val="3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910"/>
    <w:rsid w:val="00000BCA"/>
    <w:rsid w:val="00000C94"/>
    <w:rsid w:val="00000D8F"/>
    <w:rsid w:val="00000E94"/>
    <w:rsid w:val="00001005"/>
    <w:rsid w:val="00001DA8"/>
    <w:rsid w:val="00001F30"/>
    <w:rsid w:val="0000220D"/>
    <w:rsid w:val="000027B2"/>
    <w:rsid w:val="000028C7"/>
    <w:rsid w:val="00002A88"/>
    <w:rsid w:val="00002D60"/>
    <w:rsid w:val="00003029"/>
    <w:rsid w:val="000038B1"/>
    <w:rsid w:val="00004966"/>
    <w:rsid w:val="00004F42"/>
    <w:rsid w:val="000052AC"/>
    <w:rsid w:val="000052BC"/>
    <w:rsid w:val="000052F0"/>
    <w:rsid w:val="00005B4E"/>
    <w:rsid w:val="0000641F"/>
    <w:rsid w:val="000069AD"/>
    <w:rsid w:val="00006A6A"/>
    <w:rsid w:val="00006D0C"/>
    <w:rsid w:val="00007081"/>
    <w:rsid w:val="00007768"/>
    <w:rsid w:val="00007A8B"/>
    <w:rsid w:val="00007B07"/>
    <w:rsid w:val="00007D1F"/>
    <w:rsid w:val="000103EB"/>
    <w:rsid w:val="00010472"/>
    <w:rsid w:val="00010501"/>
    <w:rsid w:val="00010512"/>
    <w:rsid w:val="000109FB"/>
    <w:rsid w:val="00011AE7"/>
    <w:rsid w:val="0001206F"/>
    <w:rsid w:val="000125DE"/>
    <w:rsid w:val="00012608"/>
    <w:rsid w:val="00012652"/>
    <w:rsid w:val="00012EC4"/>
    <w:rsid w:val="000130F4"/>
    <w:rsid w:val="00013845"/>
    <w:rsid w:val="00013B72"/>
    <w:rsid w:val="00013C66"/>
    <w:rsid w:val="00014143"/>
    <w:rsid w:val="00014224"/>
    <w:rsid w:val="0001425A"/>
    <w:rsid w:val="00014767"/>
    <w:rsid w:val="00014790"/>
    <w:rsid w:val="000148F8"/>
    <w:rsid w:val="00014B09"/>
    <w:rsid w:val="00014BFF"/>
    <w:rsid w:val="00014DC2"/>
    <w:rsid w:val="000154C7"/>
    <w:rsid w:val="000155BF"/>
    <w:rsid w:val="000155FA"/>
    <w:rsid w:val="0001580D"/>
    <w:rsid w:val="000158DC"/>
    <w:rsid w:val="0001598F"/>
    <w:rsid w:val="00016521"/>
    <w:rsid w:val="000168FB"/>
    <w:rsid w:val="00016B69"/>
    <w:rsid w:val="0002068A"/>
    <w:rsid w:val="00020BA1"/>
    <w:rsid w:val="00020E50"/>
    <w:rsid w:val="00021249"/>
    <w:rsid w:val="00021F17"/>
    <w:rsid w:val="00021FF3"/>
    <w:rsid w:val="00022105"/>
    <w:rsid w:val="00022911"/>
    <w:rsid w:val="000229FA"/>
    <w:rsid w:val="0002316D"/>
    <w:rsid w:val="0002343B"/>
    <w:rsid w:val="00023AC8"/>
    <w:rsid w:val="00023BAC"/>
    <w:rsid w:val="000242FD"/>
    <w:rsid w:val="00024680"/>
    <w:rsid w:val="00024A86"/>
    <w:rsid w:val="00024F2C"/>
    <w:rsid w:val="0002508D"/>
    <w:rsid w:val="0002552A"/>
    <w:rsid w:val="00026171"/>
    <w:rsid w:val="00026475"/>
    <w:rsid w:val="000264A3"/>
    <w:rsid w:val="00026A12"/>
    <w:rsid w:val="00027791"/>
    <w:rsid w:val="00027F1B"/>
    <w:rsid w:val="00030200"/>
    <w:rsid w:val="00030E8C"/>
    <w:rsid w:val="000311D3"/>
    <w:rsid w:val="000315AE"/>
    <w:rsid w:val="0003160C"/>
    <w:rsid w:val="00031B0F"/>
    <w:rsid w:val="00031BB7"/>
    <w:rsid w:val="00031D94"/>
    <w:rsid w:val="00032764"/>
    <w:rsid w:val="00032CB9"/>
    <w:rsid w:val="00032F3B"/>
    <w:rsid w:val="00033BD9"/>
    <w:rsid w:val="00033DF7"/>
    <w:rsid w:val="00034521"/>
    <w:rsid w:val="00034776"/>
    <w:rsid w:val="00034820"/>
    <w:rsid w:val="00034851"/>
    <w:rsid w:val="00034AA9"/>
    <w:rsid w:val="000358F4"/>
    <w:rsid w:val="000360CF"/>
    <w:rsid w:val="00036234"/>
    <w:rsid w:val="0003643F"/>
    <w:rsid w:val="0003646A"/>
    <w:rsid w:val="000376F3"/>
    <w:rsid w:val="0004011B"/>
    <w:rsid w:val="000406FC"/>
    <w:rsid w:val="000408D6"/>
    <w:rsid w:val="00040BCF"/>
    <w:rsid w:val="00041155"/>
    <w:rsid w:val="0004117C"/>
    <w:rsid w:val="00042306"/>
    <w:rsid w:val="00042BE5"/>
    <w:rsid w:val="00043892"/>
    <w:rsid w:val="00043EC6"/>
    <w:rsid w:val="00044367"/>
    <w:rsid w:val="00044AC3"/>
    <w:rsid w:val="00044D40"/>
    <w:rsid w:val="0004581F"/>
    <w:rsid w:val="00045C0E"/>
    <w:rsid w:val="00046545"/>
    <w:rsid w:val="00046BF7"/>
    <w:rsid w:val="00046C80"/>
    <w:rsid w:val="0004780C"/>
    <w:rsid w:val="00047DC1"/>
    <w:rsid w:val="00047EC0"/>
    <w:rsid w:val="000500AD"/>
    <w:rsid w:val="000504C2"/>
    <w:rsid w:val="00051335"/>
    <w:rsid w:val="000519D8"/>
    <w:rsid w:val="00052031"/>
    <w:rsid w:val="00052819"/>
    <w:rsid w:val="00052C65"/>
    <w:rsid w:val="00052E9C"/>
    <w:rsid w:val="00053A04"/>
    <w:rsid w:val="00053F40"/>
    <w:rsid w:val="00054133"/>
    <w:rsid w:val="00054673"/>
    <w:rsid w:val="000547EE"/>
    <w:rsid w:val="0005481F"/>
    <w:rsid w:val="00054CE1"/>
    <w:rsid w:val="00054F4D"/>
    <w:rsid w:val="000551F6"/>
    <w:rsid w:val="0005551A"/>
    <w:rsid w:val="00055773"/>
    <w:rsid w:val="00055904"/>
    <w:rsid w:val="00055F20"/>
    <w:rsid w:val="00056148"/>
    <w:rsid w:val="00056337"/>
    <w:rsid w:val="00056433"/>
    <w:rsid w:val="000568B0"/>
    <w:rsid w:val="00056ED5"/>
    <w:rsid w:val="00056FCB"/>
    <w:rsid w:val="0005788D"/>
    <w:rsid w:val="00057AF4"/>
    <w:rsid w:val="00057B1E"/>
    <w:rsid w:val="00060221"/>
    <w:rsid w:val="000603DE"/>
    <w:rsid w:val="0006051E"/>
    <w:rsid w:val="00060615"/>
    <w:rsid w:val="00060741"/>
    <w:rsid w:val="00060FC5"/>
    <w:rsid w:val="00061562"/>
    <w:rsid w:val="00061B92"/>
    <w:rsid w:val="0006229F"/>
    <w:rsid w:val="00062DDB"/>
    <w:rsid w:val="00063101"/>
    <w:rsid w:val="00063344"/>
    <w:rsid w:val="000638C7"/>
    <w:rsid w:val="00063CAF"/>
    <w:rsid w:val="00063D79"/>
    <w:rsid w:val="00063F74"/>
    <w:rsid w:val="000643B0"/>
    <w:rsid w:val="000643FB"/>
    <w:rsid w:val="0006479C"/>
    <w:rsid w:val="0006483C"/>
    <w:rsid w:val="0006516E"/>
    <w:rsid w:val="000656CB"/>
    <w:rsid w:val="0006608E"/>
    <w:rsid w:val="0006611E"/>
    <w:rsid w:val="00066B19"/>
    <w:rsid w:val="00066BBD"/>
    <w:rsid w:val="000671A8"/>
    <w:rsid w:val="00067272"/>
    <w:rsid w:val="000674F2"/>
    <w:rsid w:val="00067549"/>
    <w:rsid w:val="00067718"/>
    <w:rsid w:val="00067BD4"/>
    <w:rsid w:val="000703BF"/>
    <w:rsid w:val="000704CC"/>
    <w:rsid w:val="00070651"/>
    <w:rsid w:val="0007086A"/>
    <w:rsid w:val="00070945"/>
    <w:rsid w:val="00070966"/>
    <w:rsid w:val="00071445"/>
    <w:rsid w:val="00071652"/>
    <w:rsid w:val="00071C48"/>
    <w:rsid w:val="00071F5E"/>
    <w:rsid w:val="0007275C"/>
    <w:rsid w:val="00072D26"/>
    <w:rsid w:val="00073B49"/>
    <w:rsid w:val="000742C8"/>
    <w:rsid w:val="000746D2"/>
    <w:rsid w:val="00075644"/>
    <w:rsid w:val="0007577E"/>
    <w:rsid w:val="00075AC0"/>
    <w:rsid w:val="000763D7"/>
    <w:rsid w:val="00076C37"/>
    <w:rsid w:val="000771FA"/>
    <w:rsid w:val="000773F2"/>
    <w:rsid w:val="000776EC"/>
    <w:rsid w:val="000776F4"/>
    <w:rsid w:val="00077A22"/>
    <w:rsid w:val="00077D8A"/>
    <w:rsid w:val="00077E62"/>
    <w:rsid w:val="00077EFE"/>
    <w:rsid w:val="00077F70"/>
    <w:rsid w:val="00080C28"/>
    <w:rsid w:val="000814AE"/>
    <w:rsid w:val="00081913"/>
    <w:rsid w:val="00081926"/>
    <w:rsid w:val="00081C95"/>
    <w:rsid w:val="00081F1C"/>
    <w:rsid w:val="00081F5F"/>
    <w:rsid w:val="00082764"/>
    <w:rsid w:val="000827A5"/>
    <w:rsid w:val="00082CED"/>
    <w:rsid w:val="00082F16"/>
    <w:rsid w:val="000832CA"/>
    <w:rsid w:val="0008330B"/>
    <w:rsid w:val="00083534"/>
    <w:rsid w:val="00083A35"/>
    <w:rsid w:val="00083D50"/>
    <w:rsid w:val="00083E15"/>
    <w:rsid w:val="0008493B"/>
    <w:rsid w:val="000849AA"/>
    <w:rsid w:val="00084CAE"/>
    <w:rsid w:val="000853BB"/>
    <w:rsid w:val="00086456"/>
    <w:rsid w:val="00087654"/>
    <w:rsid w:val="00087AFF"/>
    <w:rsid w:val="00087D47"/>
    <w:rsid w:val="00087EAE"/>
    <w:rsid w:val="00087FAB"/>
    <w:rsid w:val="00087FB4"/>
    <w:rsid w:val="00090452"/>
    <w:rsid w:val="000904CF"/>
    <w:rsid w:val="000907E8"/>
    <w:rsid w:val="00090C3E"/>
    <w:rsid w:val="00091613"/>
    <w:rsid w:val="00091DA1"/>
    <w:rsid w:val="000921F9"/>
    <w:rsid w:val="0009226D"/>
    <w:rsid w:val="000924B3"/>
    <w:rsid w:val="00092B32"/>
    <w:rsid w:val="00092D86"/>
    <w:rsid w:val="00093156"/>
    <w:rsid w:val="0009413E"/>
    <w:rsid w:val="00094AF6"/>
    <w:rsid w:val="00094E05"/>
    <w:rsid w:val="000950F2"/>
    <w:rsid w:val="0009517C"/>
    <w:rsid w:val="000951E8"/>
    <w:rsid w:val="00095F47"/>
    <w:rsid w:val="00096AC9"/>
    <w:rsid w:val="00096B8A"/>
    <w:rsid w:val="00096C2A"/>
    <w:rsid w:val="00096C73"/>
    <w:rsid w:val="00097D2B"/>
    <w:rsid w:val="000A01E5"/>
    <w:rsid w:val="000A0467"/>
    <w:rsid w:val="000A074B"/>
    <w:rsid w:val="000A0FBE"/>
    <w:rsid w:val="000A115F"/>
    <w:rsid w:val="000A1B91"/>
    <w:rsid w:val="000A1BDD"/>
    <w:rsid w:val="000A1E95"/>
    <w:rsid w:val="000A21A6"/>
    <w:rsid w:val="000A287F"/>
    <w:rsid w:val="000A2D28"/>
    <w:rsid w:val="000A2FBC"/>
    <w:rsid w:val="000A35ED"/>
    <w:rsid w:val="000A35FC"/>
    <w:rsid w:val="000A370C"/>
    <w:rsid w:val="000A44A6"/>
    <w:rsid w:val="000A4607"/>
    <w:rsid w:val="000A4AF6"/>
    <w:rsid w:val="000A4C5D"/>
    <w:rsid w:val="000A5021"/>
    <w:rsid w:val="000A524B"/>
    <w:rsid w:val="000A571A"/>
    <w:rsid w:val="000A58E4"/>
    <w:rsid w:val="000A59F8"/>
    <w:rsid w:val="000A6515"/>
    <w:rsid w:val="000A6C60"/>
    <w:rsid w:val="000A7077"/>
    <w:rsid w:val="000A7290"/>
    <w:rsid w:val="000A786E"/>
    <w:rsid w:val="000A797E"/>
    <w:rsid w:val="000A7AAF"/>
    <w:rsid w:val="000A7B39"/>
    <w:rsid w:val="000B037F"/>
    <w:rsid w:val="000B0C95"/>
    <w:rsid w:val="000B0D56"/>
    <w:rsid w:val="000B1790"/>
    <w:rsid w:val="000B1857"/>
    <w:rsid w:val="000B1B26"/>
    <w:rsid w:val="000B1DB5"/>
    <w:rsid w:val="000B2097"/>
    <w:rsid w:val="000B2278"/>
    <w:rsid w:val="000B251D"/>
    <w:rsid w:val="000B2533"/>
    <w:rsid w:val="000B2874"/>
    <w:rsid w:val="000B2E26"/>
    <w:rsid w:val="000B2E29"/>
    <w:rsid w:val="000B2ED9"/>
    <w:rsid w:val="000B2F24"/>
    <w:rsid w:val="000B33CC"/>
    <w:rsid w:val="000B364F"/>
    <w:rsid w:val="000B38C8"/>
    <w:rsid w:val="000B3937"/>
    <w:rsid w:val="000B3A75"/>
    <w:rsid w:val="000B3BA2"/>
    <w:rsid w:val="000B3E29"/>
    <w:rsid w:val="000B4020"/>
    <w:rsid w:val="000B422E"/>
    <w:rsid w:val="000B473C"/>
    <w:rsid w:val="000B47F9"/>
    <w:rsid w:val="000B4EB0"/>
    <w:rsid w:val="000B4F11"/>
    <w:rsid w:val="000B4F14"/>
    <w:rsid w:val="000B531C"/>
    <w:rsid w:val="000B56DF"/>
    <w:rsid w:val="000B5B0A"/>
    <w:rsid w:val="000B5CEA"/>
    <w:rsid w:val="000B6302"/>
    <w:rsid w:val="000B6330"/>
    <w:rsid w:val="000B6539"/>
    <w:rsid w:val="000B6763"/>
    <w:rsid w:val="000B6F1A"/>
    <w:rsid w:val="000B74B9"/>
    <w:rsid w:val="000B79FA"/>
    <w:rsid w:val="000B7C3B"/>
    <w:rsid w:val="000B7ECF"/>
    <w:rsid w:val="000C0004"/>
    <w:rsid w:val="000C0051"/>
    <w:rsid w:val="000C0099"/>
    <w:rsid w:val="000C00AB"/>
    <w:rsid w:val="000C05F8"/>
    <w:rsid w:val="000C065B"/>
    <w:rsid w:val="000C076B"/>
    <w:rsid w:val="000C0A54"/>
    <w:rsid w:val="000C0D09"/>
    <w:rsid w:val="000C0E1C"/>
    <w:rsid w:val="000C0E8D"/>
    <w:rsid w:val="000C106E"/>
    <w:rsid w:val="000C1363"/>
    <w:rsid w:val="000C1625"/>
    <w:rsid w:val="000C1923"/>
    <w:rsid w:val="000C194A"/>
    <w:rsid w:val="000C1A6D"/>
    <w:rsid w:val="000C2E06"/>
    <w:rsid w:val="000C32A1"/>
    <w:rsid w:val="000C3310"/>
    <w:rsid w:val="000C379A"/>
    <w:rsid w:val="000C384D"/>
    <w:rsid w:val="000C3A2F"/>
    <w:rsid w:val="000C3C86"/>
    <w:rsid w:val="000C3D09"/>
    <w:rsid w:val="000C3E4F"/>
    <w:rsid w:val="000C3EA9"/>
    <w:rsid w:val="000C3FEE"/>
    <w:rsid w:val="000C41E8"/>
    <w:rsid w:val="000C469B"/>
    <w:rsid w:val="000C4C87"/>
    <w:rsid w:val="000C4E07"/>
    <w:rsid w:val="000C506A"/>
    <w:rsid w:val="000C5384"/>
    <w:rsid w:val="000C54C6"/>
    <w:rsid w:val="000C5879"/>
    <w:rsid w:val="000C6213"/>
    <w:rsid w:val="000C6952"/>
    <w:rsid w:val="000C6F93"/>
    <w:rsid w:val="000C71AB"/>
    <w:rsid w:val="000C7886"/>
    <w:rsid w:val="000C7926"/>
    <w:rsid w:val="000C7A67"/>
    <w:rsid w:val="000D054F"/>
    <w:rsid w:val="000D0CB4"/>
    <w:rsid w:val="000D11E6"/>
    <w:rsid w:val="000D121E"/>
    <w:rsid w:val="000D171F"/>
    <w:rsid w:val="000D1C0E"/>
    <w:rsid w:val="000D2FD4"/>
    <w:rsid w:val="000D3277"/>
    <w:rsid w:val="000D32E0"/>
    <w:rsid w:val="000D3626"/>
    <w:rsid w:val="000D44CE"/>
    <w:rsid w:val="000D4C7E"/>
    <w:rsid w:val="000D56B1"/>
    <w:rsid w:val="000D5724"/>
    <w:rsid w:val="000D59FC"/>
    <w:rsid w:val="000D5E38"/>
    <w:rsid w:val="000D65C1"/>
    <w:rsid w:val="000D6720"/>
    <w:rsid w:val="000D7127"/>
    <w:rsid w:val="000D730B"/>
    <w:rsid w:val="000D7318"/>
    <w:rsid w:val="000D74D4"/>
    <w:rsid w:val="000E00FF"/>
    <w:rsid w:val="000E11E4"/>
    <w:rsid w:val="000E2F7F"/>
    <w:rsid w:val="000E350F"/>
    <w:rsid w:val="000E3604"/>
    <w:rsid w:val="000E37CB"/>
    <w:rsid w:val="000E3C01"/>
    <w:rsid w:val="000E3E4E"/>
    <w:rsid w:val="000E42E0"/>
    <w:rsid w:val="000E534A"/>
    <w:rsid w:val="000E5694"/>
    <w:rsid w:val="000E57F2"/>
    <w:rsid w:val="000E5D93"/>
    <w:rsid w:val="000E606F"/>
    <w:rsid w:val="000E6508"/>
    <w:rsid w:val="000E663C"/>
    <w:rsid w:val="000E687D"/>
    <w:rsid w:val="000E76F7"/>
    <w:rsid w:val="000F0F31"/>
    <w:rsid w:val="000F1298"/>
    <w:rsid w:val="000F13E3"/>
    <w:rsid w:val="000F149C"/>
    <w:rsid w:val="000F23AF"/>
    <w:rsid w:val="000F2AF3"/>
    <w:rsid w:val="000F37A3"/>
    <w:rsid w:val="000F3CD4"/>
    <w:rsid w:val="000F3FB5"/>
    <w:rsid w:val="000F4409"/>
    <w:rsid w:val="000F4827"/>
    <w:rsid w:val="000F4A6F"/>
    <w:rsid w:val="000F4B0D"/>
    <w:rsid w:val="000F4DEB"/>
    <w:rsid w:val="000F4E1E"/>
    <w:rsid w:val="000F548D"/>
    <w:rsid w:val="000F5A2D"/>
    <w:rsid w:val="000F5E21"/>
    <w:rsid w:val="000F5F74"/>
    <w:rsid w:val="000F63D0"/>
    <w:rsid w:val="000F651F"/>
    <w:rsid w:val="000F6782"/>
    <w:rsid w:val="000F6924"/>
    <w:rsid w:val="000F6A87"/>
    <w:rsid w:val="000F6B94"/>
    <w:rsid w:val="000F6BE9"/>
    <w:rsid w:val="000F6F4C"/>
    <w:rsid w:val="000F7362"/>
    <w:rsid w:val="000F7BD9"/>
    <w:rsid w:val="00100270"/>
    <w:rsid w:val="0010105F"/>
    <w:rsid w:val="001011FD"/>
    <w:rsid w:val="001018CD"/>
    <w:rsid w:val="001018D3"/>
    <w:rsid w:val="00101B21"/>
    <w:rsid w:val="001029DA"/>
    <w:rsid w:val="00103104"/>
    <w:rsid w:val="00103490"/>
    <w:rsid w:val="0010352A"/>
    <w:rsid w:val="0010489B"/>
    <w:rsid w:val="00105561"/>
    <w:rsid w:val="00105C34"/>
    <w:rsid w:val="00105C7D"/>
    <w:rsid w:val="00105DA1"/>
    <w:rsid w:val="00106049"/>
    <w:rsid w:val="001061C7"/>
    <w:rsid w:val="001067A5"/>
    <w:rsid w:val="00106A38"/>
    <w:rsid w:val="00106C73"/>
    <w:rsid w:val="00106DEC"/>
    <w:rsid w:val="00106EB8"/>
    <w:rsid w:val="00107366"/>
    <w:rsid w:val="0010770E"/>
    <w:rsid w:val="00107845"/>
    <w:rsid w:val="0011006A"/>
    <w:rsid w:val="001105D5"/>
    <w:rsid w:val="00110D88"/>
    <w:rsid w:val="001110A6"/>
    <w:rsid w:val="001112A6"/>
    <w:rsid w:val="0011134F"/>
    <w:rsid w:val="0011140B"/>
    <w:rsid w:val="0011141B"/>
    <w:rsid w:val="001119D5"/>
    <w:rsid w:val="00111D18"/>
    <w:rsid w:val="001123E3"/>
    <w:rsid w:val="0011284B"/>
    <w:rsid w:val="00112906"/>
    <w:rsid w:val="00112A07"/>
    <w:rsid w:val="00112A99"/>
    <w:rsid w:val="00112B54"/>
    <w:rsid w:val="00113232"/>
    <w:rsid w:val="00113665"/>
    <w:rsid w:val="00113737"/>
    <w:rsid w:val="00114D37"/>
    <w:rsid w:val="00114D4F"/>
    <w:rsid w:val="00114D87"/>
    <w:rsid w:val="00114E9F"/>
    <w:rsid w:val="00115882"/>
    <w:rsid w:val="001159E0"/>
    <w:rsid w:val="00116109"/>
    <w:rsid w:val="00116122"/>
    <w:rsid w:val="00116254"/>
    <w:rsid w:val="00116DCC"/>
    <w:rsid w:val="0011700E"/>
    <w:rsid w:val="0011745C"/>
    <w:rsid w:val="0011767A"/>
    <w:rsid w:val="00117714"/>
    <w:rsid w:val="00117D45"/>
    <w:rsid w:val="00117DE2"/>
    <w:rsid w:val="001200B5"/>
    <w:rsid w:val="001200FD"/>
    <w:rsid w:val="00120126"/>
    <w:rsid w:val="001205E1"/>
    <w:rsid w:val="00120CA0"/>
    <w:rsid w:val="001210A7"/>
    <w:rsid w:val="001215A2"/>
    <w:rsid w:val="0012161D"/>
    <w:rsid w:val="00121A13"/>
    <w:rsid w:val="00121D3E"/>
    <w:rsid w:val="001222D9"/>
    <w:rsid w:val="001222F4"/>
    <w:rsid w:val="0012289E"/>
    <w:rsid w:val="001228A7"/>
    <w:rsid w:val="00122C48"/>
    <w:rsid w:val="00122E30"/>
    <w:rsid w:val="0012428D"/>
    <w:rsid w:val="00124C6A"/>
    <w:rsid w:val="00125016"/>
    <w:rsid w:val="00125124"/>
    <w:rsid w:val="00125959"/>
    <w:rsid w:val="001266A0"/>
    <w:rsid w:val="00126B46"/>
    <w:rsid w:val="00126EC2"/>
    <w:rsid w:val="00126EFA"/>
    <w:rsid w:val="00127E88"/>
    <w:rsid w:val="0013029F"/>
    <w:rsid w:val="0013088C"/>
    <w:rsid w:val="00130BAF"/>
    <w:rsid w:val="001316AB"/>
    <w:rsid w:val="001317E8"/>
    <w:rsid w:val="0013183F"/>
    <w:rsid w:val="001318FE"/>
    <w:rsid w:val="00131D9C"/>
    <w:rsid w:val="00131E8C"/>
    <w:rsid w:val="00132B17"/>
    <w:rsid w:val="00132BE2"/>
    <w:rsid w:val="00132E80"/>
    <w:rsid w:val="00133D80"/>
    <w:rsid w:val="00133F09"/>
    <w:rsid w:val="001347FC"/>
    <w:rsid w:val="00134CB9"/>
    <w:rsid w:val="001351E9"/>
    <w:rsid w:val="001357D8"/>
    <w:rsid w:val="00135B5A"/>
    <w:rsid w:val="00136016"/>
    <w:rsid w:val="001361A2"/>
    <w:rsid w:val="00136585"/>
    <w:rsid w:val="001367CA"/>
    <w:rsid w:val="00136BED"/>
    <w:rsid w:val="00136D17"/>
    <w:rsid w:val="00136FB8"/>
    <w:rsid w:val="00137200"/>
    <w:rsid w:val="0013739E"/>
    <w:rsid w:val="0014006B"/>
    <w:rsid w:val="00140109"/>
    <w:rsid w:val="001402F7"/>
    <w:rsid w:val="001404C6"/>
    <w:rsid w:val="001408D6"/>
    <w:rsid w:val="00140954"/>
    <w:rsid w:val="00140FB0"/>
    <w:rsid w:val="00141E08"/>
    <w:rsid w:val="00142321"/>
    <w:rsid w:val="0014249E"/>
    <w:rsid w:val="00142948"/>
    <w:rsid w:val="00142CB0"/>
    <w:rsid w:val="001439AF"/>
    <w:rsid w:val="001439E4"/>
    <w:rsid w:val="00143B02"/>
    <w:rsid w:val="00143DEB"/>
    <w:rsid w:val="001441C4"/>
    <w:rsid w:val="00144B36"/>
    <w:rsid w:val="00144DC2"/>
    <w:rsid w:val="001450C5"/>
    <w:rsid w:val="00145B35"/>
    <w:rsid w:val="00145F6B"/>
    <w:rsid w:val="00146133"/>
    <w:rsid w:val="001461CC"/>
    <w:rsid w:val="0014651E"/>
    <w:rsid w:val="00146CCC"/>
    <w:rsid w:val="00146DAB"/>
    <w:rsid w:val="00147218"/>
    <w:rsid w:val="00147349"/>
    <w:rsid w:val="00150B2A"/>
    <w:rsid w:val="00150DED"/>
    <w:rsid w:val="0015160D"/>
    <w:rsid w:val="00151753"/>
    <w:rsid w:val="00151B18"/>
    <w:rsid w:val="00152A45"/>
    <w:rsid w:val="00152E49"/>
    <w:rsid w:val="001533D4"/>
    <w:rsid w:val="00154397"/>
    <w:rsid w:val="001548FD"/>
    <w:rsid w:val="00154A1F"/>
    <w:rsid w:val="00154C95"/>
    <w:rsid w:val="00154CCF"/>
    <w:rsid w:val="00154CED"/>
    <w:rsid w:val="00154E18"/>
    <w:rsid w:val="00155537"/>
    <w:rsid w:val="0015581A"/>
    <w:rsid w:val="00155D97"/>
    <w:rsid w:val="001569E1"/>
    <w:rsid w:val="00156ACF"/>
    <w:rsid w:val="0015707F"/>
    <w:rsid w:val="0015792C"/>
    <w:rsid w:val="001601D7"/>
    <w:rsid w:val="0016035D"/>
    <w:rsid w:val="001607F0"/>
    <w:rsid w:val="0016151E"/>
    <w:rsid w:val="00162655"/>
    <w:rsid w:val="00162A04"/>
    <w:rsid w:val="00162BC2"/>
    <w:rsid w:val="001637F9"/>
    <w:rsid w:val="00163817"/>
    <w:rsid w:val="00163A22"/>
    <w:rsid w:val="00163C69"/>
    <w:rsid w:val="00163D87"/>
    <w:rsid w:val="00163DF4"/>
    <w:rsid w:val="00163E2A"/>
    <w:rsid w:val="00163EFE"/>
    <w:rsid w:val="00164619"/>
    <w:rsid w:val="00164FDD"/>
    <w:rsid w:val="00165005"/>
    <w:rsid w:val="00165709"/>
    <w:rsid w:val="00166692"/>
    <w:rsid w:val="00166E77"/>
    <w:rsid w:val="00166FF6"/>
    <w:rsid w:val="001671F2"/>
    <w:rsid w:val="001676EA"/>
    <w:rsid w:val="001679D7"/>
    <w:rsid w:val="00167CD7"/>
    <w:rsid w:val="0017010D"/>
    <w:rsid w:val="00170575"/>
    <w:rsid w:val="0017183F"/>
    <w:rsid w:val="00171CB8"/>
    <w:rsid w:val="00171DF3"/>
    <w:rsid w:val="00172411"/>
    <w:rsid w:val="00172964"/>
    <w:rsid w:val="00172DC1"/>
    <w:rsid w:val="00173084"/>
    <w:rsid w:val="0017323E"/>
    <w:rsid w:val="00173907"/>
    <w:rsid w:val="00173B29"/>
    <w:rsid w:val="00173C0E"/>
    <w:rsid w:val="00173EAD"/>
    <w:rsid w:val="00174075"/>
    <w:rsid w:val="001740BF"/>
    <w:rsid w:val="001743C1"/>
    <w:rsid w:val="00174649"/>
    <w:rsid w:val="00174797"/>
    <w:rsid w:val="00174A5A"/>
    <w:rsid w:val="00175268"/>
    <w:rsid w:val="00175D0A"/>
    <w:rsid w:val="00175E06"/>
    <w:rsid w:val="0017635C"/>
    <w:rsid w:val="00176457"/>
    <w:rsid w:val="0017653C"/>
    <w:rsid w:val="001768B3"/>
    <w:rsid w:val="00176D93"/>
    <w:rsid w:val="00176F52"/>
    <w:rsid w:val="00177614"/>
    <w:rsid w:val="00177E04"/>
    <w:rsid w:val="00177E27"/>
    <w:rsid w:val="00177F9D"/>
    <w:rsid w:val="001806AA"/>
    <w:rsid w:val="0018078C"/>
    <w:rsid w:val="00180AD7"/>
    <w:rsid w:val="00180B0D"/>
    <w:rsid w:val="00181017"/>
    <w:rsid w:val="00181180"/>
    <w:rsid w:val="001812E4"/>
    <w:rsid w:val="0018138D"/>
    <w:rsid w:val="00182A74"/>
    <w:rsid w:val="00183135"/>
    <w:rsid w:val="00183372"/>
    <w:rsid w:val="00183671"/>
    <w:rsid w:val="00183775"/>
    <w:rsid w:val="00183F5C"/>
    <w:rsid w:val="001857C6"/>
    <w:rsid w:val="00185C18"/>
    <w:rsid w:val="00185E32"/>
    <w:rsid w:val="00185F0A"/>
    <w:rsid w:val="00186216"/>
    <w:rsid w:val="001874E5"/>
    <w:rsid w:val="00190DE0"/>
    <w:rsid w:val="00190FDC"/>
    <w:rsid w:val="001913F9"/>
    <w:rsid w:val="001916AC"/>
    <w:rsid w:val="0019182A"/>
    <w:rsid w:val="00191B93"/>
    <w:rsid w:val="001921EC"/>
    <w:rsid w:val="0019250E"/>
    <w:rsid w:val="0019262B"/>
    <w:rsid w:val="0019284B"/>
    <w:rsid w:val="00192DEB"/>
    <w:rsid w:val="001930C7"/>
    <w:rsid w:val="00193122"/>
    <w:rsid w:val="001939E2"/>
    <w:rsid w:val="00194AAA"/>
    <w:rsid w:val="00195407"/>
    <w:rsid w:val="00195CC2"/>
    <w:rsid w:val="00195DA3"/>
    <w:rsid w:val="001965A7"/>
    <w:rsid w:val="00196BF6"/>
    <w:rsid w:val="00196C03"/>
    <w:rsid w:val="00196DD8"/>
    <w:rsid w:val="00197436"/>
    <w:rsid w:val="001A0376"/>
    <w:rsid w:val="001A04A6"/>
    <w:rsid w:val="001A0CAF"/>
    <w:rsid w:val="001A0EF1"/>
    <w:rsid w:val="001A10D4"/>
    <w:rsid w:val="001A123C"/>
    <w:rsid w:val="001A168A"/>
    <w:rsid w:val="001A1797"/>
    <w:rsid w:val="001A1B68"/>
    <w:rsid w:val="001A1C65"/>
    <w:rsid w:val="001A1CF6"/>
    <w:rsid w:val="001A1F83"/>
    <w:rsid w:val="001A2044"/>
    <w:rsid w:val="001A21B2"/>
    <w:rsid w:val="001A234E"/>
    <w:rsid w:val="001A26F3"/>
    <w:rsid w:val="001A272B"/>
    <w:rsid w:val="001A2EA3"/>
    <w:rsid w:val="001A2EAF"/>
    <w:rsid w:val="001A302C"/>
    <w:rsid w:val="001A3B64"/>
    <w:rsid w:val="001A3D8C"/>
    <w:rsid w:val="001A41A2"/>
    <w:rsid w:val="001A43E3"/>
    <w:rsid w:val="001A483A"/>
    <w:rsid w:val="001A4852"/>
    <w:rsid w:val="001A4BBF"/>
    <w:rsid w:val="001A535A"/>
    <w:rsid w:val="001A5E52"/>
    <w:rsid w:val="001A5FD6"/>
    <w:rsid w:val="001A6963"/>
    <w:rsid w:val="001A6BF8"/>
    <w:rsid w:val="001A70B7"/>
    <w:rsid w:val="001A72BC"/>
    <w:rsid w:val="001A752B"/>
    <w:rsid w:val="001A77BC"/>
    <w:rsid w:val="001A7B58"/>
    <w:rsid w:val="001B00D0"/>
    <w:rsid w:val="001B0B17"/>
    <w:rsid w:val="001B1192"/>
    <w:rsid w:val="001B173F"/>
    <w:rsid w:val="001B1772"/>
    <w:rsid w:val="001B1F8A"/>
    <w:rsid w:val="001B21E9"/>
    <w:rsid w:val="001B2272"/>
    <w:rsid w:val="001B2304"/>
    <w:rsid w:val="001B2742"/>
    <w:rsid w:val="001B35AA"/>
    <w:rsid w:val="001B4261"/>
    <w:rsid w:val="001B4C75"/>
    <w:rsid w:val="001B4D2D"/>
    <w:rsid w:val="001B6529"/>
    <w:rsid w:val="001B6717"/>
    <w:rsid w:val="001B68CD"/>
    <w:rsid w:val="001B6974"/>
    <w:rsid w:val="001B71DD"/>
    <w:rsid w:val="001B7279"/>
    <w:rsid w:val="001B7584"/>
    <w:rsid w:val="001B75DC"/>
    <w:rsid w:val="001B7C68"/>
    <w:rsid w:val="001C028C"/>
    <w:rsid w:val="001C053F"/>
    <w:rsid w:val="001C0967"/>
    <w:rsid w:val="001C0BA4"/>
    <w:rsid w:val="001C0E9A"/>
    <w:rsid w:val="001C0F3A"/>
    <w:rsid w:val="001C0F8D"/>
    <w:rsid w:val="001C14BC"/>
    <w:rsid w:val="001C1837"/>
    <w:rsid w:val="001C1894"/>
    <w:rsid w:val="001C18A1"/>
    <w:rsid w:val="001C1DE6"/>
    <w:rsid w:val="001C23DF"/>
    <w:rsid w:val="001C243D"/>
    <w:rsid w:val="001C26DB"/>
    <w:rsid w:val="001C28F6"/>
    <w:rsid w:val="001C2FA9"/>
    <w:rsid w:val="001C325F"/>
    <w:rsid w:val="001C3941"/>
    <w:rsid w:val="001C3A9B"/>
    <w:rsid w:val="001C4098"/>
    <w:rsid w:val="001C40C0"/>
    <w:rsid w:val="001C42EC"/>
    <w:rsid w:val="001C4A0D"/>
    <w:rsid w:val="001C4EDD"/>
    <w:rsid w:val="001C4F0C"/>
    <w:rsid w:val="001C5B54"/>
    <w:rsid w:val="001C62D7"/>
    <w:rsid w:val="001C670C"/>
    <w:rsid w:val="001C6B2C"/>
    <w:rsid w:val="001C6FCE"/>
    <w:rsid w:val="001C75AC"/>
    <w:rsid w:val="001C7A28"/>
    <w:rsid w:val="001D09B9"/>
    <w:rsid w:val="001D0C0C"/>
    <w:rsid w:val="001D0E6B"/>
    <w:rsid w:val="001D1411"/>
    <w:rsid w:val="001D14E8"/>
    <w:rsid w:val="001D1606"/>
    <w:rsid w:val="001D1CAC"/>
    <w:rsid w:val="001D1EA1"/>
    <w:rsid w:val="001D2085"/>
    <w:rsid w:val="001D3270"/>
    <w:rsid w:val="001D3381"/>
    <w:rsid w:val="001D35B6"/>
    <w:rsid w:val="001D3EB1"/>
    <w:rsid w:val="001D40A3"/>
    <w:rsid w:val="001D4268"/>
    <w:rsid w:val="001D444E"/>
    <w:rsid w:val="001D44A8"/>
    <w:rsid w:val="001D46BE"/>
    <w:rsid w:val="001D4E7F"/>
    <w:rsid w:val="001D5BA5"/>
    <w:rsid w:val="001D5F24"/>
    <w:rsid w:val="001D610C"/>
    <w:rsid w:val="001D633A"/>
    <w:rsid w:val="001D64BE"/>
    <w:rsid w:val="001D64D6"/>
    <w:rsid w:val="001D6DEE"/>
    <w:rsid w:val="001D7313"/>
    <w:rsid w:val="001D7488"/>
    <w:rsid w:val="001D7998"/>
    <w:rsid w:val="001D7A8A"/>
    <w:rsid w:val="001D7AD3"/>
    <w:rsid w:val="001D7AD8"/>
    <w:rsid w:val="001E0396"/>
    <w:rsid w:val="001E040F"/>
    <w:rsid w:val="001E0FF2"/>
    <w:rsid w:val="001E167F"/>
    <w:rsid w:val="001E1E51"/>
    <w:rsid w:val="001E211B"/>
    <w:rsid w:val="001E23D5"/>
    <w:rsid w:val="001E241B"/>
    <w:rsid w:val="001E2DAE"/>
    <w:rsid w:val="001E3256"/>
    <w:rsid w:val="001E36F7"/>
    <w:rsid w:val="001E3DF1"/>
    <w:rsid w:val="001E3ED7"/>
    <w:rsid w:val="001E40FA"/>
    <w:rsid w:val="001E42E9"/>
    <w:rsid w:val="001E42FE"/>
    <w:rsid w:val="001E490C"/>
    <w:rsid w:val="001E4F40"/>
    <w:rsid w:val="001E5396"/>
    <w:rsid w:val="001E5826"/>
    <w:rsid w:val="001E608D"/>
    <w:rsid w:val="001E6760"/>
    <w:rsid w:val="001E6C5B"/>
    <w:rsid w:val="001E6C68"/>
    <w:rsid w:val="001E6E1B"/>
    <w:rsid w:val="001E75B4"/>
    <w:rsid w:val="001F03AB"/>
    <w:rsid w:val="001F06D4"/>
    <w:rsid w:val="001F0CF3"/>
    <w:rsid w:val="001F0CFE"/>
    <w:rsid w:val="001F0D6A"/>
    <w:rsid w:val="001F0FCF"/>
    <w:rsid w:val="001F10AA"/>
    <w:rsid w:val="001F11ED"/>
    <w:rsid w:val="001F1375"/>
    <w:rsid w:val="001F13A3"/>
    <w:rsid w:val="001F17F1"/>
    <w:rsid w:val="001F1901"/>
    <w:rsid w:val="001F2206"/>
    <w:rsid w:val="001F2EFA"/>
    <w:rsid w:val="001F3698"/>
    <w:rsid w:val="001F3868"/>
    <w:rsid w:val="001F38E9"/>
    <w:rsid w:val="001F3F30"/>
    <w:rsid w:val="001F3FCD"/>
    <w:rsid w:val="001F460F"/>
    <w:rsid w:val="001F4C5C"/>
    <w:rsid w:val="001F53D2"/>
    <w:rsid w:val="001F541A"/>
    <w:rsid w:val="001F5C35"/>
    <w:rsid w:val="001F5F93"/>
    <w:rsid w:val="001F6377"/>
    <w:rsid w:val="001F651A"/>
    <w:rsid w:val="001F6D6C"/>
    <w:rsid w:val="001F7184"/>
    <w:rsid w:val="001F71C1"/>
    <w:rsid w:val="001F736D"/>
    <w:rsid w:val="001F73F1"/>
    <w:rsid w:val="001F7BA0"/>
    <w:rsid w:val="001F7E8C"/>
    <w:rsid w:val="00200519"/>
    <w:rsid w:val="00200DCD"/>
    <w:rsid w:val="00201511"/>
    <w:rsid w:val="00201A02"/>
    <w:rsid w:val="00201C2C"/>
    <w:rsid w:val="00201C3D"/>
    <w:rsid w:val="00201EE1"/>
    <w:rsid w:val="002035D2"/>
    <w:rsid w:val="002038F4"/>
    <w:rsid w:val="002040F2"/>
    <w:rsid w:val="0020443A"/>
    <w:rsid w:val="002045B8"/>
    <w:rsid w:val="0020468B"/>
    <w:rsid w:val="00204A83"/>
    <w:rsid w:val="0020593C"/>
    <w:rsid w:val="00205B43"/>
    <w:rsid w:val="00206344"/>
    <w:rsid w:val="00206364"/>
    <w:rsid w:val="002069FD"/>
    <w:rsid w:val="00206DA0"/>
    <w:rsid w:val="00206DD8"/>
    <w:rsid w:val="00207068"/>
    <w:rsid w:val="00207BDE"/>
    <w:rsid w:val="002101B8"/>
    <w:rsid w:val="00210C76"/>
    <w:rsid w:val="002112E5"/>
    <w:rsid w:val="00211589"/>
    <w:rsid w:val="00211845"/>
    <w:rsid w:val="0021184B"/>
    <w:rsid w:val="00211AAC"/>
    <w:rsid w:val="00211F8E"/>
    <w:rsid w:val="00212750"/>
    <w:rsid w:val="00212DC1"/>
    <w:rsid w:val="00212F6A"/>
    <w:rsid w:val="00212FFB"/>
    <w:rsid w:val="002133DC"/>
    <w:rsid w:val="0021356A"/>
    <w:rsid w:val="00213611"/>
    <w:rsid w:val="002136B7"/>
    <w:rsid w:val="00213900"/>
    <w:rsid w:val="0021398B"/>
    <w:rsid w:val="00214011"/>
    <w:rsid w:val="00214572"/>
    <w:rsid w:val="00214B07"/>
    <w:rsid w:val="00214E87"/>
    <w:rsid w:val="0021502A"/>
    <w:rsid w:val="002151F1"/>
    <w:rsid w:val="00215602"/>
    <w:rsid w:val="002159E4"/>
    <w:rsid w:val="00215A18"/>
    <w:rsid w:val="00215C4F"/>
    <w:rsid w:val="00216251"/>
    <w:rsid w:val="0021659D"/>
    <w:rsid w:val="00216972"/>
    <w:rsid w:val="00216A83"/>
    <w:rsid w:val="00216B28"/>
    <w:rsid w:val="0021723B"/>
    <w:rsid w:val="00217BDF"/>
    <w:rsid w:val="00217D56"/>
    <w:rsid w:val="00217F78"/>
    <w:rsid w:val="00220496"/>
    <w:rsid w:val="00220BEC"/>
    <w:rsid w:val="00220C2C"/>
    <w:rsid w:val="00220FFA"/>
    <w:rsid w:val="002211A7"/>
    <w:rsid w:val="00221212"/>
    <w:rsid w:val="002214A0"/>
    <w:rsid w:val="0022225E"/>
    <w:rsid w:val="002222A8"/>
    <w:rsid w:val="00222360"/>
    <w:rsid w:val="00222415"/>
    <w:rsid w:val="002228D9"/>
    <w:rsid w:val="00222F6D"/>
    <w:rsid w:val="0022360A"/>
    <w:rsid w:val="00223FAA"/>
    <w:rsid w:val="002248C0"/>
    <w:rsid w:val="002249D9"/>
    <w:rsid w:val="00224DCD"/>
    <w:rsid w:val="002258BA"/>
    <w:rsid w:val="00225A1A"/>
    <w:rsid w:val="00225C07"/>
    <w:rsid w:val="00225CBD"/>
    <w:rsid w:val="002261FE"/>
    <w:rsid w:val="0022654B"/>
    <w:rsid w:val="0022655B"/>
    <w:rsid w:val="0022694E"/>
    <w:rsid w:val="00226A56"/>
    <w:rsid w:val="00226A99"/>
    <w:rsid w:val="00226C64"/>
    <w:rsid w:val="00226E66"/>
    <w:rsid w:val="00226EAC"/>
    <w:rsid w:val="00226FF3"/>
    <w:rsid w:val="00227325"/>
    <w:rsid w:val="00227355"/>
    <w:rsid w:val="00227382"/>
    <w:rsid w:val="00230BF7"/>
    <w:rsid w:val="00230E8D"/>
    <w:rsid w:val="00231205"/>
    <w:rsid w:val="00231511"/>
    <w:rsid w:val="00231753"/>
    <w:rsid w:val="00231782"/>
    <w:rsid w:val="00231ED2"/>
    <w:rsid w:val="0023205E"/>
    <w:rsid w:val="00232186"/>
    <w:rsid w:val="002326AF"/>
    <w:rsid w:val="002326FF"/>
    <w:rsid w:val="00232874"/>
    <w:rsid w:val="00232AD1"/>
    <w:rsid w:val="00232D07"/>
    <w:rsid w:val="00232E07"/>
    <w:rsid w:val="00232FB4"/>
    <w:rsid w:val="002338DB"/>
    <w:rsid w:val="002339ED"/>
    <w:rsid w:val="00233C6A"/>
    <w:rsid w:val="00233E70"/>
    <w:rsid w:val="00233EF6"/>
    <w:rsid w:val="00233FD5"/>
    <w:rsid w:val="00234588"/>
    <w:rsid w:val="00234708"/>
    <w:rsid w:val="00234DB1"/>
    <w:rsid w:val="0023562E"/>
    <w:rsid w:val="00235AB6"/>
    <w:rsid w:val="00235B50"/>
    <w:rsid w:val="00235CD9"/>
    <w:rsid w:val="002361C7"/>
    <w:rsid w:val="00236796"/>
    <w:rsid w:val="00236C23"/>
    <w:rsid w:val="00236F77"/>
    <w:rsid w:val="00236FCA"/>
    <w:rsid w:val="00237136"/>
    <w:rsid w:val="0023738D"/>
    <w:rsid w:val="002374E1"/>
    <w:rsid w:val="00237CC5"/>
    <w:rsid w:val="00237F77"/>
    <w:rsid w:val="0024026F"/>
    <w:rsid w:val="00240330"/>
    <w:rsid w:val="002416B7"/>
    <w:rsid w:val="0024178A"/>
    <w:rsid w:val="00242420"/>
    <w:rsid w:val="00242919"/>
    <w:rsid w:val="00242B31"/>
    <w:rsid w:val="00242BDF"/>
    <w:rsid w:val="00242BE8"/>
    <w:rsid w:val="0024337A"/>
    <w:rsid w:val="002436B6"/>
    <w:rsid w:val="00243B56"/>
    <w:rsid w:val="00244C98"/>
    <w:rsid w:val="00245187"/>
    <w:rsid w:val="0024519B"/>
    <w:rsid w:val="002451CD"/>
    <w:rsid w:val="0024530F"/>
    <w:rsid w:val="00246AA9"/>
    <w:rsid w:val="00247863"/>
    <w:rsid w:val="002478C4"/>
    <w:rsid w:val="00247BF9"/>
    <w:rsid w:val="00247C09"/>
    <w:rsid w:val="00247E8A"/>
    <w:rsid w:val="002502B3"/>
    <w:rsid w:val="00250E26"/>
    <w:rsid w:val="00250E6B"/>
    <w:rsid w:val="002516D0"/>
    <w:rsid w:val="002517EB"/>
    <w:rsid w:val="00251A3C"/>
    <w:rsid w:val="00251F5E"/>
    <w:rsid w:val="00251F8D"/>
    <w:rsid w:val="00252248"/>
    <w:rsid w:val="0025237E"/>
    <w:rsid w:val="00252608"/>
    <w:rsid w:val="00252AEB"/>
    <w:rsid w:val="002535EA"/>
    <w:rsid w:val="00253A71"/>
    <w:rsid w:val="00253F1B"/>
    <w:rsid w:val="002540FB"/>
    <w:rsid w:val="0025456B"/>
    <w:rsid w:val="00254E5E"/>
    <w:rsid w:val="002555D4"/>
    <w:rsid w:val="0025580E"/>
    <w:rsid w:val="00255AD7"/>
    <w:rsid w:val="00255F1A"/>
    <w:rsid w:val="0025648E"/>
    <w:rsid w:val="00257E20"/>
    <w:rsid w:val="00260195"/>
    <w:rsid w:val="00260305"/>
    <w:rsid w:val="0026056F"/>
    <w:rsid w:val="00260641"/>
    <w:rsid w:val="002606F1"/>
    <w:rsid w:val="002609C6"/>
    <w:rsid w:val="00261501"/>
    <w:rsid w:val="0026154E"/>
    <w:rsid w:val="00261F53"/>
    <w:rsid w:val="00261F7F"/>
    <w:rsid w:val="00262E1B"/>
    <w:rsid w:val="00262E1E"/>
    <w:rsid w:val="00262FF9"/>
    <w:rsid w:val="00263450"/>
    <w:rsid w:val="00263C8E"/>
    <w:rsid w:val="0026417F"/>
    <w:rsid w:val="00264385"/>
    <w:rsid w:val="002648A6"/>
    <w:rsid w:val="002648FA"/>
    <w:rsid w:val="00265255"/>
    <w:rsid w:val="00265512"/>
    <w:rsid w:val="002656B6"/>
    <w:rsid w:val="002657B8"/>
    <w:rsid w:val="00266798"/>
    <w:rsid w:val="00266AF3"/>
    <w:rsid w:val="00266BD2"/>
    <w:rsid w:val="00267BC1"/>
    <w:rsid w:val="00267F86"/>
    <w:rsid w:val="00270197"/>
    <w:rsid w:val="00270763"/>
    <w:rsid w:val="00270D71"/>
    <w:rsid w:val="00270FAF"/>
    <w:rsid w:val="00271134"/>
    <w:rsid w:val="0027114A"/>
    <w:rsid w:val="002713FE"/>
    <w:rsid w:val="002719E9"/>
    <w:rsid w:val="002726DB"/>
    <w:rsid w:val="00272E22"/>
    <w:rsid w:val="00272E7B"/>
    <w:rsid w:val="00272EEE"/>
    <w:rsid w:val="002731A4"/>
    <w:rsid w:val="002734B9"/>
    <w:rsid w:val="002734BB"/>
    <w:rsid w:val="002739AF"/>
    <w:rsid w:val="00274477"/>
    <w:rsid w:val="00274BD5"/>
    <w:rsid w:val="00274BF6"/>
    <w:rsid w:val="00274C70"/>
    <w:rsid w:val="00274E7C"/>
    <w:rsid w:val="002750C1"/>
    <w:rsid w:val="0027510E"/>
    <w:rsid w:val="00275FCF"/>
    <w:rsid w:val="002761AA"/>
    <w:rsid w:val="00276EDE"/>
    <w:rsid w:val="00276F7D"/>
    <w:rsid w:val="0027756C"/>
    <w:rsid w:val="00277E5E"/>
    <w:rsid w:val="00280013"/>
    <w:rsid w:val="002802FA"/>
    <w:rsid w:val="00280363"/>
    <w:rsid w:val="00280540"/>
    <w:rsid w:val="00280700"/>
    <w:rsid w:val="0028094F"/>
    <w:rsid w:val="00280ACF"/>
    <w:rsid w:val="00280BC1"/>
    <w:rsid w:val="00280E5D"/>
    <w:rsid w:val="0028115B"/>
    <w:rsid w:val="002812E1"/>
    <w:rsid w:val="00281671"/>
    <w:rsid w:val="002817E0"/>
    <w:rsid w:val="00281B3E"/>
    <w:rsid w:val="00282411"/>
    <w:rsid w:val="002827B8"/>
    <w:rsid w:val="00282AD9"/>
    <w:rsid w:val="00282F12"/>
    <w:rsid w:val="0028322A"/>
    <w:rsid w:val="0028336F"/>
    <w:rsid w:val="00283D44"/>
    <w:rsid w:val="00284203"/>
    <w:rsid w:val="0028480F"/>
    <w:rsid w:val="002849F4"/>
    <w:rsid w:val="00285145"/>
    <w:rsid w:val="00285439"/>
    <w:rsid w:val="002855FD"/>
    <w:rsid w:val="00285A54"/>
    <w:rsid w:val="00285DE7"/>
    <w:rsid w:val="00285E1E"/>
    <w:rsid w:val="00285E6B"/>
    <w:rsid w:val="00285EE6"/>
    <w:rsid w:val="00286BB6"/>
    <w:rsid w:val="00286DBD"/>
    <w:rsid w:val="0028745D"/>
    <w:rsid w:val="002901F5"/>
    <w:rsid w:val="00290D2B"/>
    <w:rsid w:val="00291064"/>
    <w:rsid w:val="00291465"/>
    <w:rsid w:val="00291947"/>
    <w:rsid w:val="00291CAC"/>
    <w:rsid w:val="00291D75"/>
    <w:rsid w:val="00291E40"/>
    <w:rsid w:val="00291EC1"/>
    <w:rsid w:val="002924F8"/>
    <w:rsid w:val="00292D0A"/>
    <w:rsid w:val="00292ECC"/>
    <w:rsid w:val="0029312F"/>
    <w:rsid w:val="0029338F"/>
    <w:rsid w:val="0029349B"/>
    <w:rsid w:val="0029391C"/>
    <w:rsid w:val="00293A21"/>
    <w:rsid w:val="00293B33"/>
    <w:rsid w:val="00294296"/>
    <w:rsid w:val="00294423"/>
    <w:rsid w:val="0029463C"/>
    <w:rsid w:val="0029489A"/>
    <w:rsid w:val="00295CBE"/>
    <w:rsid w:val="00296367"/>
    <w:rsid w:val="00296582"/>
    <w:rsid w:val="00296D1E"/>
    <w:rsid w:val="00296F3A"/>
    <w:rsid w:val="002972E5"/>
    <w:rsid w:val="00297BEC"/>
    <w:rsid w:val="002A0008"/>
    <w:rsid w:val="002A076C"/>
    <w:rsid w:val="002A0CE7"/>
    <w:rsid w:val="002A0EBB"/>
    <w:rsid w:val="002A146C"/>
    <w:rsid w:val="002A1657"/>
    <w:rsid w:val="002A172E"/>
    <w:rsid w:val="002A17DE"/>
    <w:rsid w:val="002A2302"/>
    <w:rsid w:val="002A2377"/>
    <w:rsid w:val="002A23EE"/>
    <w:rsid w:val="002A252B"/>
    <w:rsid w:val="002A2756"/>
    <w:rsid w:val="002A28D2"/>
    <w:rsid w:val="002A3367"/>
    <w:rsid w:val="002A36AB"/>
    <w:rsid w:val="002A4517"/>
    <w:rsid w:val="002A4973"/>
    <w:rsid w:val="002A4C74"/>
    <w:rsid w:val="002A4E76"/>
    <w:rsid w:val="002A4F16"/>
    <w:rsid w:val="002A5142"/>
    <w:rsid w:val="002A548D"/>
    <w:rsid w:val="002A599C"/>
    <w:rsid w:val="002A5DEE"/>
    <w:rsid w:val="002A5E53"/>
    <w:rsid w:val="002A6F7B"/>
    <w:rsid w:val="002A708A"/>
    <w:rsid w:val="002A759B"/>
    <w:rsid w:val="002A77CD"/>
    <w:rsid w:val="002A7BF9"/>
    <w:rsid w:val="002B0379"/>
    <w:rsid w:val="002B0DBB"/>
    <w:rsid w:val="002B1208"/>
    <w:rsid w:val="002B1683"/>
    <w:rsid w:val="002B1B7F"/>
    <w:rsid w:val="002B2C00"/>
    <w:rsid w:val="002B2DEF"/>
    <w:rsid w:val="002B31CE"/>
    <w:rsid w:val="002B3435"/>
    <w:rsid w:val="002B491B"/>
    <w:rsid w:val="002B4CEC"/>
    <w:rsid w:val="002B4EE5"/>
    <w:rsid w:val="002B5DEF"/>
    <w:rsid w:val="002B62A3"/>
    <w:rsid w:val="002B6527"/>
    <w:rsid w:val="002B67C8"/>
    <w:rsid w:val="002B6A98"/>
    <w:rsid w:val="002B6EC4"/>
    <w:rsid w:val="002B6FD2"/>
    <w:rsid w:val="002B70B9"/>
    <w:rsid w:val="002B7599"/>
    <w:rsid w:val="002B7E5A"/>
    <w:rsid w:val="002C0116"/>
    <w:rsid w:val="002C03C6"/>
    <w:rsid w:val="002C0431"/>
    <w:rsid w:val="002C0672"/>
    <w:rsid w:val="002C1046"/>
    <w:rsid w:val="002C17D2"/>
    <w:rsid w:val="002C1F78"/>
    <w:rsid w:val="002C2269"/>
    <w:rsid w:val="002C293D"/>
    <w:rsid w:val="002C2CD3"/>
    <w:rsid w:val="002C3525"/>
    <w:rsid w:val="002C35EF"/>
    <w:rsid w:val="002C36DA"/>
    <w:rsid w:val="002C375F"/>
    <w:rsid w:val="002C4223"/>
    <w:rsid w:val="002C44E3"/>
    <w:rsid w:val="002C45D1"/>
    <w:rsid w:val="002C4C63"/>
    <w:rsid w:val="002C4D21"/>
    <w:rsid w:val="002C55D8"/>
    <w:rsid w:val="002C5670"/>
    <w:rsid w:val="002C5CFC"/>
    <w:rsid w:val="002C5D57"/>
    <w:rsid w:val="002C5EB7"/>
    <w:rsid w:val="002C6677"/>
    <w:rsid w:val="002C6E49"/>
    <w:rsid w:val="002C6EEB"/>
    <w:rsid w:val="002C77F6"/>
    <w:rsid w:val="002C7B71"/>
    <w:rsid w:val="002C7C0D"/>
    <w:rsid w:val="002C7DBE"/>
    <w:rsid w:val="002D08F1"/>
    <w:rsid w:val="002D13A6"/>
    <w:rsid w:val="002D13D3"/>
    <w:rsid w:val="002D17D5"/>
    <w:rsid w:val="002D1F60"/>
    <w:rsid w:val="002D2295"/>
    <w:rsid w:val="002D287A"/>
    <w:rsid w:val="002D2F93"/>
    <w:rsid w:val="002D346E"/>
    <w:rsid w:val="002D37EB"/>
    <w:rsid w:val="002D500B"/>
    <w:rsid w:val="002D53BB"/>
    <w:rsid w:val="002D5664"/>
    <w:rsid w:val="002D5C65"/>
    <w:rsid w:val="002D5D12"/>
    <w:rsid w:val="002D606D"/>
    <w:rsid w:val="002D611D"/>
    <w:rsid w:val="002D664C"/>
    <w:rsid w:val="002D6A53"/>
    <w:rsid w:val="002D6B2F"/>
    <w:rsid w:val="002D75C1"/>
    <w:rsid w:val="002D7913"/>
    <w:rsid w:val="002D7BCB"/>
    <w:rsid w:val="002D7D5D"/>
    <w:rsid w:val="002E06FC"/>
    <w:rsid w:val="002E0F1E"/>
    <w:rsid w:val="002E15F8"/>
    <w:rsid w:val="002E1833"/>
    <w:rsid w:val="002E192D"/>
    <w:rsid w:val="002E1A50"/>
    <w:rsid w:val="002E1BFE"/>
    <w:rsid w:val="002E2B5B"/>
    <w:rsid w:val="002E3088"/>
    <w:rsid w:val="002E32B3"/>
    <w:rsid w:val="002E36B4"/>
    <w:rsid w:val="002E3990"/>
    <w:rsid w:val="002E3C51"/>
    <w:rsid w:val="002E4013"/>
    <w:rsid w:val="002E4092"/>
    <w:rsid w:val="002E490D"/>
    <w:rsid w:val="002E4F63"/>
    <w:rsid w:val="002E504F"/>
    <w:rsid w:val="002E50CB"/>
    <w:rsid w:val="002E5338"/>
    <w:rsid w:val="002E5476"/>
    <w:rsid w:val="002E5564"/>
    <w:rsid w:val="002E56BA"/>
    <w:rsid w:val="002E583B"/>
    <w:rsid w:val="002E5970"/>
    <w:rsid w:val="002E6401"/>
    <w:rsid w:val="002E6478"/>
    <w:rsid w:val="002E6499"/>
    <w:rsid w:val="002E66D4"/>
    <w:rsid w:val="002E6C3F"/>
    <w:rsid w:val="002E6E07"/>
    <w:rsid w:val="002E7110"/>
    <w:rsid w:val="002E79FB"/>
    <w:rsid w:val="002F03B5"/>
    <w:rsid w:val="002F04F2"/>
    <w:rsid w:val="002F0BF4"/>
    <w:rsid w:val="002F0C0F"/>
    <w:rsid w:val="002F154C"/>
    <w:rsid w:val="002F1CFC"/>
    <w:rsid w:val="002F22D7"/>
    <w:rsid w:val="002F2512"/>
    <w:rsid w:val="002F2B7B"/>
    <w:rsid w:val="002F2F86"/>
    <w:rsid w:val="002F30BA"/>
    <w:rsid w:val="002F344A"/>
    <w:rsid w:val="002F35E9"/>
    <w:rsid w:val="002F38BC"/>
    <w:rsid w:val="002F3B21"/>
    <w:rsid w:val="002F3B3F"/>
    <w:rsid w:val="002F3C43"/>
    <w:rsid w:val="002F3CCB"/>
    <w:rsid w:val="002F3FB3"/>
    <w:rsid w:val="002F42DE"/>
    <w:rsid w:val="002F473D"/>
    <w:rsid w:val="002F49E3"/>
    <w:rsid w:val="002F4A9D"/>
    <w:rsid w:val="002F4B8C"/>
    <w:rsid w:val="002F4EB1"/>
    <w:rsid w:val="002F52AE"/>
    <w:rsid w:val="002F55BD"/>
    <w:rsid w:val="002F5633"/>
    <w:rsid w:val="002F56B9"/>
    <w:rsid w:val="002F5C68"/>
    <w:rsid w:val="002F6A50"/>
    <w:rsid w:val="002F7A90"/>
    <w:rsid w:val="002F7C9F"/>
    <w:rsid w:val="002F7DBD"/>
    <w:rsid w:val="003000C9"/>
    <w:rsid w:val="0030050F"/>
    <w:rsid w:val="00300790"/>
    <w:rsid w:val="00300D53"/>
    <w:rsid w:val="00300ECC"/>
    <w:rsid w:val="00300F0C"/>
    <w:rsid w:val="00301062"/>
    <w:rsid w:val="003022B9"/>
    <w:rsid w:val="00302B78"/>
    <w:rsid w:val="00302BE7"/>
    <w:rsid w:val="00302FC7"/>
    <w:rsid w:val="00303149"/>
    <w:rsid w:val="00303C09"/>
    <w:rsid w:val="003049AF"/>
    <w:rsid w:val="00304B12"/>
    <w:rsid w:val="0030506A"/>
    <w:rsid w:val="003054F5"/>
    <w:rsid w:val="003057AB"/>
    <w:rsid w:val="003058AD"/>
    <w:rsid w:val="00305EB0"/>
    <w:rsid w:val="00305ED4"/>
    <w:rsid w:val="00306325"/>
    <w:rsid w:val="0030665C"/>
    <w:rsid w:val="0030728D"/>
    <w:rsid w:val="00307AA3"/>
    <w:rsid w:val="00307C25"/>
    <w:rsid w:val="003101AE"/>
    <w:rsid w:val="00310FBD"/>
    <w:rsid w:val="00310FBF"/>
    <w:rsid w:val="003111E3"/>
    <w:rsid w:val="003115CB"/>
    <w:rsid w:val="00311842"/>
    <w:rsid w:val="00311E05"/>
    <w:rsid w:val="003126F7"/>
    <w:rsid w:val="00312824"/>
    <w:rsid w:val="003129B7"/>
    <w:rsid w:val="0031346E"/>
    <w:rsid w:val="00313718"/>
    <w:rsid w:val="0031395C"/>
    <w:rsid w:val="003139B5"/>
    <w:rsid w:val="00313AF4"/>
    <w:rsid w:val="00313C6B"/>
    <w:rsid w:val="003143D1"/>
    <w:rsid w:val="003148F8"/>
    <w:rsid w:val="00314D3C"/>
    <w:rsid w:val="003157EC"/>
    <w:rsid w:val="00315A29"/>
    <w:rsid w:val="00315F5B"/>
    <w:rsid w:val="003162EB"/>
    <w:rsid w:val="00316397"/>
    <w:rsid w:val="00316443"/>
    <w:rsid w:val="00316C62"/>
    <w:rsid w:val="00316EC9"/>
    <w:rsid w:val="003172EB"/>
    <w:rsid w:val="00317348"/>
    <w:rsid w:val="00317503"/>
    <w:rsid w:val="00317CCE"/>
    <w:rsid w:val="00320261"/>
    <w:rsid w:val="0032046B"/>
    <w:rsid w:val="00320C05"/>
    <w:rsid w:val="00320FB3"/>
    <w:rsid w:val="00321501"/>
    <w:rsid w:val="0032153F"/>
    <w:rsid w:val="00321669"/>
    <w:rsid w:val="00321B4D"/>
    <w:rsid w:val="00322792"/>
    <w:rsid w:val="0032290B"/>
    <w:rsid w:val="00322AE4"/>
    <w:rsid w:val="00323215"/>
    <w:rsid w:val="0032323C"/>
    <w:rsid w:val="003233F5"/>
    <w:rsid w:val="00323D63"/>
    <w:rsid w:val="0032459D"/>
    <w:rsid w:val="0032479D"/>
    <w:rsid w:val="00324D5B"/>
    <w:rsid w:val="00324E7A"/>
    <w:rsid w:val="00324FB1"/>
    <w:rsid w:val="00325141"/>
    <w:rsid w:val="00325423"/>
    <w:rsid w:val="00325DA7"/>
    <w:rsid w:val="00325E59"/>
    <w:rsid w:val="0032609E"/>
    <w:rsid w:val="00326CEF"/>
    <w:rsid w:val="00327246"/>
    <w:rsid w:val="003278F1"/>
    <w:rsid w:val="00327BA4"/>
    <w:rsid w:val="00327CB1"/>
    <w:rsid w:val="00327F38"/>
    <w:rsid w:val="00330135"/>
    <w:rsid w:val="00330139"/>
    <w:rsid w:val="00330200"/>
    <w:rsid w:val="0033029E"/>
    <w:rsid w:val="00330325"/>
    <w:rsid w:val="00330B9D"/>
    <w:rsid w:val="00331514"/>
    <w:rsid w:val="0033177A"/>
    <w:rsid w:val="00331CEB"/>
    <w:rsid w:val="0033212C"/>
    <w:rsid w:val="003323DF"/>
    <w:rsid w:val="00332562"/>
    <w:rsid w:val="00332914"/>
    <w:rsid w:val="003329B3"/>
    <w:rsid w:val="00332A42"/>
    <w:rsid w:val="00332E13"/>
    <w:rsid w:val="00333052"/>
    <w:rsid w:val="00333D1C"/>
    <w:rsid w:val="00334454"/>
    <w:rsid w:val="0033450E"/>
    <w:rsid w:val="0033456D"/>
    <w:rsid w:val="00334C29"/>
    <w:rsid w:val="00334C99"/>
    <w:rsid w:val="00334E85"/>
    <w:rsid w:val="003352E3"/>
    <w:rsid w:val="00335715"/>
    <w:rsid w:val="00335D07"/>
    <w:rsid w:val="00336008"/>
    <w:rsid w:val="003361A8"/>
    <w:rsid w:val="003364DA"/>
    <w:rsid w:val="00337000"/>
    <w:rsid w:val="00337667"/>
    <w:rsid w:val="00337B7B"/>
    <w:rsid w:val="00337DFF"/>
    <w:rsid w:val="00340975"/>
    <w:rsid w:val="00340E14"/>
    <w:rsid w:val="003413C0"/>
    <w:rsid w:val="003418EC"/>
    <w:rsid w:val="00341C76"/>
    <w:rsid w:val="00341FD7"/>
    <w:rsid w:val="00342277"/>
    <w:rsid w:val="00342761"/>
    <w:rsid w:val="00342FBF"/>
    <w:rsid w:val="003430CE"/>
    <w:rsid w:val="003436F2"/>
    <w:rsid w:val="00343A60"/>
    <w:rsid w:val="00343BA0"/>
    <w:rsid w:val="003440D8"/>
    <w:rsid w:val="00344713"/>
    <w:rsid w:val="00345714"/>
    <w:rsid w:val="00345769"/>
    <w:rsid w:val="00345DED"/>
    <w:rsid w:val="00346420"/>
    <w:rsid w:val="003465BB"/>
    <w:rsid w:val="00346953"/>
    <w:rsid w:val="00346A27"/>
    <w:rsid w:val="00346D20"/>
    <w:rsid w:val="00346FAD"/>
    <w:rsid w:val="00346FD8"/>
    <w:rsid w:val="0034767A"/>
    <w:rsid w:val="00347797"/>
    <w:rsid w:val="0035020D"/>
    <w:rsid w:val="00351015"/>
    <w:rsid w:val="00351C4B"/>
    <w:rsid w:val="00352089"/>
    <w:rsid w:val="003520B5"/>
    <w:rsid w:val="003527D4"/>
    <w:rsid w:val="00352A31"/>
    <w:rsid w:val="00352C7D"/>
    <w:rsid w:val="00352CEB"/>
    <w:rsid w:val="003530ED"/>
    <w:rsid w:val="003533F8"/>
    <w:rsid w:val="0035342B"/>
    <w:rsid w:val="003544D3"/>
    <w:rsid w:val="00354AAD"/>
    <w:rsid w:val="003554DC"/>
    <w:rsid w:val="00355572"/>
    <w:rsid w:val="00355938"/>
    <w:rsid w:val="00355D3C"/>
    <w:rsid w:val="00356063"/>
    <w:rsid w:val="003565E5"/>
    <w:rsid w:val="00356F75"/>
    <w:rsid w:val="00357504"/>
    <w:rsid w:val="0036035E"/>
    <w:rsid w:val="00360463"/>
    <w:rsid w:val="00360844"/>
    <w:rsid w:val="00360865"/>
    <w:rsid w:val="00360ABD"/>
    <w:rsid w:val="00361595"/>
    <w:rsid w:val="003616AC"/>
    <w:rsid w:val="00361A5C"/>
    <w:rsid w:val="0036255C"/>
    <w:rsid w:val="003630C4"/>
    <w:rsid w:val="003638AA"/>
    <w:rsid w:val="00364119"/>
    <w:rsid w:val="003641CD"/>
    <w:rsid w:val="0036433E"/>
    <w:rsid w:val="003648BA"/>
    <w:rsid w:val="003649A0"/>
    <w:rsid w:val="00364BDB"/>
    <w:rsid w:val="00364E3A"/>
    <w:rsid w:val="0036547A"/>
    <w:rsid w:val="003657C6"/>
    <w:rsid w:val="003661F6"/>
    <w:rsid w:val="00366256"/>
    <w:rsid w:val="0036657C"/>
    <w:rsid w:val="00366626"/>
    <w:rsid w:val="0036694D"/>
    <w:rsid w:val="00366F1C"/>
    <w:rsid w:val="00367905"/>
    <w:rsid w:val="00370028"/>
    <w:rsid w:val="003708C5"/>
    <w:rsid w:val="00370EBE"/>
    <w:rsid w:val="003710E4"/>
    <w:rsid w:val="0037111D"/>
    <w:rsid w:val="003711F9"/>
    <w:rsid w:val="00371EEC"/>
    <w:rsid w:val="00372108"/>
    <w:rsid w:val="00372610"/>
    <w:rsid w:val="00372962"/>
    <w:rsid w:val="00372A18"/>
    <w:rsid w:val="003749BD"/>
    <w:rsid w:val="00374A20"/>
    <w:rsid w:val="00374B12"/>
    <w:rsid w:val="00374CDF"/>
    <w:rsid w:val="00374F2B"/>
    <w:rsid w:val="00374FB9"/>
    <w:rsid w:val="00375246"/>
    <w:rsid w:val="00376383"/>
    <w:rsid w:val="0037639A"/>
    <w:rsid w:val="00376501"/>
    <w:rsid w:val="003769B3"/>
    <w:rsid w:val="00376BE3"/>
    <w:rsid w:val="003771D4"/>
    <w:rsid w:val="003772E3"/>
    <w:rsid w:val="00377641"/>
    <w:rsid w:val="00377941"/>
    <w:rsid w:val="00377AEF"/>
    <w:rsid w:val="00377C1C"/>
    <w:rsid w:val="00377C9F"/>
    <w:rsid w:val="00377FE8"/>
    <w:rsid w:val="0038067F"/>
    <w:rsid w:val="00380CE3"/>
    <w:rsid w:val="00380E89"/>
    <w:rsid w:val="003811EA"/>
    <w:rsid w:val="0038139E"/>
    <w:rsid w:val="003817AC"/>
    <w:rsid w:val="003817DD"/>
    <w:rsid w:val="00383020"/>
    <w:rsid w:val="003830E9"/>
    <w:rsid w:val="003833C1"/>
    <w:rsid w:val="00384006"/>
    <w:rsid w:val="00384A03"/>
    <w:rsid w:val="00384D60"/>
    <w:rsid w:val="00385199"/>
    <w:rsid w:val="00385299"/>
    <w:rsid w:val="0038658A"/>
    <w:rsid w:val="003870DB"/>
    <w:rsid w:val="0038713B"/>
    <w:rsid w:val="0038736C"/>
    <w:rsid w:val="003878BB"/>
    <w:rsid w:val="00390307"/>
    <w:rsid w:val="00390615"/>
    <w:rsid w:val="0039073D"/>
    <w:rsid w:val="00391326"/>
    <w:rsid w:val="003915F3"/>
    <w:rsid w:val="003919C1"/>
    <w:rsid w:val="00391DED"/>
    <w:rsid w:val="0039269A"/>
    <w:rsid w:val="00392B86"/>
    <w:rsid w:val="00393341"/>
    <w:rsid w:val="00393462"/>
    <w:rsid w:val="003939F8"/>
    <w:rsid w:val="00394409"/>
    <w:rsid w:val="003946EF"/>
    <w:rsid w:val="0039481B"/>
    <w:rsid w:val="0039488A"/>
    <w:rsid w:val="00394B93"/>
    <w:rsid w:val="003950D9"/>
    <w:rsid w:val="00395553"/>
    <w:rsid w:val="00395D66"/>
    <w:rsid w:val="00395EAE"/>
    <w:rsid w:val="00396388"/>
    <w:rsid w:val="003963A9"/>
    <w:rsid w:val="003966E4"/>
    <w:rsid w:val="00397012"/>
    <w:rsid w:val="00397478"/>
    <w:rsid w:val="0039758B"/>
    <w:rsid w:val="0039796F"/>
    <w:rsid w:val="003A0EAF"/>
    <w:rsid w:val="003A1800"/>
    <w:rsid w:val="003A1DB3"/>
    <w:rsid w:val="003A2169"/>
    <w:rsid w:val="003A29CF"/>
    <w:rsid w:val="003A2A21"/>
    <w:rsid w:val="003A2C01"/>
    <w:rsid w:val="003A31D3"/>
    <w:rsid w:val="003A356C"/>
    <w:rsid w:val="003A3637"/>
    <w:rsid w:val="003A3727"/>
    <w:rsid w:val="003A3828"/>
    <w:rsid w:val="003A3A4F"/>
    <w:rsid w:val="003A3F0D"/>
    <w:rsid w:val="003A432B"/>
    <w:rsid w:val="003A4B09"/>
    <w:rsid w:val="003A4E0A"/>
    <w:rsid w:val="003A5A70"/>
    <w:rsid w:val="003A6000"/>
    <w:rsid w:val="003A6036"/>
    <w:rsid w:val="003A655B"/>
    <w:rsid w:val="003A7478"/>
    <w:rsid w:val="003A747D"/>
    <w:rsid w:val="003A7AD7"/>
    <w:rsid w:val="003A7F74"/>
    <w:rsid w:val="003B0393"/>
    <w:rsid w:val="003B05E9"/>
    <w:rsid w:val="003B05F9"/>
    <w:rsid w:val="003B0930"/>
    <w:rsid w:val="003B0A43"/>
    <w:rsid w:val="003B0F8A"/>
    <w:rsid w:val="003B193A"/>
    <w:rsid w:val="003B1CC8"/>
    <w:rsid w:val="003B1DDA"/>
    <w:rsid w:val="003B2634"/>
    <w:rsid w:val="003B26EF"/>
    <w:rsid w:val="003B2914"/>
    <w:rsid w:val="003B2ACE"/>
    <w:rsid w:val="003B2E20"/>
    <w:rsid w:val="003B30C0"/>
    <w:rsid w:val="003B31B0"/>
    <w:rsid w:val="003B3440"/>
    <w:rsid w:val="003B3968"/>
    <w:rsid w:val="003B5E1C"/>
    <w:rsid w:val="003B60A7"/>
    <w:rsid w:val="003B664F"/>
    <w:rsid w:val="003B67EF"/>
    <w:rsid w:val="003B6BCA"/>
    <w:rsid w:val="003B73DB"/>
    <w:rsid w:val="003B7737"/>
    <w:rsid w:val="003B7B6F"/>
    <w:rsid w:val="003B7C6D"/>
    <w:rsid w:val="003B7CD8"/>
    <w:rsid w:val="003B7F53"/>
    <w:rsid w:val="003C0027"/>
    <w:rsid w:val="003C04AD"/>
    <w:rsid w:val="003C0642"/>
    <w:rsid w:val="003C0660"/>
    <w:rsid w:val="003C0862"/>
    <w:rsid w:val="003C0BE6"/>
    <w:rsid w:val="003C15D2"/>
    <w:rsid w:val="003C169B"/>
    <w:rsid w:val="003C1EC1"/>
    <w:rsid w:val="003C22BD"/>
    <w:rsid w:val="003C2D07"/>
    <w:rsid w:val="003C31AC"/>
    <w:rsid w:val="003C3F27"/>
    <w:rsid w:val="003C4206"/>
    <w:rsid w:val="003C43FA"/>
    <w:rsid w:val="003C45B8"/>
    <w:rsid w:val="003C46DE"/>
    <w:rsid w:val="003C4736"/>
    <w:rsid w:val="003C5A11"/>
    <w:rsid w:val="003C5BA5"/>
    <w:rsid w:val="003C633D"/>
    <w:rsid w:val="003C65D8"/>
    <w:rsid w:val="003C6DD8"/>
    <w:rsid w:val="003C6F7D"/>
    <w:rsid w:val="003C79DF"/>
    <w:rsid w:val="003C7FAF"/>
    <w:rsid w:val="003C7FDD"/>
    <w:rsid w:val="003D0094"/>
    <w:rsid w:val="003D05BD"/>
    <w:rsid w:val="003D14BD"/>
    <w:rsid w:val="003D193D"/>
    <w:rsid w:val="003D2036"/>
    <w:rsid w:val="003D2828"/>
    <w:rsid w:val="003D2C54"/>
    <w:rsid w:val="003D2FAD"/>
    <w:rsid w:val="003D37BA"/>
    <w:rsid w:val="003D3E12"/>
    <w:rsid w:val="003D4190"/>
    <w:rsid w:val="003D4819"/>
    <w:rsid w:val="003D49EC"/>
    <w:rsid w:val="003D4C88"/>
    <w:rsid w:val="003D4EEC"/>
    <w:rsid w:val="003D50C0"/>
    <w:rsid w:val="003D53DA"/>
    <w:rsid w:val="003D5411"/>
    <w:rsid w:val="003D5F46"/>
    <w:rsid w:val="003D7053"/>
    <w:rsid w:val="003D7317"/>
    <w:rsid w:val="003D7372"/>
    <w:rsid w:val="003D77F7"/>
    <w:rsid w:val="003D7A5A"/>
    <w:rsid w:val="003D7AB5"/>
    <w:rsid w:val="003D7ACC"/>
    <w:rsid w:val="003E00EF"/>
    <w:rsid w:val="003E0634"/>
    <w:rsid w:val="003E06E5"/>
    <w:rsid w:val="003E0839"/>
    <w:rsid w:val="003E099A"/>
    <w:rsid w:val="003E0A8B"/>
    <w:rsid w:val="003E0C6C"/>
    <w:rsid w:val="003E0DF1"/>
    <w:rsid w:val="003E0F2B"/>
    <w:rsid w:val="003E12D3"/>
    <w:rsid w:val="003E143C"/>
    <w:rsid w:val="003E1902"/>
    <w:rsid w:val="003E1A19"/>
    <w:rsid w:val="003E1AAC"/>
    <w:rsid w:val="003E1BC9"/>
    <w:rsid w:val="003E2089"/>
    <w:rsid w:val="003E274D"/>
    <w:rsid w:val="003E3784"/>
    <w:rsid w:val="003E3786"/>
    <w:rsid w:val="003E3F52"/>
    <w:rsid w:val="003E4383"/>
    <w:rsid w:val="003E49F4"/>
    <w:rsid w:val="003E4A7B"/>
    <w:rsid w:val="003E4D9E"/>
    <w:rsid w:val="003E5433"/>
    <w:rsid w:val="003E551B"/>
    <w:rsid w:val="003E5549"/>
    <w:rsid w:val="003E611D"/>
    <w:rsid w:val="003E61E3"/>
    <w:rsid w:val="003E6997"/>
    <w:rsid w:val="003E6A43"/>
    <w:rsid w:val="003E70DB"/>
    <w:rsid w:val="003E711A"/>
    <w:rsid w:val="003E7293"/>
    <w:rsid w:val="003E73A2"/>
    <w:rsid w:val="003E757E"/>
    <w:rsid w:val="003E7928"/>
    <w:rsid w:val="003E7A5C"/>
    <w:rsid w:val="003E7C91"/>
    <w:rsid w:val="003F0052"/>
    <w:rsid w:val="003F03FE"/>
    <w:rsid w:val="003F07A4"/>
    <w:rsid w:val="003F0A38"/>
    <w:rsid w:val="003F0EA0"/>
    <w:rsid w:val="003F0F2B"/>
    <w:rsid w:val="003F0F58"/>
    <w:rsid w:val="003F0F8D"/>
    <w:rsid w:val="003F14AA"/>
    <w:rsid w:val="003F1B50"/>
    <w:rsid w:val="003F291E"/>
    <w:rsid w:val="003F2D2C"/>
    <w:rsid w:val="003F2E5C"/>
    <w:rsid w:val="003F2ED3"/>
    <w:rsid w:val="003F2FA5"/>
    <w:rsid w:val="003F30BE"/>
    <w:rsid w:val="003F3242"/>
    <w:rsid w:val="003F3259"/>
    <w:rsid w:val="003F36D9"/>
    <w:rsid w:val="003F3897"/>
    <w:rsid w:val="003F3EFA"/>
    <w:rsid w:val="003F45D6"/>
    <w:rsid w:val="003F5105"/>
    <w:rsid w:val="003F5674"/>
    <w:rsid w:val="003F5889"/>
    <w:rsid w:val="003F69A2"/>
    <w:rsid w:val="003F6BD0"/>
    <w:rsid w:val="003F6BDF"/>
    <w:rsid w:val="003F6EAF"/>
    <w:rsid w:val="003F7024"/>
    <w:rsid w:val="003F70B3"/>
    <w:rsid w:val="003F7BD2"/>
    <w:rsid w:val="003F7C46"/>
    <w:rsid w:val="00400A96"/>
    <w:rsid w:val="00400D09"/>
    <w:rsid w:val="004012F4"/>
    <w:rsid w:val="004019E4"/>
    <w:rsid w:val="00401AA6"/>
    <w:rsid w:val="004028E9"/>
    <w:rsid w:val="0040290A"/>
    <w:rsid w:val="0040297E"/>
    <w:rsid w:val="00402A21"/>
    <w:rsid w:val="00403538"/>
    <w:rsid w:val="004036AB"/>
    <w:rsid w:val="00404356"/>
    <w:rsid w:val="00404F54"/>
    <w:rsid w:val="00404F88"/>
    <w:rsid w:val="00404FDE"/>
    <w:rsid w:val="00405261"/>
    <w:rsid w:val="004056FF"/>
    <w:rsid w:val="00406094"/>
    <w:rsid w:val="0040680B"/>
    <w:rsid w:val="00406866"/>
    <w:rsid w:val="00406922"/>
    <w:rsid w:val="00406E13"/>
    <w:rsid w:val="00406EAF"/>
    <w:rsid w:val="00406FD5"/>
    <w:rsid w:val="004073C8"/>
    <w:rsid w:val="00407512"/>
    <w:rsid w:val="00410897"/>
    <w:rsid w:val="004108DC"/>
    <w:rsid w:val="0041100A"/>
    <w:rsid w:val="00411126"/>
    <w:rsid w:val="004114AD"/>
    <w:rsid w:val="00411555"/>
    <w:rsid w:val="004116F2"/>
    <w:rsid w:val="00412096"/>
    <w:rsid w:val="00412468"/>
    <w:rsid w:val="0041256D"/>
    <w:rsid w:val="00412855"/>
    <w:rsid w:val="00412AC0"/>
    <w:rsid w:val="00412BC1"/>
    <w:rsid w:val="00412BF8"/>
    <w:rsid w:val="00412EC8"/>
    <w:rsid w:val="00413216"/>
    <w:rsid w:val="004133F5"/>
    <w:rsid w:val="0041372E"/>
    <w:rsid w:val="004143A2"/>
    <w:rsid w:val="004148BE"/>
    <w:rsid w:val="004149B8"/>
    <w:rsid w:val="00414A66"/>
    <w:rsid w:val="00414D1A"/>
    <w:rsid w:val="00414D72"/>
    <w:rsid w:val="00414D99"/>
    <w:rsid w:val="00414FD5"/>
    <w:rsid w:val="0041556E"/>
    <w:rsid w:val="00415763"/>
    <w:rsid w:val="00415B13"/>
    <w:rsid w:val="00415DD0"/>
    <w:rsid w:val="0041653E"/>
    <w:rsid w:val="00416598"/>
    <w:rsid w:val="00416920"/>
    <w:rsid w:val="0041692B"/>
    <w:rsid w:val="00417147"/>
    <w:rsid w:val="004178F2"/>
    <w:rsid w:val="00417D28"/>
    <w:rsid w:val="00417F9C"/>
    <w:rsid w:val="00420437"/>
    <w:rsid w:val="00420756"/>
    <w:rsid w:val="004208F6"/>
    <w:rsid w:val="00420A4D"/>
    <w:rsid w:val="00420CEC"/>
    <w:rsid w:val="004213E2"/>
    <w:rsid w:val="00421830"/>
    <w:rsid w:val="00421F18"/>
    <w:rsid w:val="00422BD1"/>
    <w:rsid w:val="00422D50"/>
    <w:rsid w:val="00423D5A"/>
    <w:rsid w:val="00423E50"/>
    <w:rsid w:val="0042456A"/>
    <w:rsid w:val="0042488B"/>
    <w:rsid w:val="004248C2"/>
    <w:rsid w:val="004249BB"/>
    <w:rsid w:val="0042530D"/>
    <w:rsid w:val="00425C5C"/>
    <w:rsid w:val="00425EF5"/>
    <w:rsid w:val="00425FC3"/>
    <w:rsid w:val="00426800"/>
    <w:rsid w:val="00426F2C"/>
    <w:rsid w:val="00426F57"/>
    <w:rsid w:val="00427353"/>
    <w:rsid w:val="00427381"/>
    <w:rsid w:val="004276B6"/>
    <w:rsid w:val="0042786A"/>
    <w:rsid w:val="0042788A"/>
    <w:rsid w:val="00427EB7"/>
    <w:rsid w:val="0043002A"/>
    <w:rsid w:val="00430D00"/>
    <w:rsid w:val="00431629"/>
    <w:rsid w:val="004320AB"/>
    <w:rsid w:val="00432864"/>
    <w:rsid w:val="0043393E"/>
    <w:rsid w:val="00433984"/>
    <w:rsid w:val="00433D29"/>
    <w:rsid w:val="0043468F"/>
    <w:rsid w:val="00434961"/>
    <w:rsid w:val="00434D6B"/>
    <w:rsid w:val="00434F88"/>
    <w:rsid w:val="00434FB3"/>
    <w:rsid w:val="00435040"/>
    <w:rsid w:val="0043505F"/>
    <w:rsid w:val="00435592"/>
    <w:rsid w:val="00436652"/>
    <w:rsid w:val="0043697E"/>
    <w:rsid w:val="00436A5D"/>
    <w:rsid w:val="00437494"/>
    <w:rsid w:val="00437FA9"/>
    <w:rsid w:val="0044000E"/>
    <w:rsid w:val="00440A58"/>
    <w:rsid w:val="00440D37"/>
    <w:rsid w:val="004412AA"/>
    <w:rsid w:val="00441B0B"/>
    <w:rsid w:val="00442167"/>
    <w:rsid w:val="0044246C"/>
    <w:rsid w:val="0044247E"/>
    <w:rsid w:val="004433FA"/>
    <w:rsid w:val="004435FD"/>
    <w:rsid w:val="004438A4"/>
    <w:rsid w:val="00443958"/>
    <w:rsid w:val="00443D68"/>
    <w:rsid w:val="00444B52"/>
    <w:rsid w:val="00444C41"/>
    <w:rsid w:val="00445173"/>
    <w:rsid w:val="004455D0"/>
    <w:rsid w:val="0044576D"/>
    <w:rsid w:val="00445B06"/>
    <w:rsid w:val="00446C98"/>
    <w:rsid w:val="00446CD3"/>
    <w:rsid w:val="00447628"/>
    <w:rsid w:val="00447ECF"/>
    <w:rsid w:val="004508F0"/>
    <w:rsid w:val="00450DDD"/>
    <w:rsid w:val="004514B0"/>
    <w:rsid w:val="004515ED"/>
    <w:rsid w:val="004518AD"/>
    <w:rsid w:val="004518E1"/>
    <w:rsid w:val="00452B53"/>
    <w:rsid w:val="0045396F"/>
    <w:rsid w:val="00453BBE"/>
    <w:rsid w:val="00454419"/>
    <w:rsid w:val="00454B08"/>
    <w:rsid w:val="00454B0A"/>
    <w:rsid w:val="00454BA0"/>
    <w:rsid w:val="00454D07"/>
    <w:rsid w:val="00454D6D"/>
    <w:rsid w:val="0045528D"/>
    <w:rsid w:val="0045562C"/>
    <w:rsid w:val="00455C58"/>
    <w:rsid w:val="00455E81"/>
    <w:rsid w:val="00456168"/>
    <w:rsid w:val="004563A3"/>
    <w:rsid w:val="004566A2"/>
    <w:rsid w:val="00456849"/>
    <w:rsid w:val="00456B32"/>
    <w:rsid w:val="00456BC1"/>
    <w:rsid w:val="00456F49"/>
    <w:rsid w:val="00457555"/>
    <w:rsid w:val="00457CA3"/>
    <w:rsid w:val="00457E0A"/>
    <w:rsid w:val="004601AC"/>
    <w:rsid w:val="004601AF"/>
    <w:rsid w:val="0046053F"/>
    <w:rsid w:val="004616F1"/>
    <w:rsid w:val="00461767"/>
    <w:rsid w:val="00461D64"/>
    <w:rsid w:val="00462791"/>
    <w:rsid w:val="00462814"/>
    <w:rsid w:val="00463A9D"/>
    <w:rsid w:val="00463C99"/>
    <w:rsid w:val="0046427A"/>
    <w:rsid w:val="004644A3"/>
    <w:rsid w:val="004646C1"/>
    <w:rsid w:val="0046490D"/>
    <w:rsid w:val="00464B71"/>
    <w:rsid w:val="00464FF8"/>
    <w:rsid w:val="0046500A"/>
    <w:rsid w:val="004652CE"/>
    <w:rsid w:val="00465489"/>
    <w:rsid w:val="004657E4"/>
    <w:rsid w:val="00465828"/>
    <w:rsid w:val="0046584E"/>
    <w:rsid w:val="00465998"/>
    <w:rsid w:val="00465B3E"/>
    <w:rsid w:val="00466137"/>
    <w:rsid w:val="00466271"/>
    <w:rsid w:val="004669FB"/>
    <w:rsid w:val="0046778D"/>
    <w:rsid w:val="00467DF4"/>
    <w:rsid w:val="004706C7"/>
    <w:rsid w:val="00470829"/>
    <w:rsid w:val="00470A41"/>
    <w:rsid w:val="00470DBA"/>
    <w:rsid w:val="00470EE8"/>
    <w:rsid w:val="00471053"/>
    <w:rsid w:val="0047116A"/>
    <w:rsid w:val="004711FB"/>
    <w:rsid w:val="0047129C"/>
    <w:rsid w:val="004713C1"/>
    <w:rsid w:val="004719C0"/>
    <w:rsid w:val="00471EA2"/>
    <w:rsid w:val="00472268"/>
    <w:rsid w:val="00472388"/>
    <w:rsid w:val="00472CB4"/>
    <w:rsid w:val="00472E42"/>
    <w:rsid w:val="00472E99"/>
    <w:rsid w:val="004730B9"/>
    <w:rsid w:val="00473538"/>
    <w:rsid w:val="004737F5"/>
    <w:rsid w:val="00473823"/>
    <w:rsid w:val="00473B94"/>
    <w:rsid w:val="00473D2F"/>
    <w:rsid w:val="004742EE"/>
    <w:rsid w:val="00475112"/>
    <w:rsid w:val="0047547D"/>
    <w:rsid w:val="00475538"/>
    <w:rsid w:val="004763D2"/>
    <w:rsid w:val="0047664A"/>
    <w:rsid w:val="0047683C"/>
    <w:rsid w:val="00476A47"/>
    <w:rsid w:val="004771D7"/>
    <w:rsid w:val="00477497"/>
    <w:rsid w:val="004779B3"/>
    <w:rsid w:val="00477CF3"/>
    <w:rsid w:val="00477EEA"/>
    <w:rsid w:val="0048013F"/>
    <w:rsid w:val="00480E96"/>
    <w:rsid w:val="00480F8A"/>
    <w:rsid w:val="00481296"/>
    <w:rsid w:val="004812FC"/>
    <w:rsid w:val="004819F1"/>
    <w:rsid w:val="004820B6"/>
    <w:rsid w:val="00482104"/>
    <w:rsid w:val="00482306"/>
    <w:rsid w:val="00482B63"/>
    <w:rsid w:val="00482BE9"/>
    <w:rsid w:val="0048322D"/>
    <w:rsid w:val="004834F4"/>
    <w:rsid w:val="004836CF"/>
    <w:rsid w:val="00483D1B"/>
    <w:rsid w:val="00483E8B"/>
    <w:rsid w:val="00484222"/>
    <w:rsid w:val="00484A79"/>
    <w:rsid w:val="00484A87"/>
    <w:rsid w:val="00484B5B"/>
    <w:rsid w:val="004850E5"/>
    <w:rsid w:val="0048519F"/>
    <w:rsid w:val="004852BA"/>
    <w:rsid w:val="00485503"/>
    <w:rsid w:val="0048564B"/>
    <w:rsid w:val="00485A72"/>
    <w:rsid w:val="00485E83"/>
    <w:rsid w:val="00485F1A"/>
    <w:rsid w:val="004864F7"/>
    <w:rsid w:val="004866D6"/>
    <w:rsid w:val="00486CAC"/>
    <w:rsid w:val="0048718A"/>
    <w:rsid w:val="00487255"/>
    <w:rsid w:val="00487548"/>
    <w:rsid w:val="00487EB6"/>
    <w:rsid w:val="00487F83"/>
    <w:rsid w:val="00487FA4"/>
    <w:rsid w:val="004906E7"/>
    <w:rsid w:val="0049086E"/>
    <w:rsid w:val="00490AB2"/>
    <w:rsid w:val="00490BA3"/>
    <w:rsid w:val="0049121E"/>
    <w:rsid w:val="0049122B"/>
    <w:rsid w:val="00491481"/>
    <w:rsid w:val="00491890"/>
    <w:rsid w:val="00491BC0"/>
    <w:rsid w:val="00493956"/>
    <w:rsid w:val="004945DC"/>
    <w:rsid w:val="004947D4"/>
    <w:rsid w:val="00494C82"/>
    <w:rsid w:val="00495032"/>
    <w:rsid w:val="0049522C"/>
    <w:rsid w:val="00495A0B"/>
    <w:rsid w:val="00495DA6"/>
    <w:rsid w:val="004966A1"/>
    <w:rsid w:val="004966BC"/>
    <w:rsid w:val="00496BF3"/>
    <w:rsid w:val="00496C7D"/>
    <w:rsid w:val="00496DC7"/>
    <w:rsid w:val="0049735C"/>
    <w:rsid w:val="004975EC"/>
    <w:rsid w:val="00497DA1"/>
    <w:rsid w:val="004A0B4F"/>
    <w:rsid w:val="004A10A7"/>
    <w:rsid w:val="004A1361"/>
    <w:rsid w:val="004A1A0B"/>
    <w:rsid w:val="004A1AFC"/>
    <w:rsid w:val="004A1C5A"/>
    <w:rsid w:val="004A1F28"/>
    <w:rsid w:val="004A2573"/>
    <w:rsid w:val="004A28ED"/>
    <w:rsid w:val="004A2942"/>
    <w:rsid w:val="004A2C24"/>
    <w:rsid w:val="004A2C25"/>
    <w:rsid w:val="004A304D"/>
    <w:rsid w:val="004A328F"/>
    <w:rsid w:val="004A397B"/>
    <w:rsid w:val="004A430A"/>
    <w:rsid w:val="004A4AF9"/>
    <w:rsid w:val="004A4CFC"/>
    <w:rsid w:val="004A592B"/>
    <w:rsid w:val="004A59E2"/>
    <w:rsid w:val="004A5C0E"/>
    <w:rsid w:val="004A642E"/>
    <w:rsid w:val="004A675D"/>
    <w:rsid w:val="004A67ED"/>
    <w:rsid w:val="004A683C"/>
    <w:rsid w:val="004A73A8"/>
    <w:rsid w:val="004A7431"/>
    <w:rsid w:val="004A743B"/>
    <w:rsid w:val="004A7C2F"/>
    <w:rsid w:val="004B016C"/>
    <w:rsid w:val="004B03CD"/>
    <w:rsid w:val="004B0538"/>
    <w:rsid w:val="004B0CFE"/>
    <w:rsid w:val="004B1860"/>
    <w:rsid w:val="004B1A8D"/>
    <w:rsid w:val="004B1D90"/>
    <w:rsid w:val="004B2832"/>
    <w:rsid w:val="004B283E"/>
    <w:rsid w:val="004B2DFA"/>
    <w:rsid w:val="004B3427"/>
    <w:rsid w:val="004B34F4"/>
    <w:rsid w:val="004B35BB"/>
    <w:rsid w:val="004B377E"/>
    <w:rsid w:val="004B3802"/>
    <w:rsid w:val="004B4295"/>
    <w:rsid w:val="004B44DE"/>
    <w:rsid w:val="004B4CE7"/>
    <w:rsid w:val="004B4E8F"/>
    <w:rsid w:val="004B5155"/>
    <w:rsid w:val="004B5BEE"/>
    <w:rsid w:val="004B6430"/>
    <w:rsid w:val="004B68D0"/>
    <w:rsid w:val="004B6B43"/>
    <w:rsid w:val="004B6CEF"/>
    <w:rsid w:val="004B76EE"/>
    <w:rsid w:val="004B7BBA"/>
    <w:rsid w:val="004C00F5"/>
    <w:rsid w:val="004C0B6F"/>
    <w:rsid w:val="004C10F5"/>
    <w:rsid w:val="004C1857"/>
    <w:rsid w:val="004C18BA"/>
    <w:rsid w:val="004C220F"/>
    <w:rsid w:val="004C2306"/>
    <w:rsid w:val="004C2F13"/>
    <w:rsid w:val="004C3272"/>
    <w:rsid w:val="004C32F4"/>
    <w:rsid w:val="004C3C18"/>
    <w:rsid w:val="004C4782"/>
    <w:rsid w:val="004C4CA5"/>
    <w:rsid w:val="004C4F9D"/>
    <w:rsid w:val="004C5443"/>
    <w:rsid w:val="004C5740"/>
    <w:rsid w:val="004C5B95"/>
    <w:rsid w:val="004C5FA1"/>
    <w:rsid w:val="004C6205"/>
    <w:rsid w:val="004C64B8"/>
    <w:rsid w:val="004C6861"/>
    <w:rsid w:val="004C6A3A"/>
    <w:rsid w:val="004C6C47"/>
    <w:rsid w:val="004C6D16"/>
    <w:rsid w:val="004C6E14"/>
    <w:rsid w:val="004C6FA5"/>
    <w:rsid w:val="004C6FE6"/>
    <w:rsid w:val="004C6FEE"/>
    <w:rsid w:val="004D0257"/>
    <w:rsid w:val="004D06A5"/>
    <w:rsid w:val="004D073A"/>
    <w:rsid w:val="004D0B33"/>
    <w:rsid w:val="004D0E50"/>
    <w:rsid w:val="004D1B00"/>
    <w:rsid w:val="004D2138"/>
    <w:rsid w:val="004D26B5"/>
    <w:rsid w:val="004D2BD0"/>
    <w:rsid w:val="004D317A"/>
    <w:rsid w:val="004D3792"/>
    <w:rsid w:val="004D40F7"/>
    <w:rsid w:val="004D4B9C"/>
    <w:rsid w:val="004D5045"/>
    <w:rsid w:val="004D5C6A"/>
    <w:rsid w:val="004D6825"/>
    <w:rsid w:val="004D6EE1"/>
    <w:rsid w:val="004D6F0A"/>
    <w:rsid w:val="004D7071"/>
    <w:rsid w:val="004D75BB"/>
    <w:rsid w:val="004D7AB3"/>
    <w:rsid w:val="004E0405"/>
    <w:rsid w:val="004E083C"/>
    <w:rsid w:val="004E0CB7"/>
    <w:rsid w:val="004E0E50"/>
    <w:rsid w:val="004E0F23"/>
    <w:rsid w:val="004E124B"/>
    <w:rsid w:val="004E146F"/>
    <w:rsid w:val="004E18FE"/>
    <w:rsid w:val="004E19DB"/>
    <w:rsid w:val="004E217C"/>
    <w:rsid w:val="004E2723"/>
    <w:rsid w:val="004E289C"/>
    <w:rsid w:val="004E2976"/>
    <w:rsid w:val="004E3470"/>
    <w:rsid w:val="004E38F5"/>
    <w:rsid w:val="004E3A39"/>
    <w:rsid w:val="004E3A8D"/>
    <w:rsid w:val="004E3F1A"/>
    <w:rsid w:val="004E4102"/>
    <w:rsid w:val="004E4194"/>
    <w:rsid w:val="004E4A6D"/>
    <w:rsid w:val="004E4D55"/>
    <w:rsid w:val="004E5733"/>
    <w:rsid w:val="004E5A10"/>
    <w:rsid w:val="004E5A14"/>
    <w:rsid w:val="004E6935"/>
    <w:rsid w:val="004E7131"/>
    <w:rsid w:val="004E742E"/>
    <w:rsid w:val="004E78C7"/>
    <w:rsid w:val="004E795F"/>
    <w:rsid w:val="004E79AF"/>
    <w:rsid w:val="004E79FA"/>
    <w:rsid w:val="004E7F6E"/>
    <w:rsid w:val="004E7F9A"/>
    <w:rsid w:val="004F0040"/>
    <w:rsid w:val="004F00F8"/>
    <w:rsid w:val="004F0408"/>
    <w:rsid w:val="004F064E"/>
    <w:rsid w:val="004F0782"/>
    <w:rsid w:val="004F147F"/>
    <w:rsid w:val="004F1623"/>
    <w:rsid w:val="004F1627"/>
    <w:rsid w:val="004F177A"/>
    <w:rsid w:val="004F1A36"/>
    <w:rsid w:val="004F1B2F"/>
    <w:rsid w:val="004F1C72"/>
    <w:rsid w:val="004F1C8E"/>
    <w:rsid w:val="004F2188"/>
    <w:rsid w:val="004F26F4"/>
    <w:rsid w:val="004F28B2"/>
    <w:rsid w:val="004F2BD2"/>
    <w:rsid w:val="004F2BF6"/>
    <w:rsid w:val="004F2E2E"/>
    <w:rsid w:val="004F38A5"/>
    <w:rsid w:val="004F3C6F"/>
    <w:rsid w:val="004F3D6F"/>
    <w:rsid w:val="004F406C"/>
    <w:rsid w:val="004F4203"/>
    <w:rsid w:val="004F4C12"/>
    <w:rsid w:val="004F528E"/>
    <w:rsid w:val="004F5C2F"/>
    <w:rsid w:val="004F623A"/>
    <w:rsid w:val="004F6CB8"/>
    <w:rsid w:val="004F6D01"/>
    <w:rsid w:val="004F70BA"/>
    <w:rsid w:val="004F7E3B"/>
    <w:rsid w:val="004F7F05"/>
    <w:rsid w:val="004F7FA8"/>
    <w:rsid w:val="005003C4"/>
    <w:rsid w:val="0050041E"/>
    <w:rsid w:val="00500465"/>
    <w:rsid w:val="00500C0F"/>
    <w:rsid w:val="00500D5C"/>
    <w:rsid w:val="00501695"/>
    <w:rsid w:val="00502068"/>
    <w:rsid w:val="00502558"/>
    <w:rsid w:val="00502C3F"/>
    <w:rsid w:val="00502DE2"/>
    <w:rsid w:val="00503137"/>
    <w:rsid w:val="00503361"/>
    <w:rsid w:val="00503F54"/>
    <w:rsid w:val="00504145"/>
    <w:rsid w:val="00504693"/>
    <w:rsid w:val="00505049"/>
    <w:rsid w:val="00505328"/>
    <w:rsid w:val="00505396"/>
    <w:rsid w:val="00505441"/>
    <w:rsid w:val="00505668"/>
    <w:rsid w:val="00505717"/>
    <w:rsid w:val="00505723"/>
    <w:rsid w:val="00506095"/>
    <w:rsid w:val="00506347"/>
    <w:rsid w:val="00506C24"/>
    <w:rsid w:val="00506F69"/>
    <w:rsid w:val="005078E9"/>
    <w:rsid w:val="00507B6C"/>
    <w:rsid w:val="00510216"/>
    <w:rsid w:val="005105BB"/>
    <w:rsid w:val="00510B4C"/>
    <w:rsid w:val="00510EA8"/>
    <w:rsid w:val="00511201"/>
    <w:rsid w:val="005112AB"/>
    <w:rsid w:val="00511593"/>
    <w:rsid w:val="00511B88"/>
    <w:rsid w:val="00511BD3"/>
    <w:rsid w:val="0051236C"/>
    <w:rsid w:val="00512B61"/>
    <w:rsid w:val="00512CD7"/>
    <w:rsid w:val="00513218"/>
    <w:rsid w:val="0051348F"/>
    <w:rsid w:val="0051474D"/>
    <w:rsid w:val="0051484D"/>
    <w:rsid w:val="005149DF"/>
    <w:rsid w:val="00514B8F"/>
    <w:rsid w:val="00514C92"/>
    <w:rsid w:val="00514CF2"/>
    <w:rsid w:val="00514E69"/>
    <w:rsid w:val="00514F3F"/>
    <w:rsid w:val="0051524D"/>
    <w:rsid w:val="00515591"/>
    <w:rsid w:val="005156EC"/>
    <w:rsid w:val="005158B6"/>
    <w:rsid w:val="00515BC6"/>
    <w:rsid w:val="00515E35"/>
    <w:rsid w:val="005160EF"/>
    <w:rsid w:val="00516368"/>
    <w:rsid w:val="0051676B"/>
    <w:rsid w:val="00516C4F"/>
    <w:rsid w:val="0051749D"/>
    <w:rsid w:val="0051754F"/>
    <w:rsid w:val="0051780A"/>
    <w:rsid w:val="00517A60"/>
    <w:rsid w:val="00517C80"/>
    <w:rsid w:val="00517D36"/>
    <w:rsid w:val="0052020B"/>
    <w:rsid w:val="00520566"/>
    <w:rsid w:val="00520B1E"/>
    <w:rsid w:val="005216DD"/>
    <w:rsid w:val="0052182F"/>
    <w:rsid w:val="005219C9"/>
    <w:rsid w:val="0052206D"/>
    <w:rsid w:val="005228B2"/>
    <w:rsid w:val="00522CF7"/>
    <w:rsid w:val="005230F1"/>
    <w:rsid w:val="005233EA"/>
    <w:rsid w:val="0052342E"/>
    <w:rsid w:val="00523E09"/>
    <w:rsid w:val="00523FE3"/>
    <w:rsid w:val="005241FC"/>
    <w:rsid w:val="00524400"/>
    <w:rsid w:val="00524E76"/>
    <w:rsid w:val="005257CC"/>
    <w:rsid w:val="005259FB"/>
    <w:rsid w:val="0052637A"/>
    <w:rsid w:val="00526964"/>
    <w:rsid w:val="00526A0F"/>
    <w:rsid w:val="00526F70"/>
    <w:rsid w:val="005270DF"/>
    <w:rsid w:val="0052743E"/>
    <w:rsid w:val="00527A2E"/>
    <w:rsid w:val="00527D4B"/>
    <w:rsid w:val="00530682"/>
    <w:rsid w:val="005306A0"/>
    <w:rsid w:val="00530884"/>
    <w:rsid w:val="00530B25"/>
    <w:rsid w:val="00530DF5"/>
    <w:rsid w:val="00531153"/>
    <w:rsid w:val="0053171C"/>
    <w:rsid w:val="005322CF"/>
    <w:rsid w:val="0053253F"/>
    <w:rsid w:val="005325AA"/>
    <w:rsid w:val="00532880"/>
    <w:rsid w:val="005329EB"/>
    <w:rsid w:val="00532F56"/>
    <w:rsid w:val="00533D6F"/>
    <w:rsid w:val="00533E28"/>
    <w:rsid w:val="005348E0"/>
    <w:rsid w:val="00535171"/>
    <w:rsid w:val="00535623"/>
    <w:rsid w:val="00535637"/>
    <w:rsid w:val="005356AB"/>
    <w:rsid w:val="00535EB0"/>
    <w:rsid w:val="00537736"/>
    <w:rsid w:val="00537BFD"/>
    <w:rsid w:val="00537E01"/>
    <w:rsid w:val="00540430"/>
    <w:rsid w:val="005407E6"/>
    <w:rsid w:val="0054098B"/>
    <w:rsid w:val="00541262"/>
    <w:rsid w:val="0054161F"/>
    <w:rsid w:val="0054173E"/>
    <w:rsid w:val="00541788"/>
    <w:rsid w:val="005421BE"/>
    <w:rsid w:val="00542739"/>
    <w:rsid w:val="00542890"/>
    <w:rsid w:val="00542C73"/>
    <w:rsid w:val="00542F46"/>
    <w:rsid w:val="00543052"/>
    <w:rsid w:val="00543179"/>
    <w:rsid w:val="00543872"/>
    <w:rsid w:val="0054404E"/>
    <w:rsid w:val="005440FD"/>
    <w:rsid w:val="0054475A"/>
    <w:rsid w:val="005447B8"/>
    <w:rsid w:val="00544FAD"/>
    <w:rsid w:val="005454C1"/>
    <w:rsid w:val="00546499"/>
    <w:rsid w:val="00546A8C"/>
    <w:rsid w:val="005476D8"/>
    <w:rsid w:val="00547AFA"/>
    <w:rsid w:val="00547DF2"/>
    <w:rsid w:val="00550092"/>
    <w:rsid w:val="005500E0"/>
    <w:rsid w:val="005503AF"/>
    <w:rsid w:val="005508BC"/>
    <w:rsid w:val="00550C84"/>
    <w:rsid w:val="00550ED5"/>
    <w:rsid w:val="0055111D"/>
    <w:rsid w:val="005514B8"/>
    <w:rsid w:val="005518B3"/>
    <w:rsid w:val="00551D9C"/>
    <w:rsid w:val="00551F0F"/>
    <w:rsid w:val="00552191"/>
    <w:rsid w:val="00552279"/>
    <w:rsid w:val="00552812"/>
    <w:rsid w:val="00553202"/>
    <w:rsid w:val="00553276"/>
    <w:rsid w:val="00553448"/>
    <w:rsid w:val="0055378D"/>
    <w:rsid w:val="00554097"/>
    <w:rsid w:val="00554468"/>
    <w:rsid w:val="005544D6"/>
    <w:rsid w:val="005549F3"/>
    <w:rsid w:val="00554B7B"/>
    <w:rsid w:val="00554C48"/>
    <w:rsid w:val="00554CE7"/>
    <w:rsid w:val="00555417"/>
    <w:rsid w:val="005557CC"/>
    <w:rsid w:val="005558CB"/>
    <w:rsid w:val="005562D1"/>
    <w:rsid w:val="0055642C"/>
    <w:rsid w:val="00556561"/>
    <w:rsid w:val="00556636"/>
    <w:rsid w:val="005568A3"/>
    <w:rsid w:val="00556ED9"/>
    <w:rsid w:val="00556FDB"/>
    <w:rsid w:val="0055734C"/>
    <w:rsid w:val="00557752"/>
    <w:rsid w:val="00557769"/>
    <w:rsid w:val="00557919"/>
    <w:rsid w:val="00557B96"/>
    <w:rsid w:val="00557E2E"/>
    <w:rsid w:val="00560079"/>
    <w:rsid w:val="00560236"/>
    <w:rsid w:val="005602F4"/>
    <w:rsid w:val="00560E36"/>
    <w:rsid w:val="005611B2"/>
    <w:rsid w:val="005613CD"/>
    <w:rsid w:val="00561598"/>
    <w:rsid w:val="00561DA8"/>
    <w:rsid w:val="00561E8E"/>
    <w:rsid w:val="00562631"/>
    <w:rsid w:val="005628F5"/>
    <w:rsid w:val="00562A79"/>
    <w:rsid w:val="00562EE7"/>
    <w:rsid w:val="005636E7"/>
    <w:rsid w:val="00563AA3"/>
    <w:rsid w:val="00563D49"/>
    <w:rsid w:val="00563EFC"/>
    <w:rsid w:val="00564A77"/>
    <w:rsid w:val="00564AAD"/>
    <w:rsid w:val="00564DCF"/>
    <w:rsid w:val="00565718"/>
    <w:rsid w:val="00565D8E"/>
    <w:rsid w:val="0056620F"/>
    <w:rsid w:val="00566A88"/>
    <w:rsid w:val="00566D1A"/>
    <w:rsid w:val="00566FA5"/>
    <w:rsid w:val="00566FF6"/>
    <w:rsid w:val="00567185"/>
    <w:rsid w:val="005672BA"/>
    <w:rsid w:val="0056750E"/>
    <w:rsid w:val="00567812"/>
    <w:rsid w:val="0057083A"/>
    <w:rsid w:val="00570FE9"/>
    <w:rsid w:val="00571085"/>
    <w:rsid w:val="005711AA"/>
    <w:rsid w:val="00571361"/>
    <w:rsid w:val="0057151A"/>
    <w:rsid w:val="005715B8"/>
    <w:rsid w:val="005723FD"/>
    <w:rsid w:val="00572630"/>
    <w:rsid w:val="005728B7"/>
    <w:rsid w:val="00572B11"/>
    <w:rsid w:val="00573509"/>
    <w:rsid w:val="005736A6"/>
    <w:rsid w:val="00573966"/>
    <w:rsid w:val="00573CAD"/>
    <w:rsid w:val="00573FE4"/>
    <w:rsid w:val="00574077"/>
    <w:rsid w:val="00574412"/>
    <w:rsid w:val="00575261"/>
    <w:rsid w:val="00575F57"/>
    <w:rsid w:val="005762F3"/>
    <w:rsid w:val="00576634"/>
    <w:rsid w:val="005772CC"/>
    <w:rsid w:val="00577843"/>
    <w:rsid w:val="00577E93"/>
    <w:rsid w:val="005805D3"/>
    <w:rsid w:val="00580D61"/>
    <w:rsid w:val="00580ED4"/>
    <w:rsid w:val="00581032"/>
    <w:rsid w:val="0058140E"/>
    <w:rsid w:val="00581697"/>
    <w:rsid w:val="0058170B"/>
    <w:rsid w:val="00582620"/>
    <w:rsid w:val="00582C20"/>
    <w:rsid w:val="00582C79"/>
    <w:rsid w:val="00582CDC"/>
    <w:rsid w:val="00582E9E"/>
    <w:rsid w:val="00582F9A"/>
    <w:rsid w:val="00582FBD"/>
    <w:rsid w:val="0058347D"/>
    <w:rsid w:val="0058429A"/>
    <w:rsid w:val="00584CE1"/>
    <w:rsid w:val="00584D81"/>
    <w:rsid w:val="00584E59"/>
    <w:rsid w:val="00585434"/>
    <w:rsid w:val="0058599D"/>
    <w:rsid w:val="00585F6A"/>
    <w:rsid w:val="00586B52"/>
    <w:rsid w:val="00586B5F"/>
    <w:rsid w:val="00586D42"/>
    <w:rsid w:val="00586E18"/>
    <w:rsid w:val="00587700"/>
    <w:rsid w:val="00587766"/>
    <w:rsid w:val="005877FF"/>
    <w:rsid w:val="005902E0"/>
    <w:rsid w:val="00590736"/>
    <w:rsid w:val="00590CB9"/>
    <w:rsid w:val="00590DE9"/>
    <w:rsid w:val="00590F93"/>
    <w:rsid w:val="0059109E"/>
    <w:rsid w:val="005911D8"/>
    <w:rsid w:val="00591E10"/>
    <w:rsid w:val="00591FA3"/>
    <w:rsid w:val="005921B2"/>
    <w:rsid w:val="005926C7"/>
    <w:rsid w:val="005938E4"/>
    <w:rsid w:val="00593B52"/>
    <w:rsid w:val="00593CE5"/>
    <w:rsid w:val="0059410F"/>
    <w:rsid w:val="0059465E"/>
    <w:rsid w:val="005947BB"/>
    <w:rsid w:val="00595009"/>
    <w:rsid w:val="0059507A"/>
    <w:rsid w:val="005961F4"/>
    <w:rsid w:val="00596575"/>
    <w:rsid w:val="0059718D"/>
    <w:rsid w:val="00597857"/>
    <w:rsid w:val="005979A8"/>
    <w:rsid w:val="00597C2F"/>
    <w:rsid w:val="00597D46"/>
    <w:rsid w:val="00597EA4"/>
    <w:rsid w:val="005A069F"/>
    <w:rsid w:val="005A083C"/>
    <w:rsid w:val="005A0B48"/>
    <w:rsid w:val="005A0D24"/>
    <w:rsid w:val="005A2718"/>
    <w:rsid w:val="005A2BF8"/>
    <w:rsid w:val="005A2E68"/>
    <w:rsid w:val="005A36D9"/>
    <w:rsid w:val="005A3802"/>
    <w:rsid w:val="005A4B1E"/>
    <w:rsid w:val="005A4C5C"/>
    <w:rsid w:val="005A4F51"/>
    <w:rsid w:val="005A4FC6"/>
    <w:rsid w:val="005A5457"/>
    <w:rsid w:val="005A5C47"/>
    <w:rsid w:val="005A5C49"/>
    <w:rsid w:val="005A5DCB"/>
    <w:rsid w:val="005A5F84"/>
    <w:rsid w:val="005A64B2"/>
    <w:rsid w:val="005A65B9"/>
    <w:rsid w:val="005A6DDC"/>
    <w:rsid w:val="005A6F91"/>
    <w:rsid w:val="005A73BF"/>
    <w:rsid w:val="005A74E1"/>
    <w:rsid w:val="005A75D7"/>
    <w:rsid w:val="005A7A23"/>
    <w:rsid w:val="005B00ED"/>
    <w:rsid w:val="005B023A"/>
    <w:rsid w:val="005B05ED"/>
    <w:rsid w:val="005B0790"/>
    <w:rsid w:val="005B0B23"/>
    <w:rsid w:val="005B0E33"/>
    <w:rsid w:val="005B0FD2"/>
    <w:rsid w:val="005B1012"/>
    <w:rsid w:val="005B15CD"/>
    <w:rsid w:val="005B1C72"/>
    <w:rsid w:val="005B1D73"/>
    <w:rsid w:val="005B1F00"/>
    <w:rsid w:val="005B1F6B"/>
    <w:rsid w:val="005B22FE"/>
    <w:rsid w:val="005B243C"/>
    <w:rsid w:val="005B257C"/>
    <w:rsid w:val="005B26CD"/>
    <w:rsid w:val="005B27E6"/>
    <w:rsid w:val="005B285D"/>
    <w:rsid w:val="005B2A4F"/>
    <w:rsid w:val="005B2B92"/>
    <w:rsid w:val="005B2BAA"/>
    <w:rsid w:val="005B2C3B"/>
    <w:rsid w:val="005B2FBF"/>
    <w:rsid w:val="005B302C"/>
    <w:rsid w:val="005B37DC"/>
    <w:rsid w:val="005B595A"/>
    <w:rsid w:val="005B5AED"/>
    <w:rsid w:val="005B64B8"/>
    <w:rsid w:val="005B6A4B"/>
    <w:rsid w:val="005B6AC3"/>
    <w:rsid w:val="005B6F5A"/>
    <w:rsid w:val="005B70D8"/>
    <w:rsid w:val="005B7FE1"/>
    <w:rsid w:val="005C045C"/>
    <w:rsid w:val="005C0BB3"/>
    <w:rsid w:val="005C0BF2"/>
    <w:rsid w:val="005C0E17"/>
    <w:rsid w:val="005C15C5"/>
    <w:rsid w:val="005C171A"/>
    <w:rsid w:val="005C2491"/>
    <w:rsid w:val="005C25B0"/>
    <w:rsid w:val="005C274D"/>
    <w:rsid w:val="005C2B60"/>
    <w:rsid w:val="005C2CEB"/>
    <w:rsid w:val="005C300F"/>
    <w:rsid w:val="005C3319"/>
    <w:rsid w:val="005C3349"/>
    <w:rsid w:val="005C34AE"/>
    <w:rsid w:val="005C363D"/>
    <w:rsid w:val="005C3D1E"/>
    <w:rsid w:val="005C3DD3"/>
    <w:rsid w:val="005C3E0A"/>
    <w:rsid w:val="005C5516"/>
    <w:rsid w:val="005C5574"/>
    <w:rsid w:val="005C56CF"/>
    <w:rsid w:val="005C5A6A"/>
    <w:rsid w:val="005C5DB0"/>
    <w:rsid w:val="005C5F9E"/>
    <w:rsid w:val="005C5FD0"/>
    <w:rsid w:val="005C6532"/>
    <w:rsid w:val="005C6EFE"/>
    <w:rsid w:val="005C7299"/>
    <w:rsid w:val="005C7668"/>
    <w:rsid w:val="005C7859"/>
    <w:rsid w:val="005C7DAE"/>
    <w:rsid w:val="005C7E6E"/>
    <w:rsid w:val="005C7F3D"/>
    <w:rsid w:val="005D0090"/>
    <w:rsid w:val="005D079C"/>
    <w:rsid w:val="005D0D2D"/>
    <w:rsid w:val="005D12DE"/>
    <w:rsid w:val="005D15C6"/>
    <w:rsid w:val="005D16F5"/>
    <w:rsid w:val="005D1995"/>
    <w:rsid w:val="005D27D4"/>
    <w:rsid w:val="005D285A"/>
    <w:rsid w:val="005D2F2E"/>
    <w:rsid w:val="005D31FA"/>
    <w:rsid w:val="005D36BF"/>
    <w:rsid w:val="005D3886"/>
    <w:rsid w:val="005D3FA5"/>
    <w:rsid w:val="005D402F"/>
    <w:rsid w:val="005D4034"/>
    <w:rsid w:val="005D4795"/>
    <w:rsid w:val="005D47D4"/>
    <w:rsid w:val="005D4E47"/>
    <w:rsid w:val="005D4EB1"/>
    <w:rsid w:val="005D573E"/>
    <w:rsid w:val="005D57E6"/>
    <w:rsid w:val="005D57F2"/>
    <w:rsid w:val="005D5FCB"/>
    <w:rsid w:val="005D61C6"/>
    <w:rsid w:val="005D6327"/>
    <w:rsid w:val="005D6A44"/>
    <w:rsid w:val="005D6D77"/>
    <w:rsid w:val="005D6EA8"/>
    <w:rsid w:val="005D7083"/>
    <w:rsid w:val="005D714D"/>
    <w:rsid w:val="005D727B"/>
    <w:rsid w:val="005D73EE"/>
    <w:rsid w:val="005D7465"/>
    <w:rsid w:val="005D771E"/>
    <w:rsid w:val="005D7755"/>
    <w:rsid w:val="005D7B2E"/>
    <w:rsid w:val="005E089C"/>
    <w:rsid w:val="005E0A58"/>
    <w:rsid w:val="005E0CCB"/>
    <w:rsid w:val="005E0D23"/>
    <w:rsid w:val="005E11A2"/>
    <w:rsid w:val="005E11D5"/>
    <w:rsid w:val="005E12AA"/>
    <w:rsid w:val="005E1AFB"/>
    <w:rsid w:val="005E1D60"/>
    <w:rsid w:val="005E1FB3"/>
    <w:rsid w:val="005E22FE"/>
    <w:rsid w:val="005E2653"/>
    <w:rsid w:val="005E272E"/>
    <w:rsid w:val="005E27D2"/>
    <w:rsid w:val="005E2934"/>
    <w:rsid w:val="005E3402"/>
    <w:rsid w:val="005E36EA"/>
    <w:rsid w:val="005E50ED"/>
    <w:rsid w:val="005E5235"/>
    <w:rsid w:val="005E5BDA"/>
    <w:rsid w:val="005E5C44"/>
    <w:rsid w:val="005E5EA3"/>
    <w:rsid w:val="005E606C"/>
    <w:rsid w:val="005E64F0"/>
    <w:rsid w:val="005E6537"/>
    <w:rsid w:val="005E67CD"/>
    <w:rsid w:val="005E6AC3"/>
    <w:rsid w:val="005E7201"/>
    <w:rsid w:val="005E7275"/>
    <w:rsid w:val="005E73EC"/>
    <w:rsid w:val="005E7A6A"/>
    <w:rsid w:val="005E7BE2"/>
    <w:rsid w:val="005E7DC0"/>
    <w:rsid w:val="005F0525"/>
    <w:rsid w:val="005F0EC6"/>
    <w:rsid w:val="005F12CB"/>
    <w:rsid w:val="005F1376"/>
    <w:rsid w:val="005F13CD"/>
    <w:rsid w:val="005F1408"/>
    <w:rsid w:val="005F1A56"/>
    <w:rsid w:val="005F1AAF"/>
    <w:rsid w:val="005F1C8D"/>
    <w:rsid w:val="005F206C"/>
    <w:rsid w:val="005F21A4"/>
    <w:rsid w:val="005F2307"/>
    <w:rsid w:val="005F2B24"/>
    <w:rsid w:val="005F2B81"/>
    <w:rsid w:val="005F2E55"/>
    <w:rsid w:val="005F386F"/>
    <w:rsid w:val="005F3AAD"/>
    <w:rsid w:val="005F3C5A"/>
    <w:rsid w:val="005F3FD9"/>
    <w:rsid w:val="005F4113"/>
    <w:rsid w:val="005F4CA9"/>
    <w:rsid w:val="005F5442"/>
    <w:rsid w:val="005F55FC"/>
    <w:rsid w:val="005F5985"/>
    <w:rsid w:val="005F5F3E"/>
    <w:rsid w:val="005F5FB3"/>
    <w:rsid w:val="005F6BCD"/>
    <w:rsid w:val="005F6C18"/>
    <w:rsid w:val="005F6FD1"/>
    <w:rsid w:val="005F7C60"/>
    <w:rsid w:val="00601C12"/>
    <w:rsid w:val="006025FA"/>
    <w:rsid w:val="0060383A"/>
    <w:rsid w:val="00603A2C"/>
    <w:rsid w:val="00603D71"/>
    <w:rsid w:val="006043B1"/>
    <w:rsid w:val="00604B56"/>
    <w:rsid w:val="00604EFA"/>
    <w:rsid w:val="00605CD9"/>
    <w:rsid w:val="00605D1B"/>
    <w:rsid w:val="006064F2"/>
    <w:rsid w:val="006069D0"/>
    <w:rsid w:val="006076BE"/>
    <w:rsid w:val="006077A5"/>
    <w:rsid w:val="006077A6"/>
    <w:rsid w:val="00607B04"/>
    <w:rsid w:val="00610382"/>
    <w:rsid w:val="00610411"/>
    <w:rsid w:val="0061083A"/>
    <w:rsid w:val="0061098F"/>
    <w:rsid w:val="006117DD"/>
    <w:rsid w:val="00612281"/>
    <w:rsid w:val="006122A3"/>
    <w:rsid w:val="00612385"/>
    <w:rsid w:val="006127A0"/>
    <w:rsid w:val="0061282D"/>
    <w:rsid w:val="00612C7A"/>
    <w:rsid w:val="00612F1D"/>
    <w:rsid w:val="00613EA2"/>
    <w:rsid w:val="00614758"/>
    <w:rsid w:val="00614B9E"/>
    <w:rsid w:val="00615687"/>
    <w:rsid w:val="006157E9"/>
    <w:rsid w:val="00615870"/>
    <w:rsid w:val="00616679"/>
    <w:rsid w:val="00616AEC"/>
    <w:rsid w:val="00616B0E"/>
    <w:rsid w:val="00616B6B"/>
    <w:rsid w:val="00616F36"/>
    <w:rsid w:val="00617C31"/>
    <w:rsid w:val="00617CD9"/>
    <w:rsid w:val="00617E39"/>
    <w:rsid w:val="00617FD7"/>
    <w:rsid w:val="00617FD8"/>
    <w:rsid w:val="00621069"/>
    <w:rsid w:val="00621568"/>
    <w:rsid w:val="00621838"/>
    <w:rsid w:val="00621A14"/>
    <w:rsid w:val="0062214B"/>
    <w:rsid w:val="0062220E"/>
    <w:rsid w:val="006223EB"/>
    <w:rsid w:val="00622567"/>
    <w:rsid w:val="00622574"/>
    <w:rsid w:val="006235BD"/>
    <w:rsid w:val="00623652"/>
    <w:rsid w:val="00623ED3"/>
    <w:rsid w:val="006240F9"/>
    <w:rsid w:val="0062471B"/>
    <w:rsid w:val="00624B8E"/>
    <w:rsid w:val="00624F71"/>
    <w:rsid w:val="00624FCE"/>
    <w:rsid w:val="00625421"/>
    <w:rsid w:val="006254B0"/>
    <w:rsid w:val="006255B0"/>
    <w:rsid w:val="00625C39"/>
    <w:rsid w:val="0062607D"/>
    <w:rsid w:val="006260BA"/>
    <w:rsid w:val="00626BEE"/>
    <w:rsid w:val="00626CB4"/>
    <w:rsid w:val="00627268"/>
    <w:rsid w:val="0062764A"/>
    <w:rsid w:val="006276C1"/>
    <w:rsid w:val="00627D90"/>
    <w:rsid w:val="00627FB8"/>
    <w:rsid w:val="0063066F"/>
    <w:rsid w:val="006306CB"/>
    <w:rsid w:val="0063095F"/>
    <w:rsid w:val="00630BAC"/>
    <w:rsid w:val="00630EEB"/>
    <w:rsid w:val="00631663"/>
    <w:rsid w:val="006316AF"/>
    <w:rsid w:val="00631C69"/>
    <w:rsid w:val="006332BD"/>
    <w:rsid w:val="006333AF"/>
    <w:rsid w:val="006333D3"/>
    <w:rsid w:val="0063346E"/>
    <w:rsid w:val="0063363F"/>
    <w:rsid w:val="00633924"/>
    <w:rsid w:val="00633EDE"/>
    <w:rsid w:val="00634FD2"/>
    <w:rsid w:val="0063559F"/>
    <w:rsid w:val="00635D1C"/>
    <w:rsid w:val="00636B3A"/>
    <w:rsid w:val="00636C2F"/>
    <w:rsid w:val="00636E92"/>
    <w:rsid w:val="0063706A"/>
    <w:rsid w:val="006370EA"/>
    <w:rsid w:val="0063743E"/>
    <w:rsid w:val="00637504"/>
    <w:rsid w:val="00637D5E"/>
    <w:rsid w:val="00637E04"/>
    <w:rsid w:val="00640548"/>
    <w:rsid w:val="00640732"/>
    <w:rsid w:val="00640D58"/>
    <w:rsid w:val="006414B2"/>
    <w:rsid w:val="00641FE9"/>
    <w:rsid w:val="00642146"/>
    <w:rsid w:val="00642514"/>
    <w:rsid w:val="00642845"/>
    <w:rsid w:val="00642A6A"/>
    <w:rsid w:val="00642BD4"/>
    <w:rsid w:val="00642DB1"/>
    <w:rsid w:val="00642E8B"/>
    <w:rsid w:val="00643CAB"/>
    <w:rsid w:val="00643EB3"/>
    <w:rsid w:val="00644070"/>
    <w:rsid w:val="0064425F"/>
    <w:rsid w:val="0064431B"/>
    <w:rsid w:val="00644449"/>
    <w:rsid w:val="006446C5"/>
    <w:rsid w:val="00644842"/>
    <w:rsid w:val="00644857"/>
    <w:rsid w:val="00644C43"/>
    <w:rsid w:val="006453D3"/>
    <w:rsid w:val="006455EE"/>
    <w:rsid w:val="006456F0"/>
    <w:rsid w:val="00645BAC"/>
    <w:rsid w:val="00645FAA"/>
    <w:rsid w:val="00646583"/>
    <w:rsid w:val="006469B6"/>
    <w:rsid w:val="006478A2"/>
    <w:rsid w:val="00647E7C"/>
    <w:rsid w:val="006501C4"/>
    <w:rsid w:val="00650389"/>
    <w:rsid w:val="00650BA8"/>
    <w:rsid w:val="00651812"/>
    <w:rsid w:val="00651C4A"/>
    <w:rsid w:val="00651D2F"/>
    <w:rsid w:val="00651EAE"/>
    <w:rsid w:val="00651F44"/>
    <w:rsid w:val="0065223B"/>
    <w:rsid w:val="00652663"/>
    <w:rsid w:val="00652BD2"/>
    <w:rsid w:val="00652C1E"/>
    <w:rsid w:val="00652D0A"/>
    <w:rsid w:val="006533E3"/>
    <w:rsid w:val="0065357B"/>
    <w:rsid w:val="006541BA"/>
    <w:rsid w:val="00654355"/>
    <w:rsid w:val="00654405"/>
    <w:rsid w:val="006546F9"/>
    <w:rsid w:val="00655233"/>
    <w:rsid w:val="00655E27"/>
    <w:rsid w:val="00657126"/>
    <w:rsid w:val="0065748A"/>
    <w:rsid w:val="00657941"/>
    <w:rsid w:val="00657D03"/>
    <w:rsid w:val="00660339"/>
    <w:rsid w:val="00660C9B"/>
    <w:rsid w:val="00661570"/>
    <w:rsid w:val="00661EC2"/>
    <w:rsid w:val="0066217E"/>
    <w:rsid w:val="006621EA"/>
    <w:rsid w:val="006627C9"/>
    <w:rsid w:val="00662FEF"/>
    <w:rsid w:val="0066349B"/>
    <w:rsid w:val="00663501"/>
    <w:rsid w:val="0066373D"/>
    <w:rsid w:val="00663FAA"/>
    <w:rsid w:val="00664A62"/>
    <w:rsid w:val="0066502D"/>
    <w:rsid w:val="006651CB"/>
    <w:rsid w:val="00665979"/>
    <w:rsid w:val="00665A3A"/>
    <w:rsid w:val="00665BE8"/>
    <w:rsid w:val="006661E8"/>
    <w:rsid w:val="00666303"/>
    <w:rsid w:val="0066652D"/>
    <w:rsid w:val="00666688"/>
    <w:rsid w:val="0066668B"/>
    <w:rsid w:val="0066682F"/>
    <w:rsid w:val="0066683F"/>
    <w:rsid w:val="00666DC7"/>
    <w:rsid w:val="00666DD4"/>
    <w:rsid w:val="00667146"/>
    <w:rsid w:val="0066727D"/>
    <w:rsid w:val="006672CB"/>
    <w:rsid w:val="006674B6"/>
    <w:rsid w:val="006675B1"/>
    <w:rsid w:val="00667668"/>
    <w:rsid w:val="006678D0"/>
    <w:rsid w:val="00667C0F"/>
    <w:rsid w:val="00667FA3"/>
    <w:rsid w:val="0067049F"/>
    <w:rsid w:val="006705D4"/>
    <w:rsid w:val="00670AF9"/>
    <w:rsid w:val="00670EF5"/>
    <w:rsid w:val="00671044"/>
    <w:rsid w:val="006715EB"/>
    <w:rsid w:val="006721AA"/>
    <w:rsid w:val="00672220"/>
    <w:rsid w:val="006722FD"/>
    <w:rsid w:val="006725F7"/>
    <w:rsid w:val="00672626"/>
    <w:rsid w:val="00672A4C"/>
    <w:rsid w:val="0067320A"/>
    <w:rsid w:val="006734F9"/>
    <w:rsid w:val="0067382E"/>
    <w:rsid w:val="006738EF"/>
    <w:rsid w:val="00673AD5"/>
    <w:rsid w:val="00673B31"/>
    <w:rsid w:val="00673CCD"/>
    <w:rsid w:val="00674052"/>
    <w:rsid w:val="00674563"/>
    <w:rsid w:val="006748DE"/>
    <w:rsid w:val="00674A52"/>
    <w:rsid w:val="00674DCD"/>
    <w:rsid w:val="00674EFC"/>
    <w:rsid w:val="00674F18"/>
    <w:rsid w:val="0067571D"/>
    <w:rsid w:val="00675D61"/>
    <w:rsid w:val="00675F24"/>
    <w:rsid w:val="0067674D"/>
    <w:rsid w:val="00676799"/>
    <w:rsid w:val="006769D2"/>
    <w:rsid w:val="0067745A"/>
    <w:rsid w:val="006776D6"/>
    <w:rsid w:val="006778F8"/>
    <w:rsid w:val="006779B2"/>
    <w:rsid w:val="00677E67"/>
    <w:rsid w:val="00677F53"/>
    <w:rsid w:val="006800AE"/>
    <w:rsid w:val="006801A1"/>
    <w:rsid w:val="0068073F"/>
    <w:rsid w:val="00680CF5"/>
    <w:rsid w:val="00680F86"/>
    <w:rsid w:val="006810D3"/>
    <w:rsid w:val="0068118E"/>
    <w:rsid w:val="00681361"/>
    <w:rsid w:val="00681AF9"/>
    <w:rsid w:val="00681C1C"/>
    <w:rsid w:val="00681D14"/>
    <w:rsid w:val="00681F88"/>
    <w:rsid w:val="006821B0"/>
    <w:rsid w:val="00682519"/>
    <w:rsid w:val="00682860"/>
    <w:rsid w:val="00682E0C"/>
    <w:rsid w:val="006834FF"/>
    <w:rsid w:val="00683914"/>
    <w:rsid w:val="00684527"/>
    <w:rsid w:val="00684B56"/>
    <w:rsid w:val="00684E2D"/>
    <w:rsid w:val="00684E66"/>
    <w:rsid w:val="00684FB9"/>
    <w:rsid w:val="0068558C"/>
    <w:rsid w:val="00685888"/>
    <w:rsid w:val="00686063"/>
    <w:rsid w:val="006869F6"/>
    <w:rsid w:val="00686C2A"/>
    <w:rsid w:val="006878A9"/>
    <w:rsid w:val="00687A66"/>
    <w:rsid w:val="00687B34"/>
    <w:rsid w:val="00690284"/>
    <w:rsid w:val="006904DA"/>
    <w:rsid w:val="006912C4"/>
    <w:rsid w:val="00691638"/>
    <w:rsid w:val="00691BC2"/>
    <w:rsid w:val="00692184"/>
    <w:rsid w:val="006927EB"/>
    <w:rsid w:val="00692824"/>
    <w:rsid w:val="00692A54"/>
    <w:rsid w:val="00692EA5"/>
    <w:rsid w:val="00692ED6"/>
    <w:rsid w:val="00692FA0"/>
    <w:rsid w:val="00693972"/>
    <w:rsid w:val="00693F40"/>
    <w:rsid w:val="0069405D"/>
    <w:rsid w:val="0069544F"/>
    <w:rsid w:val="00695C44"/>
    <w:rsid w:val="00695F78"/>
    <w:rsid w:val="006961EA"/>
    <w:rsid w:val="006963CC"/>
    <w:rsid w:val="00696CFE"/>
    <w:rsid w:val="0069739A"/>
    <w:rsid w:val="00697964"/>
    <w:rsid w:val="00697AD2"/>
    <w:rsid w:val="006A05C7"/>
    <w:rsid w:val="006A0D3C"/>
    <w:rsid w:val="006A0DEA"/>
    <w:rsid w:val="006A0EDD"/>
    <w:rsid w:val="006A10E7"/>
    <w:rsid w:val="006A1A35"/>
    <w:rsid w:val="006A1CA6"/>
    <w:rsid w:val="006A1FE5"/>
    <w:rsid w:val="006A236D"/>
    <w:rsid w:val="006A24D4"/>
    <w:rsid w:val="006A2FBE"/>
    <w:rsid w:val="006A3204"/>
    <w:rsid w:val="006A382D"/>
    <w:rsid w:val="006A3E5C"/>
    <w:rsid w:val="006A3EDD"/>
    <w:rsid w:val="006A4B31"/>
    <w:rsid w:val="006A53E9"/>
    <w:rsid w:val="006A61D2"/>
    <w:rsid w:val="006A61F3"/>
    <w:rsid w:val="006A640A"/>
    <w:rsid w:val="006A660D"/>
    <w:rsid w:val="006A6A95"/>
    <w:rsid w:val="006A6D94"/>
    <w:rsid w:val="006B0236"/>
    <w:rsid w:val="006B0548"/>
    <w:rsid w:val="006B0CE7"/>
    <w:rsid w:val="006B0E47"/>
    <w:rsid w:val="006B15C7"/>
    <w:rsid w:val="006B1C54"/>
    <w:rsid w:val="006B1CB5"/>
    <w:rsid w:val="006B1E19"/>
    <w:rsid w:val="006B1F74"/>
    <w:rsid w:val="006B1FBA"/>
    <w:rsid w:val="006B2387"/>
    <w:rsid w:val="006B25C4"/>
    <w:rsid w:val="006B2708"/>
    <w:rsid w:val="006B27EA"/>
    <w:rsid w:val="006B3D7A"/>
    <w:rsid w:val="006B3D93"/>
    <w:rsid w:val="006B4425"/>
    <w:rsid w:val="006B4505"/>
    <w:rsid w:val="006B4C1E"/>
    <w:rsid w:val="006B4E9A"/>
    <w:rsid w:val="006B5299"/>
    <w:rsid w:val="006B5845"/>
    <w:rsid w:val="006B5E92"/>
    <w:rsid w:val="006B6253"/>
    <w:rsid w:val="006B66EC"/>
    <w:rsid w:val="006B68F7"/>
    <w:rsid w:val="006B6BD4"/>
    <w:rsid w:val="006B6CB7"/>
    <w:rsid w:val="006B6CF3"/>
    <w:rsid w:val="006B7197"/>
    <w:rsid w:val="006B71F0"/>
    <w:rsid w:val="006B77C0"/>
    <w:rsid w:val="006B7F9D"/>
    <w:rsid w:val="006C007D"/>
    <w:rsid w:val="006C01C7"/>
    <w:rsid w:val="006C0B4D"/>
    <w:rsid w:val="006C1499"/>
    <w:rsid w:val="006C157F"/>
    <w:rsid w:val="006C178E"/>
    <w:rsid w:val="006C20CD"/>
    <w:rsid w:val="006C2224"/>
    <w:rsid w:val="006C226A"/>
    <w:rsid w:val="006C273C"/>
    <w:rsid w:val="006C2FC4"/>
    <w:rsid w:val="006C3131"/>
    <w:rsid w:val="006C36AD"/>
    <w:rsid w:val="006C36F6"/>
    <w:rsid w:val="006C3AB1"/>
    <w:rsid w:val="006C3C6F"/>
    <w:rsid w:val="006C49CA"/>
    <w:rsid w:val="006C4AA0"/>
    <w:rsid w:val="006C4E01"/>
    <w:rsid w:val="006C4E41"/>
    <w:rsid w:val="006C50AB"/>
    <w:rsid w:val="006C5427"/>
    <w:rsid w:val="006C5881"/>
    <w:rsid w:val="006C588B"/>
    <w:rsid w:val="006C5F02"/>
    <w:rsid w:val="006C67C5"/>
    <w:rsid w:val="006C6A90"/>
    <w:rsid w:val="006C6B3C"/>
    <w:rsid w:val="006C719B"/>
    <w:rsid w:val="006C77E8"/>
    <w:rsid w:val="006C789F"/>
    <w:rsid w:val="006D0318"/>
    <w:rsid w:val="006D06A9"/>
    <w:rsid w:val="006D072A"/>
    <w:rsid w:val="006D0867"/>
    <w:rsid w:val="006D086B"/>
    <w:rsid w:val="006D091B"/>
    <w:rsid w:val="006D09E5"/>
    <w:rsid w:val="006D10C0"/>
    <w:rsid w:val="006D1539"/>
    <w:rsid w:val="006D1F53"/>
    <w:rsid w:val="006D2722"/>
    <w:rsid w:val="006D335E"/>
    <w:rsid w:val="006D359C"/>
    <w:rsid w:val="006D3992"/>
    <w:rsid w:val="006D3B86"/>
    <w:rsid w:val="006D3D12"/>
    <w:rsid w:val="006D419E"/>
    <w:rsid w:val="006D4394"/>
    <w:rsid w:val="006D48C5"/>
    <w:rsid w:val="006D48E5"/>
    <w:rsid w:val="006D4D74"/>
    <w:rsid w:val="006D50E3"/>
    <w:rsid w:val="006D50EE"/>
    <w:rsid w:val="006D5372"/>
    <w:rsid w:val="006D5458"/>
    <w:rsid w:val="006D5717"/>
    <w:rsid w:val="006D5C5A"/>
    <w:rsid w:val="006D661C"/>
    <w:rsid w:val="006D661D"/>
    <w:rsid w:val="006D6B32"/>
    <w:rsid w:val="006D7075"/>
    <w:rsid w:val="006D7200"/>
    <w:rsid w:val="006D7715"/>
    <w:rsid w:val="006D787D"/>
    <w:rsid w:val="006E0CFB"/>
    <w:rsid w:val="006E0D51"/>
    <w:rsid w:val="006E0F2D"/>
    <w:rsid w:val="006E10DF"/>
    <w:rsid w:val="006E1366"/>
    <w:rsid w:val="006E1AD8"/>
    <w:rsid w:val="006E2899"/>
    <w:rsid w:val="006E295E"/>
    <w:rsid w:val="006E2D72"/>
    <w:rsid w:val="006E2E39"/>
    <w:rsid w:val="006E2EFE"/>
    <w:rsid w:val="006E30FB"/>
    <w:rsid w:val="006E3214"/>
    <w:rsid w:val="006E3611"/>
    <w:rsid w:val="006E3E4D"/>
    <w:rsid w:val="006E3EE4"/>
    <w:rsid w:val="006E4C92"/>
    <w:rsid w:val="006E53C8"/>
    <w:rsid w:val="006E5590"/>
    <w:rsid w:val="006E5A43"/>
    <w:rsid w:val="006E5EA5"/>
    <w:rsid w:val="006E6328"/>
    <w:rsid w:val="006E6859"/>
    <w:rsid w:val="006E6A6B"/>
    <w:rsid w:val="006E6DE8"/>
    <w:rsid w:val="006E7582"/>
    <w:rsid w:val="006E7D1D"/>
    <w:rsid w:val="006F0E47"/>
    <w:rsid w:val="006F1370"/>
    <w:rsid w:val="006F14CC"/>
    <w:rsid w:val="006F1F09"/>
    <w:rsid w:val="006F203B"/>
    <w:rsid w:val="006F238D"/>
    <w:rsid w:val="006F2787"/>
    <w:rsid w:val="006F2822"/>
    <w:rsid w:val="006F3160"/>
    <w:rsid w:val="006F322E"/>
    <w:rsid w:val="006F39D2"/>
    <w:rsid w:val="006F3BC9"/>
    <w:rsid w:val="006F3D61"/>
    <w:rsid w:val="006F3DAC"/>
    <w:rsid w:val="006F4B3D"/>
    <w:rsid w:val="006F4E3F"/>
    <w:rsid w:val="006F4E4C"/>
    <w:rsid w:val="006F4FEE"/>
    <w:rsid w:val="006F6180"/>
    <w:rsid w:val="006F6661"/>
    <w:rsid w:val="006F6839"/>
    <w:rsid w:val="006F699C"/>
    <w:rsid w:val="006F6A22"/>
    <w:rsid w:val="006F6FBA"/>
    <w:rsid w:val="006F7B64"/>
    <w:rsid w:val="007002AF"/>
    <w:rsid w:val="007002D3"/>
    <w:rsid w:val="007005BC"/>
    <w:rsid w:val="00700954"/>
    <w:rsid w:val="0070130F"/>
    <w:rsid w:val="007017AF"/>
    <w:rsid w:val="00702220"/>
    <w:rsid w:val="00702567"/>
    <w:rsid w:val="007026C5"/>
    <w:rsid w:val="00703072"/>
    <w:rsid w:val="00703201"/>
    <w:rsid w:val="00703642"/>
    <w:rsid w:val="00703811"/>
    <w:rsid w:val="007039DD"/>
    <w:rsid w:val="00703AAD"/>
    <w:rsid w:val="00703B62"/>
    <w:rsid w:val="007047E6"/>
    <w:rsid w:val="0070488C"/>
    <w:rsid w:val="00705399"/>
    <w:rsid w:val="007058AB"/>
    <w:rsid w:val="00706813"/>
    <w:rsid w:val="00706D4A"/>
    <w:rsid w:val="007074D2"/>
    <w:rsid w:val="00707AF0"/>
    <w:rsid w:val="00707CF6"/>
    <w:rsid w:val="0071030F"/>
    <w:rsid w:val="007103D7"/>
    <w:rsid w:val="00710F5F"/>
    <w:rsid w:val="00710FEA"/>
    <w:rsid w:val="0071112C"/>
    <w:rsid w:val="007111A9"/>
    <w:rsid w:val="00711232"/>
    <w:rsid w:val="0071131A"/>
    <w:rsid w:val="0071168F"/>
    <w:rsid w:val="00711B7B"/>
    <w:rsid w:val="00711C2D"/>
    <w:rsid w:val="007123A6"/>
    <w:rsid w:val="00712918"/>
    <w:rsid w:val="00712F5D"/>
    <w:rsid w:val="0071329F"/>
    <w:rsid w:val="00713327"/>
    <w:rsid w:val="00713A20"/>
    <w:rsid w:val="00714AF2"/>
    <w:rsid w:val="00714D91"/>
    <w:rsid w:val="007154D7"/>
    <w:rsid w:val="00715531"/>
    <w:rsid w:val="007158EB"/>
    <w:rsid w:val="007159D7"/>
    <w:rsid w:val="007161ED"/>
    <w:rsid w:val="00716C54"/>
    <w:rsid w:val="00717289"/>
    <w:rsid w:val="007175C6"/>
    <w:rsid w:val="00720E3E"/>
    <w:rsid w:val="007217B0"/>
    <w:rsid w:val="007217ED"/>
    <w:rsid w:val="00721FA8"/>
    <w:rsid w:val="007222DD"/>
    <w:rsid w:val="007224BB"/>
    <w:rsid w:val="007225C2"/>
    <w:rsid w:val="00722949"/>
    <w:rsid w:val="007229B3"/>
    <w:rsid w:val="00723028"/>
    <w:rsid w:val="00723A42"/>
    <w:rsid w:val="00723AA2"/>
    <w:rsid w:val="007240AB"/>
    <w:rsid w:val="00724427"/>
    <w:rsid w:val="00724645"/>
    <w:rsid w:val="00724A0D"/>
    <w:rsid w:val="007255B3"/>
    <w:rsid w:val="00726872"/>
    <w:rsid w:val="00726963"/>
    <w:rsid w:val="0072732F"/>
    <w:rsid w:val="00727888"/>
    <w:rsid w:val="00727B6F"/>
    <w:rsid w:val="00727C2D"/>
    <w:rsid w:val="00730BC0"/>
    <w:rsid w:val="007310B7"/>
    <w:rsid w:val="00731224"/>
    <w:rsid w:val="00731BB6"/>
    <w:rsid w:val="00731D56"/>
    <w:rsid w:val="00732188"/>
    <w:rsid w:val="007325D3"/>
    <w:rsid w:val="00732ACB"/>
    <w:rsid w:val="007336EE"/>
    <w:rsid w:val="00733861"/>
    <w:rsid w:val="00733AC2"/>
    <w:rsid w:val="00733B35"/>
    <w:rsid w:val="0073431B"/>
    <w:rsid w:val="00734373"/>
    <w:rsid w:val="007347CB"/>
    <w:rsid w:val="00734891"/>
    <w:rsid w:val="00734ADF"/>
    <w:rsid w:val="00734C26"/>
    <w:rsid w:val="007352CB"/>
    <w:rsid w:val="007358AD"/>
    <w:rsid w:val="007359A9"/>
    <w:rsid w:val="00735A89"/>
    <w:rsid w:val="00735D43"/>
    <w:rsid w:val="00736874"/>
    <w:rsid w:val="0073699C"/>
    <w:rsid w:val="0073728E"/>
    <w:rsid w:val="007376F1"/>
    <w:rsid w:val="00737C40"/>
    <w:rsid w:val="00737D54"/>
    <w:rsid w:val="00737FB2"/>
    <w:rsid w:val="00740478"/>
    <w:rsid w:val="00740589"/>
    <w:rsid w:val="00740616"/>
    <w:rsid w:val="00741641"/>
    <w:rsid w:val="0074178F"/>
    <w:rsid w:val="00742582"/>
    <w:rsid w:val="00742970"/>
    <w:rsid w:val="007429DE"/>
    <w:rsid w:val="0074394F"/>
    <w:rsid w:val="00743D37"/>
    <w:rsid w:val="00744175"/>
    <w:rsid w:val="0074497A"/>
    <w:rsid w:val="007449AC"/>
    <w:rsid w:val="007449DE"/>
    <w:rsid w:val="00744AFE"/>
    <w:rsid w:val="00744E62"/>
    <w:rsid w:val="00744F44"/>
    <w:rsid w:val="007457F6"/>
    <w:rsid w:val="00745D88"/>
    <w:rsid w:val="00746EB3"/>
    <w:rsid w:val="00746EEB"/>
    <w:rsid w:val="00746FD9"/>
    <w:rsid w:val="00747343"/>
    <w:rsid w:val="007479AA"/>
    <w:rsid w:val="007479D8"/>
    <w:rsid w:val="00747A86"/>
    <w:rsid w:val="00747BAC"/>
    <w:rsid w:val="00747CCF"/>
    <w:rsid w:val="00747F8E"/>
    <w:rsid w:val="007505E6"/>
    <w:rsid w:val="00750658"/>
    <w:rsid w:val="007508BF"/>
    <w:rsid w:val="00750CA7"/>
    <w:rsid w:val="00750F39"/>
    <w:rsid w:val="00750F82"/>
    <w:rsid w:val="00751055"/>
    <w:rsid w:val="007513BD"/>
    <w:rsid w:val="00751534"/>
    <w:rsid w:val="00751553"/>
    <w:rsid w:val="0075187F"/>
    <w:rsid w:val="00752731"/>
    <w:rsid w:val="0075287C"/>
    <w:rsid w:val="007537B8"/>
    <w:rsid w:val="007540CA"/>
    <w:rsid w:val="00754152"/>
    <w:rsid w:val="007541C2"/>
    <w:rsid w:val="00754AD0"/>
    <w:rsid w:val="0075567B"/>
    <w:rsid w:val="00755C78"/>
    <w:rsid w:val="007561F8"/>
    <w:rsid w:val="007564FA"/>
    <w:rsid w:val="007565BC"/>
    <w:rsid w:val="00756688"/>
    <w:rsid w:val="007568E7"/>
    <w:rsid w:val="00756C22"/>
    <w:rsid w:val="00756CDB"/>
    <w:rsid w:val="00756D2D"/>
    <w:rsid w:val="00756FCC"/>
    <w:rsid w:val="00757A0B"/>
    <w:rsid w:val="0076078B"/>
    <w:rsid w:val="0076095F"/>
    <w:rsid w:val="0076199F"/>
    <w:rsid w:val="00761A71"/>
    <w:rsid w:val="007622EA"/>
    <w:rsid w:val="00762A6F"/>
    <w:rsid w:val="00762FEC"/>
    <w:rsid w:val="00763099"/>
    <w:rsid w:val="00763613"/>
    <w:rsid w:val="00763726"/>
    <w:rsid w:val="00763FA8"/>
    <w:rsid w:val="00764887"/>
    <w:rsid w:val="00764E82"/>
    <w:rsid w:val="00765101"/>
    <w:rsid w:val="007656BE"/>
    <w:rsid w:val="00765A50"/>
    <w:rsid w:val="00765BE0"/>
    <w:rsid w:val="00766229"/>
    <w:rsid w:val="007662E2"/>
    <w:rsid w:val="00766496"/>
    <w:rsid w:val="0076661B"/>
    <w:rsid w:val="007667A7"/>
    <w:rsid w:val="00766E47"/>
    <w:rsid w:val="0076757E"/>
    <w:rsid w:val="00767B73"/>
    <w:rsid w:val="007701F3"/>
    <w:rsid w:val="007701FF"/>
    <w:rsid w:val="007708B6"/>
    <w:rsid w:val="00771272"/>
    <w:rsid w:val="007714C3"/>
    <w:rsid w:val="00772A5A"/>
    <w:rsid w:val="00772A77"/>
    <w:rsid w:val="00773540"/>
    <w:rsid w:val="00774508"/>
    <w:rsid w:val="00774942"/>
    <w:rsid w:val="00774F79"/>
    <w:rsid w:val="0077565D"/>
    <w:rsid w:val="007757D8"/>
    <w:rsid w:val="0077658B"/>
    <w:rsid w:val="00776768"/>
    <w:rsid w:val="00776774"/>
    <w:rsid w:val="0077686F"/>
    <w:rsid w:val="00776B8D"/>
    <w:rsid w:val="007770D5"/>
    <w:rsid w:val="00777128"/>
    <w:rsid w:val="00777177"/>
    <w:rsid w:val="00777750"/>
    <w:rsid w:val="00777795"/>
    <w:rsid w:val="00780050"/>
    <w:rsid w:val="007803E5"/>
    <w:rsid w:val="00780935"/>
    <w:rsid w:val="00780D4D"/>
    <w:rsid w:val="00781788"/>
    <w:rsid w:val="00781B13"/>
    <w:rsid w:val="00781F33"/>
    <w:rsid w:val="0078224D"/>
    <w:rsid w:val="0078299B"/>
    <w:rsid w:val="00782E54"/>
    <w:rsid w:val="00782E97"/>
    <w:rsid w:val="00782EF5"/>
    <w:rsid w:val="0078320E"/>
    <w:rsid w:val="00783590"/>
    <w:rsid w:val="007836A3"/>
    <w:rsid w:val="00783738"/>
    <w:rsid w:val="007839B7"/>
    <w:rsid w:val="00784073"/>
    <w:rsid w:val="007840AF"/>
    <w:rsid w:val="00784220"/>
    <w:rsid w:val="00784DC5"/>
    <w:rsid w:val="00784F1A"/>
    <w:rsid w:val="007850A7"/>
    <w:rsid w:val="007857C0"/>
    <w:rsid w:val="00785B26"/>
    <w:rsid w:val="00786024"/>
    <w:rsid w:val="00786116"/>
    <w:rsid w:val="007861D9"/>
    <w:rsid w:val="00786262"/>
    <w:rsid w:val="00786440"/>
    <w:rsid w:val="00786DEF"/>
    <w:rsid w:val="00787E45"/>
    <w:rsid w:val="00787F70"/>
    <w:rsid w:val="00790032"/>
    <w:rsid w:val="0079005A"/>
    <w:rsid w:val="00790167"/>
    <w:rsid w:val="00790C53"/>
    <w:rsid w:val="00790DCE"/>
    <w:rsid w:val="0079170C"/>
    <w:rsid w:val="007918E3"/>
    <w:rsid w:val="00791BB7"/>
    <w:rsid w:val="0079286A"/>
    <w:rsid w:val="00792A64"/>
    <w:rsid w:val="00792ABD"/>
    <w:rsid w:val="00792B73"/>
    <w:rsid w:val="00793478"/>
    <w:rsid w:val="0079387F"/>
    <w:rsid w:val="00793B10"/>
    <w:rsid w:val="00793F49"/>
    <w:rsid w:val="0079405A"/>
    <w:rsid w:val="00794859"/>
    <w:rsid w:val="00794CB1"/>
    <w:rsid w:val="00794DA6"/>
    <w:rsid w:val="00795DF6"/>
    <w:rsid w:val="00796146"/>
    <w:rsid w:val="007961CB"/>
    <w:rsid w:val="00796A1D"/>
    <w:rsid w:val="00796E5C"/>
    <w:rsid w:val="007977D0"/>
    <w:rsid w:val="00797888"/>
    <w:rsid w:val="00797959"/>
    <w:rsid w:val="007A01EB"/>
    <w:rsid w:val="007A0345"/>
    <w:rsid w:val="007A0522"/>
    <w:rsid w:val="007A08B4"/>
    <w:rsid w:val="007A0DD9"/>
    <w:rsid w:val="007A1072"/>
    <w:rsid w:val="007A1087"/>
    <w:rsid w:val="007A11E2"/>
    <w:rsid w:val="007A133D"/>
    <w:rsid w:val="007A142D"/>
    <w:rsid w:val="007A192A"/>
    <w:rsid w:val="007A1A49"/>
    <w:rsid w:val="007A1C80"/>
    <w:rsid w:val="007A2612"/>
    <w:rsid w:val="007A284D"/>
    <w:rsid w:val="007A28F9"/>
    <w:rsid w:val="007A305B"/>
    <w:rsid w:val="007A332B"/>
    <w:rsid w:val="007A3959"/>
    <w:rsid w:val="007A3C54"/>
    <w:rsid w:val="007A3C88"/>
    <w:rsid w:val="007A4458"/>
    <w:rsid w:val="007A4520"/>
    <w:rsid w:val="007A4914"/>
    <w:rsid w:val="007A51BB"/>
    <w:rsid w:val="007A5B82"/>
    <w:rsid w:val="007A5BA8"/>
    <w:rsid w:val="007A5D88"/>
    <w:rsid w:val="007A603C"/>
    <w:rsid w:val="007A6436"/>
    <w:rsid w:val="007A6928"/>
    <w:rsid w:val="007A78BE"/>
    <w:rsid w:val="007A7951"/>
    <w:rsid w:val="007A7A40"/>
    <w:rsid w:val="007A7FCA"/>
    <w:rsid w:val="007B012F"/>
    <w:rsid w:val="007B0132"/>
    <w:rsid w:val="007B0458"/>
    <w:rsid w:val="007B08E9"/>
    <w:rsid w:val="007B0ED8"/>
    <w:rsid w:val="007B1421"/>
    <w:rsid w:val="007B1476"/>
    <w:rsid w:val="007B1660"/>
    <w:rsid w:val="007B1737"/>
    <w:rsid w:val="007B1D6C"/>
    <w:rsid w:val="007B1D8D"/>
    <w:rsid w:val="007B1EB0"/>
    <w:rsid w:val="007B2915"/>
    <w:rsid w:val="007B2F16"/>
    <w:rsid w:val="007B3048"/>
    <w:rsid w:val="007B3130"/>
    <w:rsid w:val="007B49B2"/>
    <w:rsid w:val="007B49FA"/>
    <w:rsid w:val="007B5213"/>
    <w:rsid w:val="007B5325"/>
    <w:rsid w:val="007B5912"/>
    <w:rsid w:val="007B5BAE"/>
    <w:rsid w:val="007B5EA4"/>
    <w:rsid w:val="007B722A"/>
    <w:rsid w:val="007B775C"/>
    <w:rsid w:val="007C004E"/>
    <w:rsid w:val="007C02B9"/>
    <w:rsid w:val="007C148A"/>
    <w:rsid w:val="007C19DE"/>
    <w:rsid w:val="007C19E2"/>
    <w:rsid w:val="007C1A97"/>
    <w:rsid w:val="007C23CB"/>
    <w:rsid w:val="007C25A9"/>
    <w:rsid w:val="007C284D"/>
    <w:rsid w:val="007C3641"/>
    <w:rsid w:val="007C39D8"/>
    <w:rsid w:val="007C3AA1"/>
    <w:rsid w:val="007C3C80"/>
    <w:rsid w:val="007C4842"/>
    <w:rsid w:val="007C496C"/>
    <w:rsid w:val="007C4CCD"/>
    <w:rsid w:val="007C576C"/>
    <w:rsid w:val="007C5882"/>
    <w:rsid w:val="007C5C73"/>
    <w:rsid w:val="007C6960"/>
    <w:rsid w:val="007C6CE7"/>
    <w:rsid w:val="007C6E16"/>
    <w:rsid w:val="007C6F15"/>
    <w:rsid w:val="007C735D"/>
    <w:rsid w:val="007C7617"/>
    <w:rsid w:val="007C796B"/>
    <w:rsid w:val="007C7BE0"/>
    <w:rsid w:val="007C7D4E"/>
    <w:rsid w:val="007C7DD0"/>
    <w:rsid w:val="007D022E"/>
    <w:rsid w:val="007D052E"/>
    <w:rsid w:val="007D07A8"/>
    <w:rsid w:val="007D0F74"/>
    <w:rsid w:val="007D119D"/>
    <w:rsid w:val="007D127C"/>
    <w:rsid w:val="007D16D0"/>
    <w:rsid w:val="007D268D"/>
    <w:rsid w:val="007D28DC"/>
    <w:rsid w:val="007D298C"/>
    <w:rsid w:val="007D2F4F"/>
    <w:rsid w:val="007D3651"/>
    <w:rsid w:val="007D37A8"/>
    <w:rsid w:val="007D383E"/>
    <w:rsid w:val="007D38CA"/>
    <w:rsid w:val="007D3C92"/>
    <w:rsid w:val="007D3E28"/>
    <w:rsid w:val="007D4AE9"/>
    <w:rsid w:val="007D4E6F"/>
    <w:rsid w:val="007D55F7"/>
    <w:rsid w:val="007D56A6"/>
    <w:rsid w:val="007D5A40"/>
    <w:rsid w:val="007D5C15"/>
    <w:rsid w:val="007D5E89"/>
    <w:rsid w:val="007D6162"/>
    <w:rsid w:val="007D6164"/>
    <w:rsid w:val="007D61C7"/>
    <w:rsid w:val="007D6B79"/>
    <w:rsid w:val="007D6EA6"/>
    <w:rsid w:val="007D70F9"/>
    <w:rsid w:val="007D714E"/>
    <w:rsid w:val="007D78D2"/>
    <w:rsid w:val="007D7BA1"/>
    <w:rsid w:val="007E0744"/>
    <w:rsid w:val="007E07A3"/>
    <w:rsid w:val="007E1198"/>
    <w:rsid w:val="007E1ABC"/>
    <w:rsid w:val="007E230B"/>
    <w:rsid w:val="007E2681"/>
    <w:rsid w:val="007E29AB"/>
    <w:rsid w:val="007E2FDF"/>
    <w:rsid w:val="007E32FF"/>
    <w:rsid w:val="007E39A1"/>
    <w:rsid w:val="007E44C2"/>
    <w:rsid w:val="007E4677"/>
    <w:rsid w:val="007E495D"/>
    <w:rsid w:val="007E49F5"/>
    <w:rsid w:val="007E4B2D"/>
    <w:rsid w:val="007E507B"/>
    <w:rsid w:val="007E5210"/>
    <w:rsid w:val="007E53F9"/>
    <w:rsid w:val="007E5CEC"/>
    <w:rsid w:val="007E5F20"/>
    <w:rsid w:val="007E624E"/>
    <w:rsid w:val="007E7483"/>
    <w:rsid w:val="007E760E"/>
    <w:rsid w:val="007E7746"/>
    <w:rsid w:val="007E7C4E"/>
    <w:rsid w:val="007F0273"/>
    <w:rsid w:val="007F0E6B"/>
    <w:rsid w:val="007F126A"/>
    <w:rsid w:val="007F13A4"/>
    <w:rsid w:val="007F1AFE"/>
    <w:rsid w:val="007F2AFD"/>
    <w:rsid w:val="007F2DD5"/>
    <w:rsid w:val="007F304C"/>
    <w:rsid w:val="007F37D9"/>
    <w:rsid w:val="007F3A05"/>
    <w:rsid w:val="007F48C4"/>
    <w:rsid w:val="007F4918"/>
    <w:rsid w:val="007F4A1F"/>
    <w:rsid w:val="007F4DB2"/>
    <w:rsid w:val="007F4E59"/>
    <w:rsid w:val="007F4EC0"/>
    <w:rsid w:val="007F50BE"/>
    <w:rsid w:val="007F583C"/>
    <w:rsid w:val="007F627C"/>
    <w:rsid w:val="007F677F"/>
    <w:rsid w:val="007F6824"/>
    <w:rsid w:val="007F69C2"/>
    <w:rsid w:val="007F6EF2"/>
    <w:rsid w:val="007F70B5"/>
    <w:rsid w:val="007F73CF"/>
    <w:rsid w:val="007F75B8"/>
    <w:rsid w:val="007F7628"/>
    <w:rsid w:val="007F779B"/>
    <w:rsid w:val="007F79F7"/>
    <w:rsid w:val="008001CD"/>
    <w:rsid w:val="008005D5"/>
    <w:rsid w:val="00800797"/>
    <w:rsid w:val="00800EE6"/>
    <w:rsid w:val="008010B5"/>
    <w:rsid w:val="008013E8"/>
    <w:rsid w:val="008015DF"/>
    <w:rsid w:val="008016B9"/>
    <w:rsid w:val="00801C22"/>
    <w:rsid w:val="00801DF4"/>
    <w:rsid w:val="008024C3"/>
    <w:rsid w:val="008028C9"/>
    <w:rsid w:val="00802F5F"/>
    <w:rsid w:val="008031F0"/>
    <w:rsid w:val="008036AC"/>
    <w:rsid w:val="0080388D"/>
    <w:rsid w:val="00803B6B"/>
    <w:rsid w:val="00803C3D"/>
    <w:rsid w:val="00804070"/>
    <w:rsid w:val="008055B4"/>
    <w:rsid w:val="008058B8"/>
    <w:rsid w:val="008058C9"/>
    <w:rsid w:val="00805EF5"/>
    <w:rsid w:val="00806433"/>
    <w:rsid w:val="0080657E"/>
    <w:rsid w:val="008068BD"/>
    <w:rsid w:val="00807253"/>
    <w:rsid w:val="008073A8"/>
    <w:rsid w:val="00807DB0"/>
    <w:rsid w:val="00810161"/>
    <w:rsid w:val="008101F4"/>
    <w:rsid w:val="0081089E"/>
    <w:rsid w:val="00810E4B"/>
    <w:rsid w:val="008110A4"/>
    <w:rsid w:val="008112B1"/>
    <w:rsid w:val="008118B2"/>
    <w:rsid w:val="00811F03"/>
    <w:rsid w:val="008128E2"/>
    <w:rsid w:val="00812C4F"/>
    <w:rsid w:val="00813049"/>
    <w:rsid w:val="0081320E"/>
    <w:rsid w:val="008141EB"/>
    <w:rsid w:val="008142BE"/>
    <w:rsid w:val="00814574"/>
    <w:rsid w:val="00814918"/>
    <w:rsid w:val="00814C41"/>
    <w:rsid w:val="008150D6"/>
    <w:rsid w:val="008155E6"/>
    <w:rsid w:val="00815DE7"/>
    <w:rsid w:val="00816362"/>
    <w:rsid w:val="00816914"/>
    <w:rsid w:val="00816A4B"/>
    <w:rsid w:val="00816B7C"/>
    <w:rsid w:val="00816D8E"/>
    <w:rsid w:val="00817CB2"/>
    <w:rsid w:val="008200D0"/>
    <w:rsid w:val="0082023B"/>
    <w:rsid w:val="008205A8"/>
    <w:rsid w:val="00820651"/>
    <w:rsid w:val="00820990"/>
    <w:rsid w:val="00820AF8"/>
    <w:rsid w:val="00820B7E"/>
    <w:rsid w:val="00820E22"/>
    <w:rsid w:val="0082112D"/>
    <w:rsid w:val="00821D6D"/>
    <w:rsid w:val="00821D9B"/>
    <w:rsid w:val="00822385"/>
    <w:rsid w:val="00822478"/>
    <w:rsid w:val="008225E2"/>
    <w:rsid w:val="008227CE"/>
    <w:rsid w:val="00822FC5"/>
    <w:rsid w:val="008230E1"/>
    <w:rsid w:val="008233A0"/>
    <w:rsid w:val="00823AF4"/>
    <w:rsid w:val="00823DAA"/>
    <w:rsid w:val="0082446F"/>
    <w:rsid w:val="00824615"/>
    <w:rsid w:val="00824D67"/>
    <w:rsid w:val="008251F6"/>
    <w:rsid w:val="00825296"/>
    <w:rsid w:val="00825923"/>
    <w:rsid w:val="00826579"/>
    <w:rsid w:val="00826781"/>
    <w:rsid w:val="00826A25"/>
    <w:rsid w:val="00826D29"/>
    <w:rsid w:val="00826E67"/>
    <w:rsid w:val="00827014"/>
    <w:rsid w:val="00827317"/>
    <w:rsid w:val="00827BBB"/>
    <w:rsid w:val="00827D19"/>
    <w:rsid w:val="008301A8"/>
    <w:rsid w:val="00830788"/>
    <w:rsid w:val="00830D6E"/>
    <w:rsid w:val="00831218"/>
    <w:rsid w:val="008316E0"/>
    <w:rsid w:val="00831755"/>
    <w:rsid w:val="00831A5D"/>
    <w:rsid w:val="00831AC1"/>
    <w:rsid w:val="00831B1C"/>
    <w:rsid w:val="008325D1"/>
    <w:rsid w:val="00832904"/>
    <w:rsid w:val="00833252"/>
    <w:rsid w:val="008332EC"/>
    <w:rsid w:val="008336B8"/>
    <w:rsid w:val="00833C55"/>
    <w:rsid w:val="008341F6"/>
    <w:rsid w:val="00834C2D"/>
    <w:rsid w:val="008352AF"/>
    <w:rsid w:val="00835DCE"/>
    <w:rsid w:val="008360CE"/>
    <w:rsid w:val="00836B23"/>
    <w:rsid w:val="00836E8D"/>
    <w:rsid w:val="00837C39"/>
    <w:rsid w:val="00837D86"/>
    <w:rsid w:val="008411E1"/>
    <w:rsid w:val="0084167D"/>
    <w:rsid w:val="008419ED"/>
    <w:rsid w:val="00841F8D"/>
    <w:rsid w:val="008422BF"/>
    <w:rsid w:val="0084247D"/>
    <w:rsid w:val="00842ACC"/>
    <w:rsid w:val="00842CD5"/>
    <w:rsid w:val="00842D7B"/>
    <w:rsid w:val="00842EB4"/>
    <w:rsid w:val="00843229"/>
    <w:rsid w:val="0084381D"/>
    <w:rsid w:val="0084466B"/>
    <w:rsid w:val="00844785"/>
    <w:rsid w:val="008447B0"/>
    <w:rsid w:val="0084532F"/>
    <w:rsid w:val="008453AD"/>
    <w:rsid w:val="008456EC"/>
    <w:rsid w:val="00845A42"/>
    <w:rsid w:val="00845A82"/>
    <w:rsid w:val="00845D53"/>
    <w:rsid w:val="008475D4"/>
    <w:rsid w:val="00847E27"/>
    <w:rsid w:val="0085038B"/>
    <w:rsid w:val="00850452"/>
    <w:rsid w:val="008506C0"/>
    <w:rsid w:val="0085099E"/>
    <w:rsid w:val="00851057"/>
    <w:rsid w:val="00851092"/>
    <w:rsid w:val="00851428"/>
    <w:rsid w:val="0085143A"/>
    <w:rsid w:val="00851F2F"/>
    <w:rsid w:val="008523CD"/>
    <w:rsid w:val="0085266B"/>
    <w:rsid w:val="00852C9E"/>
    <w:rsid w:val="00853DB1"/>
    <w:rsid w:val="00854097"/>
    <w:rsid w:val="008541AE"/>
    <w:rsid w:val="008544A1"/>
    <w:rsid w:val="00854C81"/>
    <w:rsid w:val="0085506C"/>
    <w:rsid w:val="00855294"/>
    <w:rsid w:val="00855939"/>
    <w:rsid w:val="00855CA1"/>
    <w:rsid w:val="00855DA6"/>
    <w:rsid w:val="008561E4"/>
    <w:rsid w:val="00856976"/>
    <w:rsid w:val="00856CCE"/>
    <w:rsid w:val="0085735B"/>
    <w:rsid w:val="00857576"/>
    <w:rsid w:val="008603D9"/>
    <w:rsid w:val="00860491"/>
    <w:rsid w:val="00860A37"/>
    <w:rsid w:val="00860EB0"/>
    <w:rsid w:val="00860ECA"/>
    <w:rsid w:val="00860FC9"/>
    <w:rsid w:val="008616D3"/>
    <w:rsid w:val="008619A5"/>
    <w:rsid w:val="008619B2"/>
    <w:rsid w:val="008619C5"/>
    <w:rsid w:val="00861EFC"/>
    <w:rsid w:val="008634B7"/>
    <w:rsid w:val="008637D2"/>
    <w:rsid w:val="00863872"/>
    <w:rsid w:val="00863EEA"/>
    <w:rsid w:val="00863EF3"/>
    <w:rsid w:val="0086432F"/>
    <w:rsid w:val="00864CBC"/>
    <w:rsid w:val="0086506B"/>
    <w:rsid w:val="0086594C"/>
    <w:rsid w:val="00865CC9"/>
    <w:rsid w:val="00865D79"/>
    <w:rsid w:val="00865EDF"/>
    <w:rsid w:val="008669FE"/>
    <w:rsid w:val="00866ACE"/>
    <w:rsid w:val="00866CCB"/>
    <w:rsid w:val="00867498"/>
    <w:rsid w:val="0086781E"/>
    <w:rsid w:val="00867E4C"/>
    <w:rsid w:val="008705B7"/>
    <w:rsid w:val="00871234"/>
    <w:rsid w:val="008712F1"/>
    <w:rsid w:val="00871760"/>
    <w:rsid w:val="008718D8"/>
    <w:rsid w:val="00871F79"/>
    <w:rsid w:val="008721E1"/>
    <w:rsid w:val="008730FE"/>
    <w:rsid w:val="008732DC"/>
    <w:rsid w:val="00873B1F"/>
    <w:rsid w:val="008747C1"/>
    <w:rsid w:val="00874C4E"/>
    <w:rsid w:val="00874E8F"/>
    <w:rsid w:val="0087506D"/>
    <w:rsid w:val="0087543E"/>
    <w:rsid w:val="00875A15"/>
    <w:rsid w:val="00875AB7"/>
    <w:rsid w:val="00875B12"/>
    <w:rsid w:val="00875B3F"/>
    <w:rsid w:val="008762EC"/>
    <w:rsid w:val="00876394"/>
    <w:rsid w:val="008765E1"/>
    <w:rsid w:val="0087692A"/>
    <w:rsid w:val="00876A3B"/>
    <w:rsid w:val="00876D2F"/>
    <w:rsid w:val="008773D1"/>
    <w:rsid w:val="008774FE"/>
    <w:rsid w:val="00877CAF"/>
    <w:rsid w:val="008804DC"/>
    <w:rsid w:val="008805BF"/>
    <w:rsid w:val="008809D3"/>
    <w:rsid w:val="008817E2"/>
    <w:rsid w:val="00881EE0"/>
    <w:rsid w:val="00882107"/>
    <w:rsid w:val="00882232"/>
    <w:rsid w:val="00882C8C"/>
    <w:rsid w:val="0088390B"/>
    <w:rsid w:val="0088413C"/>
    <w:rsid w:val="008845DB"/>
    <w:rsid w:val="00884928"/>
    <w:rsid w:val="0088496C"/>
    <w:rsid w:val="008855BC"/>
    <w:rsid w:val="00885914"/>
    <w:rsid w:val="00886598"/>
    <w:rsid w:val="0088675B"/>
    <w:rsid w:val="008867AB"/>
    <w:rsid w:val="00886ED6"/>
    <w:rsid w:val="00886F70"/>
    <w:rsid w:val="00887504"/>
    <w:rsid w:val="00887544"/>
    <w:rsid w:val="0088776C"/>
    <w:rsid w:val="00887AF8"/>
    <w:rsid w:val="00890527"/>
    <w:rsid w:val="00890D5F"/>
    <w:rsid w:val="00890DF3"/>
    <w:rsid w:val="00890FF1"/>
    <w:rsid w:val="00891D85"/>
    <w:rsid w:val="00891DE9"/>
    <w:rsid w:val="00892200"/>
    <w:rsid w:val="008923B7"/>
    <w:rsid w:val="0089307A"/>
    <w:rsid w:val="00893F4C"/>
    <w:rsid w:val="00894308"/>
    <w:rsid w:val="00894AEF"/>
    <w:rsid w:val="00894DA7"/>
    <w:rsid w:val="00894FD8"/>
    <w:rsid w:val="008950CC"/>
    <w:rsid w:val="00895F96"/>
    <w:rsid w:val="00896145"/>
    <w:rsid w:val="008961FF"/>
    <w:rsid w:val="0089631F"/>
    <w:rsid w:val="00896625"/>
    <w:rsid w:val="0089679B"/>
    <w:rsid w:val="00896822"/>
    <w:rsid w:val="00896BCC"/>
    <w:rsid w:val="0089736B"/>
    <w:rsid w:val="00897805"/>
    <w:rsid w:val="008A0098"/>
    <w:rsid w:val="008A0684"/>
    <w:rsid w:val="008A06CC"/>
    <w:rsid w:val="008A0808"/>
    <w:rsid w:val="008A147B"/>
    <w:rsid w:val="008A183E"/>
    <w:rsid w:val="008A1B41"/>
    <w:rsid w:val="008A1DA1"/>
    <w:rsid w:val="008A237F"/>
    <w:rsid w:val="008A2975"/>
    <w:rsid w:val="008A3034"/>
    <w:rsid w:val="008A306F"/>
    <w:rsid w:val="008A3725"/>
    <w:rsid w:val="008A3FAA"/>
    <w:rsid w:val="008A4D12"/>
    <w:rsid w:val="008A50B6"/>
    <w:rsid w:val="008A5399"/>
    <w:rsid w:val="008A5CEF"/>
    <w:rsid w:val="008A5F2D"/>
    <w:rsid w:val="008A71F2"/>
    <w:rsid w:val="008A7215"/>
    <w:rsid w:val="008A73D6"/>
    <w:rsid w:val="008A753B"/>
    <w:rsid w:val="008B072C"/>
    <w:rsid w:val="008B123C"/>
    <w:rsid w:val="008B1C68"/>
    <w:rsid w:val="008B1F6A"/>
    <w:rsid w:val="008B1FE9"/>
    <w:rsid w:val="008B21E9"/>
    <w:rsid w:val="008B262E"/>
    <w:rsid w:val="008B29DF"/>
    <w:rsid w:val="008B2E3C"/>
    <w:rsid w:val="008B30F2"/>
    <w:rsid w:val="008B31C8"/>
    <w:rsid w:val="008B3433"/>
    <w:rsid w:val="008B3CB0"/>
    <w:rsid w:val="008B40D3"/>
    <w:rsid w:val="008B41B9"/>
    <w:rsid w:val="008B479C"/>
    <w:rsid w:val="008B7464"/>
    <w:rsid w:val="008B75A1"/>
    <w:rsid w:val="008B7745"/>
    <w:rsid w:val="008B7BAD"/>
    <w:rsid w:val="008C198C"/>
    <w:rsid w:val="008C1E34"/>
    <w:rsid w:val="008C24B3"/>
    <w:rsid w:val="008C257A"/>
    <w:rsid w:val="008C3427"/>
    <w:rsid w:val="008C35F5"/>
    <w:rsid w:val="008C3864"/>
    <w:rsid w:val="008C4174"/>
    <w:rsid w:val="008C43A0"/>
    <w:rsid w:val="008C43E7"/>
    <w:rsid w:val="008C4EBD"/>
    <w:rsid w:val="008C5509"/>
    <w:rsid w:val="008C59EE"/>
    <w:rsid w:val="008C5F06"/>
    <w:rsid w:val="008C6086"/>
    <w:rsid w:val="008C65A5"/>
    <w:rsid w:val="008C6D64"/>
    <w:rsid w:val="008C6DB5"/>
    <w:rsid w:val="008C766E"/>
    <w:rsid w:val="008C78A5"/>
    <w:rsid w:val="008D0425"/>
    <w:rsid w:val="008D16CB"/>
    <w:rsid w:val="008D1A96"/>
    <w:rsid w:val="008D21F0"/>
    <w:rsid w:val="008D2AF2"/>
    <w:rsid w:val="008D3087"/>
    <w:rsid w:val="008D3117"/>
    <w:rsid w:val="008D3A97"/>
    <w:rsid w:val="008D3EB6"/>
    <w:rsid w:val="008D459A"/>
    <w:rsid w:val="008D47EC"/>
    <w:rsid w:val="008D4843"/>
    <w:rsid w:val="008D4C5C"/>
    <w:rsid w:val="008D4E3A"/>
    <w:rsid w:val="008D5E7A"/>
    <w:rsid w:val="008D623F"/>
    <w:rsid w:val="008D6FA5"/>
    <w:rsid w:val="008D7096"/>
    <w:rsid w:val="008D74FA"/>
    <w:rsid w:val="008D78D9"/>
    <w:rsid w:val="008E01DD"/>
    <w:rsid w:val="008E0710"/>
    <w:rsid w:val="008E0B90"/>
    <w:rsid w:val="008E0C06"/>
    <w:rsid w:val="008E1527"/>
    <w:rsid w:val="008E1E7B"/>
    <w:rsid w:val="008E4171"/>
    <w:rsid w:val="008E4261"/>
    <w:rsid w:val="008E42EB"/>
    <w:rsid w:val="008E441D"/>
    <w:rsid w:val="008E44BC"/>
    <w:rsid w:val="008E4724"/>
    <w:rsid w:val="008E63AE"/>
    <w:rsid w:val="008E6512"/>
    <w:rsid w:val="008E69F6"/>
    <w:rsid w:val="008E6D8B"/>
    <w:rsid w:val="008E700E"/>
    <w:rsid w:val="008E701C"/>
    <w:rsid w:val="008E7951"/>
    <w:rsid w:val="008E7B30"/>
    <w:rsid w:val="008E7DB6"/>
    <w:rsid w:val="008E7DC3"/>
    <w:rsid w:val="008E7F3E"/>
    <w:rsid w:val="008F0491"/>
    <w:rsid w:val="008F0592"/>
    <w:rsid w:val="008F05B3"/>
    <w:rsid w:val="008F0BEC"/>
    <w:rsid w:val="008F0F2A"/>
    <w:rsid w:val="008F1147"/>
    <w:rsid w:val="008F1718"/>
    <w:rsid w:val="008F185F"/>
    <w:rsid w:val="008F2E7A"/>
    <w:rsid w:val="008F30E6"/>
    <w:rsid w:val="008F3504"/>
    <w:rsid w:val="008F3AAC"/>
    <w:rsid w:val="008F3E38"/>
    <w:rsid w:val="008F4292"/>
    <w:rsid w:val="008F4755"/>
    <w:rsid w:val="008F4A13"/>
    <w:rsid w:val="008F4A72"/>
    <w:rsid w:val="008F51C2"/>
    <w:rsid w:val="008F5703"/>
    <w:rsid w:val="008F5721"/>
    <w:rsid w:val="008F5891"/>
    <w:rsid w:val="008F5ADC"/>
    <w:rsid w:val="008F5B96"/>
    <w:rsid w:val="008F5DD1"/>
    <w:rsid w:val="008F5FA7"/>
    <w:rsid w:val="008F6432"/>
    <w:rsid w:val="008F6460"/>
    <w:rsid w:val="008F706A"/>
    <w:rsid w:val="008F72C1"/>
    <w:rsid w:val="008F7883"/>
    <w:rsid w:val="008F7FD3"/>
    <w:rsid w:val="00900AC8"/>
    <w:rsid w:val="0090137D"/>
    <w:rsid w:val="00901739"/>
    <w:rsid w:val="009018AD"/>
    <w:rsid w:val="00902410"/>
    <w:rsid w:val="00902817"/>
    <w:rsid w:val="00902B0F"/>
    <w:rsid w:val="00902BBF"/>
    <w:rsid w:val="0090315B"/>
    <w:rsid w:val="00903195"/>
    <w:rsid w:val="00903CA3"/>
    <w:rsid w:val="009040E9"/>
    <w:rsid w:val="00904296"/>
    <w:rsid w:val="00904376"/>
    <w:rsid w:val="009049EC"/>
    <w:rsid w:val="00904DE6"/>
    <w:rsid w:val="00904E3E"/>
    <w:rsid w:val="00904EEF"/>
    <w:rsid w:val="00904F8C"/>
    <w:rsid w:val="00905242"/>
    <w:rsid w:val="00905440"/>
    <w:rsid w:val="00905608"/>
    <w:rsid w:val="00906156"/>
    <w:rsid w:val="009062BF"/>
    <w:rsid w:val="009063ED"/>
    <w:rsid w:val="009064E9"/>
    <w:rsid w:val="009069A4"/>
    <w:rsid w:val="0090763B"/>
    <w:rsid w:val="009078C9"/>
    <w:rsid w:val="00907C6C"/>
    <w:rsid w:val="00907FFE"/>
    <w:rsid w:val="00910240"/>
    <w:rsid w:val="0091090D"/>
    <w:rsid w:val="00910934"/>
    <w:rsid w:val="00910A0A"/>
    <w:rsid w:val="00910BD6"/>
    <w:rsid w:val="00910D8F"/>
    <w:rsid w:val="00910D97"/>
    <w:rsid w:val="00910FB9"/>
    <w:rsid w:val="00911676"/>
    <w:rsid w:val="00911726"/>
    <w:rsid w:val="00912D87"/>
    <w:rsid w:val="009133A7"/>
    <w:rsid w:val="00913899"/>
    <w:rsid w:val="009139EB"/>
    <w:rsid w:val="00914023"/>
    <w:rsid w:val="009145F5"/>
    <w:rsid w:val="009147A6"/>
    <w:rsid w:val="00914CB0"/>
    <w:rsid w:val="0091530E"/>
    <w:rsid w:val="009153EA"/>
    <w:rsid w:val="00916223"/>
    <w:rsid w:val="009165D8"/>
    <w:rsid w:val="0091682F"/>
    <w:rsid w:val="0091694D"/>
    <w:rsid w:val="00916C6C"/>
    <w:rsid w:val="00916F9C"/>
    <w:rsid w:val="00917893"/>
    <w:rsid w:val="00917B53"/>
    <w:rsid w:val="00917DDB"/>
    <w:rsid w:val="00917E9B"/>
    <w:rsid w:val="009203C8"/>
    <w:rsid w:val="00920504"/>
    <w:rsid w:val="00920777"/>
    <w:rsid w:val="0092077D"/>
    <w:rsid w:val="00920EC5"/>
    <w:rsid w:val="00920ED9"/>
    <w:rsid w:val="00921778"/>
    <w:rsid w:val="0092187E"/>
    <w:rsid w:val="009218B3"/>
    <w:rsid w:val="0092191E"/>
    <w:rsid w:val="00921A60"/>
    <w:rsid w:val="00921B2B"/>
    <w:rsid w:val="00921F60"/>
    <w:rsid w:val="0092228D"/>
    <w:rsid w:val="00922764"/>
    <w:rsid w:val="0092299B"/>
    <w:rsid w:val="00922A4C"/>
    <w:rsid w:val="00922C7E"/>
    <w:rsid w:val="00922D9F"/>
    <w:rsid w:val="0092355D"/>
    <w:rsid w:val="009235DC"/>
    <w:rsid w:val="00923820"/>
    <w:rsid w:val="0092389C"/>
    <w:rsid w:val="00924130"/>
    <w:rsid w:val="009247F7"/>
    <w:rsid w:val="00924CBA"/>
    <w:rsid w:val="00925049"/>
    <w:rsid w:val="0092512A"/>
    <w:rsid w:val="00925490"/>
    <w:rsid w:val="00925A0D"/>
    <w:rsid w:val="00925E64"/>
    <w:rsid w:val="00926163"/>
    <w:rsid w:val="00926A86"/>
    <w:rsid w:val="00926E42"/>
    <w:rsid w:val="009271E3"/>
    <w:rsid w:val="00927349"/>
    <w:rsid w:val="009276DE"/>
    <w:rsid w:val="00927959"/>
    <w:rsid w:val="00927C28"/>
    <w:rsid w:val="00927F8A"/>
    <w:rsid w:val="009301B6"/>
    <w:rsid w:val="009301E4"/>
    <w:rsid w:val="009303E0"/>
    <w:rsid w:val="00930742"/>
    <w:rsid w:val="00930BCF"/>
    <w:rsid w:val="00930F5E"/>
    <w:rsid w:val="009313FA"/>
    <w:rsid w:val="00931D72"/>
    <w:rsid w:val="0093216A"/>
    <w:rsid w:val="0093237D"/>
    <w:rsid w:val="009327C7"/>
    <w:rsid w:val="00932C18"/>
    <w:rsid w:val="009333E9"/>
    <w:rsid w:val="009337AF"/>
    <w:rsid w:val="00933CAD"/>
    <w:rsid w:val="009342C1"/>
    <w:rsid w:val="00935104"/>
    <w:rsid w:val="0093584A"/>
    <w:rsid w:val="00935B57"/>
    <w:rsid w:val="00936B77"/>
    <w:rsid w:val="00936D2B"/>
    <w:rsid w:val="00936EA9"/>
    <w:rsid w:val="00936FF1"/>
    <w:rsid w:val="0093762B"/>
    <w:rsid w:val="00937C01"/>
    <w:rsid w:val="00937ED9"/>
    <w:rsid w:val="00937F34"/>
    <w:rsid w:val="009401B2"/>
    <w:rsid w:val="009401D4"/>
    <w:rsid w:val="00940BE4"/>
    <w:rsid w:val="0094123F"/>
    <w:rsid w:val="0094179C"/>
    <w:rsid w:val="00941EB4"/>
    <w:rsid w:val="00941FAD"/>
    <w:rsid w:val="0094217A"/>
    <w:rsid w:val="00942DB5"/>
    <w:rsid w:val="0094323B"/>
    <w:rsid w:val="00943D9D"/>
    <w:rsid w:val="00943F62"/>
    <w:rsid w:val="00943FF8"/>
    <w:rsid w:val="009441A9"/>
    <w:rsid w:val="00944429"/>
    <w:rsid w:val="00944A1C"/>
    <w:rsid w:val="00944CE4"/>
    <w:rsid w:val="009451C7"/>
    <w:rsid w:val="009452F1"/>
    <w:rsid w:val="009454D9"/>
    <w:rsid w:val="00945D6C"/>
    <w:rsid w:val="00946106"/>
    <w:rsid w:val="00946BF0"/>
    <w:rsid w:val="009470F8"/>
    <w:rsid w:val="0094728C"/>
    <w:rsid w:val="00947831"/>
    <w:rsid w:val="009478D8"/>
    <w:rsid w:val="009479EA"/>
    <w:rsid w:val="00947AF5"/>
    <w:rsid w:val="00947C46"/>
    <w:rsid w:val="00950E02"/>
    <w:rsid w:val="009515A6"/>
    <w:rsid w:val="00951F84"/>
    <w:rsid w:val="00953372"/>
    <w:rsid w:val="00953ECC"/>
    <w:rsid w:val="00954343"/>
    <w:rsid w:val="0095453D"/>
    <w:rsid w:val="00954EAC"/>
    <w:rsid w:val="00955662"/>
    <w:rsid w:val="00955C13"/>
    <w:rsid w:val="00956346"/>
    <w:rsid w:val="00956602"/>
    <w:rsid w:val="00956793"/>
    <w:rsid w:val="009571E8"/>
    <w:rsid w:val="009578B0"/>
    <w:rsid w:val="0095796C"/>
    <w:rsid w:val="00957D17"/>
    <w:rsid w:val="00960570"/>
    <w:rsid w:val="009605AB"/>
    <w:rsid w:val="009609C9"/>
    <w:rsid w:val="00961B99"/>
    <w:rsid w:val="00962365"/>
    <w:rsid w:val="00962609"/>
    <w:rsid w:val="0096283A"/>
    <w:rsid w:val="00962F55"/>
    <w:rsid w:val="009635F4"/>
    <w:rsid w:val="00964629"/>
    <w:rsid w:val="009649CE"/>
    <w:rsid w:val="00964CA5"/>
    <w:rsid w:val="009652F3"/>
    <w:rsid w:val="00965865"/>
    <w:rsid w:val="00965911"/>
    <w:rsid w:val="009664E0"/>
    <w:rsid w:val="0096794A"/>
    <w:rsid w:val="009703E4"/>
    <w:rsid w:val="009705E6"/>
    <w:rsid w:val="00970EA8"/>
    <w:rsid w:val="00970F60"/>
    <w:rsid w:val="00971385"/>
    <w:rsid w:val="009714EC"/>
    <w:rsid w:val="00971F3A"/>
    <w:rsid w:val="009721CB"/>
    <w:rsid w:val="00972344"/>
    <w:rsid w:val="00972D38"/>
    <w:rsid w:val="0097313E"/>
    <w:rsid w:val="00973582"/>
    <w:rsid w:val="00974946"/>
    <w:rsid w:val="009749AB"/>
    <w:rsid w:val="00974A19"/>
    <w:rsid w:val="00974ABB"/>
    <w:rsid w:val="009750C8"/>
    <w:rsid w:val="00975125"/>
    <w:rsid w:val="0097537F"/>
    <w:rsid w:val="00975603"/>
    <w:rsid w:val="00975A34"/>
    <w:rsid w:val="00976831"/>
    <w:rsid w:val="00976B95"/>
    <w:rsid w:val="00976CC2"/>
    <w:rsid w:val="00977307"/>
    <w:rsid w:val="0097741A"/>
    <w:rsid w:val="0097784E"/>
    <w:rsid w:val="00977AD1"/>
    <w:rsid w:val="00977B51"/>
    <w:rsid w:val="00977D93"/>
    <w:rsid w:val="00977DA4"/>
    <w:rsid w:val="009800E5"/>
    <w:rsid w:val="009800F2"/>
    <w:rsid w:val="00980277"/>
    <w:rsid w:val="00980858"/>
    <w:rsid w:val="00980F2C"/>
    <w:rsid w:val="0098109C"/>
    <w:rsid w:val="009815A0"/>
    <w:rsid w:val="009816CB"/>
    <w:rsid w:val="00981A71"/>
    <w:rsid w:val="00981B10"/>
    <w:rsid w:val="00981C06"/>
    <w:rsid w:val="009826C0"/>
    <w:rsid w:val="009826C2"/>
    <w:rsid w:val="0098304C"/>
    <w:rsid w:val="00983335"/>
    <w:rsid w:val="009834EB"/>
    <w:rsid w:val="00983969"/>
    <w:rsid w:val="00983CF2"/>
    <w:rsid w:val="00983D71"/>
    <w:rsid w:val="00983E38"/>
    <w:rsid w:val="009840E1"/>
    <w:rsid w:val="00984E2F"/>
    <w:rsid w:val="00984E5F"/>
    <w:rsid w:val="00984EAB"/>
    <w:rsid w:val="009856AD"/>
    <w:rsid w:val="009857DA"/>
    <w:rsid w:val="00985957"/>
    <w:rsid w:val="0098600A"/>
    <w:rsid w:val="00987B82"/>
    <w:rsid w:val="00987F3E"/>
    <w:rsid w:val="00990251"/>
    <w:rsid w:val="009906EF"/>
    <w:rsid w:val="009912AA"/>
    <w:rsid w:val="00991724"/>
    <w:rsid w:val="00992353"/>
    <w:rsid w:val="0099373D"/>
    <w:rsid w:val="0099374D"/>
    <w:rsid w:val="009937DF"/>
    <w:rsid w:val="00993F2B"/>
    <w:rsid w:val="00994058"/>
    <w:rsid w:val="00994098"/>
    <w:rsid w:val="00994709"/>
    <w:rsid w:val="00994A9D"/>
    <w:rsid w:val="00995A6A"/>
    <w:rsid w:val="00995B50"/>
    <w:rsid w:val="00995E1B"/>
    <w:rsid w:val="00996032"/>
    <w:rsid w:val="009979E3"/>
    <w:rsid w:val="00997B3F"/>
    <w:rsid w:val="00997C0C"/>
    <w:rsid w:val="00997C4C"/>
    <w:rsid w:val="00997E85"/>
    <w:rsid w:val="009A0443"/>
    <w:rsid w:val="009A044C"/>
    <w:rsid w:val="009A0ABC"/>
    <w:rsid w:val="009A1232"/>
    <w:rsid w:val="009A20A2"/>
    <w:rsid w:val="009A2510"/>
    <w:rsid w:val="009A27CC"/>
    <w:rsid w:val="009A2879"/>
    <w:rsid w:val="009A31E9"/>
    <w:rsid w:val="009A398F"/>
    <w:rsid w:val="009A46DC"/>
    <w:rsid w:val="009A4AD2"/>
    <w:rsid w:val="009A4D59"/>
    <w:rsid w:val="009A4F02"/>
    <w:rsid w:val="009A5277"/>
    <w:rsid w:val="009A7134"/>
    <w:rsid w:val="009A7951"/>
    <w:rsid w:val="009A7A2A"/>
    <w:rsid w:val="009A7C94"/>
    <w:rsid w:val="009A7E05"/>
    <w:rsid w:val="009B022E"/>
    <w:rsid w:val="009B0955"/>
    <w:rsid w:val="009B0B49"/>
    <w:rsid w:val="009B0C7A"/>
    <w:rsid w:val="009B0E26"/>
    <w:rsid w:val="009B0F25"/>
    <w:rsid w:val="009B11D8"/>
    <w:rsid w:val="009B12E4"/>
    <w:rsid w:val="009B1385"/>
    <w:rsid w:val="009B1647"/>
    <w:rsid w:val="009B21F9"/>
    <w:rsid w:val="009B2563"/>
    <w:rsid w:val="009B2CA0"/>
    <w:rsid w:val="009B313F"/>
    <w:rsid w:val="009B3476"/>
    <w:rsid w:val="009B3536"/>
    <w:rsid w:val="009B3A36"/>
    <w:rsid w:val="009B3DAC"/>
    <w:rsid w:val="009B4B66"/>
    <w:rsid w:val="009B4D14"/>
    <w:rsid w:val="009B51B5"/>
    <w:rsid w:val="009B527D"/>
    <w:rsid w:val="009B5404"/>
    <w:rsid w:val="009B5416"/>
    <w:rsid w:val="009B5716"/>
    <w:rsid w:val="009B5C2B"/>
    <w:rsid w:val="009B5ED1"/>
    <w:rsid w:val="009B6203"/>
    <w:rsid w:val="009B62A2"/>
    <w:rsid w:val="009B67A2"/>
    <w:rsid w:val="009B6F9B"/>
    <w:rsid w:val="009B7C9E"/>
    <w:rsid w:val="009C00A5"/>
    <w:rsid w:val="009C0258"/>
    <w:rsid w:val="009C0E81"/>
    <w:rsid w:val="009C0F5B"/>
    <w:rsid w:val="009C1F27"/>
    <w:rsid w:val="009C2095"/>
    <w:rsid w:val="009C2288"/>
    <w:rsid w:val="009C22C5"/>
    <w:rsid w:val="009C2342"/>
    <w:rsid w:val="009C2522"/>
    <w:rsid w:val="009C25B4"/>
    <w:rsid w:val="009C2A3F"/>
    <w:rsid w:val="009C379D"/>
    <w:rsid w:val="009C37AD"/>
    <w:rsid w:val="009C38E9"/>
    <w:rsid w:val="009C3F9C"/>
    <w:rsid w:val="009C45C8"/>
    <w:rsid w:val="009C4722"/>
    <w:rsid w:val="009C49D2"/>
    <w:rsid w:val="009C50C2"/>
    <w:rsid w:val="009C5634"/>
    <w:rsid w:val="009C613E"/>
    <w:rsid w:val="009C6263"/>
    <w:rsid w:val="009C6473"/>
    <w:rsid w:val="009C6659"/>
    <w:rsid w:val="009C69B0"/>
    <w:rsid w:val="009C6A9B"/>
    <w:rsid w:val="009C70FE"/>
    <w:rsid w:val="009C7FB5"/>
    <w:rsid w:val="009D02D3"/>
    <w:rsid w:val="009D059B"/>
    <w:rsid w:val="009D071A"/>
    <w:rsid w:val="009D088C"/>
    <w:rsid w:val="009D0E71"/>
    <w:rsid w:val="009D1E5F"/>
    <w:rsid w:val="009D20AF"/>
    <w:rsid w:val="009D23D9"/>
    <w:rsid w:val="009D2649"/>
    <w:rsid w:val="009D2AF8"/>
    <w:rsid w:val="009D2C03"/>
    <w:rsid w:val="009D313B"/>
    <w:rsid w:val="009D3180"/>
    <w:rsid w:val="009D39E7"/>
    <w:rsid w:val="009D40B5"/>
    <w:rsid w:val="009D449B"/>
    <w:rsid w:val="009D4939"/>
    <w:rsid w:val="009D51FB"/>
    <w:rsid w:val="009D597E"/>
    <w:rsid w:val="009D59B9"/>
    <w:rsid w:val="009D5C7E"/>
    <w:rsid w:val="009D6107"/>
    <w:rsid w:val="009D6624"/>
    <w:rsid w:val="009D6870"/>
    <w:rsid w:val="009D6DA2"/>
    <w:rsid w:val="009D7150"/>
    <w:rsid w:val="009D7492"/>
    <w:rsid w:val="009D74E2"/>
    <w:rsid w:val="009D76D6"/>
    <w:rsid w:val="009D7E61"/>
    <w:rsid w:val="009E0763"/>
    <w:rsid w:val="009E0E69"/>
    <w:rsid w:val="009E0F20"/>
    <w:rsid w:val="009E1035"/>
    <w:rsid w:val="009E12C5"/>
    <w:rsid w:val="009E1514"/>
    <w:rsid w:val="009E1910"/>
    <w:rsid w:val="009E1A90"/>
    <w:rsid w:val="009E1BDD"/>
    <w:rsid w:val="009E20C3"/>
    <w:rsid w:val="009E21C6"/>
    <w:rsid w:val="009E280A"/>
    <w:rsid w:val="009E29C7"/>
    <w:rsid w:val="009E2D69"/>
    <w:rsid w:val="009E3360"/>
    <w:rsid w:val="009E3C56"/>
    <w:rsid w:val="009E3D5C"/>
    <w:rsid w:val="009E4223"/>
    <w:rsid w:val="009E4553"/>
    <w:rsid w:val="009E466F"/>
    <w:rsid w:val="009E47BB"/>
    <w:rsid w:val="009E4A37"/>
    <w:rsid w:val="009E4BA6"/>
    <w:rsid w:val="009E51B3"/>
    <w:rsid w:val="009E54E3"/>
    <w:rsid w:val="009E5844"/>
    <w:rsid w:val="009E595F"/>
    <w:rsid w:val="009E6EA7"/>
    <w:rsid w:val="009E7225"/>
    <w:rsid w:val="009E76EB"/>
    <w:rsid w:val="009E7764"/>
    <w:rsid w:val="009E77CD"/>
    <w:rsid w:val="009E7936"/>
    <w:rsid w:val="009E7AF6"/>
    <w:rsid w:val="009E7D04"/>
    <w:rsid w:val="009E7E6F"/>
    <w:rsid w:val="009F0151"/>
    <w:rsid w:val="009F020E"/>
    <w:rsid w:val="009F05D1"/>
    <w:rsid w:val="009F14E0"/>
    <w:rsid w:val="009F15D2"/>
    <w:rsid w:val="009F1683"/>
    <w:rsid w:val="009F1C81"/>
    <w:rsid w:val="009F1D4E"/>
    <w:rsid w:val="009F1EC7"/>
    <w:rsid w:val="009F1F15"/>
    <w:rsid w:val="009F2530"/>
    <w:rsid w:val="009F26DD"/>
    <w:rsid w:val="009F319E"/>
    <w:rsid w:val="009F3399"/>
    <w:rsid w:val="009F3A5C"/>
    <w:rsid w:val="009F3F68"/>
    <w:rsid w:val="009F3F8D"/>
    <w:rsid w:val="009F43C4"/>
    <w:rsid w:val="009F46CA"/>
    <w:rsid w:val="009F46D4"/>
    <w:rsid w:val="009F4A1C"/>
    <w:rsid w:val="009F4B9D"/>
    <w:rsid w:val="009F4EA1"/>
    <w:rsid w:val="009F5081"/>
    <w:rsid w:val="009F52C1"/>
    <w:rsid w:val="009F5321"/>
    <w:rsid w:val="009F558F"/>
    <w:rsid w:val="009F59D9"/>
    <w:rsid w:val="009F5F09"/>
    <w:rsid w:val="009F6137"/>
    <w:rsid w:val="009F67AD"/>
    <w:rsid w:val="009F68BF"/>
    <w:rsid w:val="009F68F9"/>
    <w:rsid w:val="009F69D1"/>
    <w:rsid w:val="009F6BDE"/>
    <w:rsid w:val="009F6D22"/>
    <w:rsid w:val="009F6FF6"/>
    <w:rsid w:val="009F70B9"/>
    <w:rsid w:val="009F72D0"/>
    <w:rsid w:val="009F7990"/>
    <w:rsid w:val="009F7A99"/>
    <w:rsid w:val="00A000CB"/>
    <w:rsid w:val="00A0036B"/>
    <w:rsid w:val="00A00373"/>
    <w:rsid w:val="00A00571"/>
    <w:rsid w:val="00A0085E"/>
    <w:rsid w:val="00A01700"/>
    <w:rsid w:val="00A01A55"/>
    <w:rsid w:val="00A01E6A"/>
    <w:rsid w:val="00A01F81"/>
    <w:rsid w:val="00A023CF"/>
    <w:rsid w:val="00A02464"/>
    <w:rsid w:val="00A02729"/>
    <w:rsid w:val="00A02E0D"/>
    <w:rsid w:val="00A02E15"/>
    <w:rsid w:val="00A0305B"/>
    <w:rsid w:val="00A03AD7"/>
    <w:rsid w:val="00A03B99"/>
    <w:rsid w:val="00A03EC9"/>
    <w:rsid w:val="00A04255"/>
    <w:rsid w:val="00A0428C"/>
    <w:rsid w:val="00A0431E"/>
    <w:rsid w:val="00A0470B"/>
    <w:rsid w:val="00A04D4A"/>
    <w:rsid w:val="00A05149"/>
    <w:rsid w:val="00A052CF"/>
    <w:rsid w:val="00A05C0D"/>
    <w:rsid w:val="00A0666A"/>
    <w:rsid w:val="00A06DA3"/>
    <w:rsid w:val="00A06E88"/>
    <w:rsid w:val="00A0749D"/>
    <w:rsid w:val="00A07813"/>
    <w:rsid w:val="00A07CCD"/>
    <w:rsid w:val="00A100E5"/>
    <w:rsid w:val="00A10351"/>
    <w:rsid w:val="00A11A76"/>
    <w:rsid w:val="00A11AC2"/>
    <w:rsid w:val="00A1229A"/>
    <w:rsid w:val="00A12394"/>
    <w:rsid w:val="00A1256E"/>
    <w:rsid w:val="00A125A1"/>
    <w:rsid w:val="00A12602"/>
    <w:rsid w:val="00A12B1E"/>
    <w:rsid w:val="00A14548"/>
    <w:rsid w:val="00A146B5"/>
    <w:rsid w:val="00A147CD"/>
    <w:rsid w:val="00A1483B"/>
    <w:rsid w:val="00A1499A"/>
    <w:rsid w:val="00A14A86"/>
    <w:rsid w:val="00A14D31"/>
    <w:rsid w:val="00A152AA"/>
    <w:rsid w:val="00A16061"/>
    <w:rsid w:val="00A160F9"/>
    <w:rsid w:val="00A1619F"/>
    <w:rsid w:val="00A167C2"/>
    <w:rsid w:val="00A1684F"/>
    <w:rsid w:val="00A168BB"/>
    <w:rsid w:val="00A16B1D"/>
    <w:rsid w:val="00A16F6B"/>
    <w:rsid w:val="00A17C11"/>
    <w:rsid w:val="00A2035F"/>
    <w:rsid w:val="00A20686"/>
    <w:rsid w:val="00A206F6"/>
    <w:rsid w:val="00A20A55"/>
    <w:rsid w:val="00A20B53"/>
    <w:rsid w:val="00A21379"/>
    <w:rsid w:val="00A21541"/>
    <w:rsid w:val="00A21688"/>
    <w:rsid w:val="00A21A0A"/>
    <w:rsid w:val="00A21CE4"/>
    <w:rsid w:val="00A22360"/>
    <w:rsid w:val="00A2240A"/>
    <w:rsid w:val="00A2290B"/>
    <w:rsid w:val="00A22BC1"/>
    <w:rsid w:val="00A22DEB"/>
    <w:rsid w:val="00A2342A"/>
    <w:rsid w:val="00A23A29"/>
    <w:rsid w:val="00A23DEB"/>
    <w:rsid w:val="00A24335"/>
    <w:rsid w:val="00A25146"/>
    <w:rsid w:val="00A257E9"/>
    <w:rsid w:val="00A25812"/>
    <w:rsid w:val="00A2596A"/>
    <w:rsid w:val="00A25B6F"/>
    <w:rsid w:val="00A25E25"/>
    <w:rsid w:val="00A26533"/>
    <w:rsid w:val="00A27072"/>
    <w:rsid w:val="00A277E8"/>
    <w:rsid w:val="00A27D1A"/>
    <w:rsid w:val="00A30180"/>
    <w:rsid w:val="00A301BC"/>
    <w:rsid w:val="00A30412"/>
    <w:rsid w:val="00A3073B"/>
    <w:rsid w:val="00A309A1"/>
    <w:rsid w:val="00A30A64"/>
    <w:rsid w:val="00A30E0D"/>
    <w:rsid w:val="00A3123F"/>
    <w:rsid w:val="00A31968"/>
    <w:rsid w:val="00A3199A"/>
    <w:rsid w:val="00A31B38"/>
    <w:rsid w:val="00A31E28"/>
    <w:rsid w:val="00A31EA7"/>
    <w:rsid w:val="00A321C7"/>
    <w:rsid w:val="00A32466"/>
    <w:rsid w:val="00A3251C"/>
    <w:rsid w:val="00A32721"/>
    <w:rsid w:val="00A32FD7"/>
    <w:rsid w:val="00A335EF"/>
    <w:rsid w:val="00A34161"/>
    <w:rsid w:val="00A34835"/>
    <w:rsid w:val="00A34CD8"/>
    <w:rsid w:val="00A35224"/>
    <w:rsid w:val="00A35244"/>
    <w:rsid w:val="00A3526F"/>
    <w:rsid w:val="00A356D5"/>
    <w:rsid w:val="00A35897"/>
    <w:rsid w:val="00A35976"/>
    <w:rsid w:val="00A36A67"/>
    <w:rsid w:val="00A36D7B"/>
    <w:rsid w:val="00A36E79"/>
    <w:rsid w:val="00A374D1"/>
    <w:rsid w:val="00A3783D"/>
    <w:rsid w:val="00A4003D"/>
    <w:rsid w:val="00A40611"/>
    <w:rsid w:val="00A40B2C"/>
    <w:rsid w:val="00A414C0"/>
    <w:rsid w:val="00A416AA"/>
    <w:rsid w:val="00A416DC"/>
    <w:rsid w:val="00A4176F"/>
    <w:rsid w:val="00A41970"/>
    <w:rsid w:val="00A419B2"/>
    <w:rsid w:val="00A41B0B"/>
    <w:rsid w:val="00A42C8E"/>
    <w:rsid w:val="00A42E86"/>
    <w:rsid w:val="00A43054"/>
    <w:rsid w:val="00A43144"/>
    <w:rsid w:val="00A43392"/>
    <w:rsid w:val="00A43977"/>
    <w:rsid w:val="00A43BEA"/>
    <w:rsid w:val="00A43C0A"/>
    <w:rsid w:val="00A43D72"/>
    <w:rsid w:val="00A442AB"/>
    <w:rsid w:val="00A449E1"/>
    <w:rsid w:val="00A452D4"/>
    <w:rsid w:val="00A4592A"/>
    <w:rsid w:val="00A45D37"/>
    <w:rsid w:val="00A46353"/>
    <w:rsid w:val="00A46C06"/>
    <w:rsid w:val="00A4735D"/>
    <w:rsid w:val="00A4758F"/>
    <w:rsid w:val="00A47758"/>
    <w:rsid w:val="00A4786A"/>
    <w:rsid w:val="00A47952"/>
    <w:rsid w:val="00A4797C"/>
    <w:rsid w:val="00A479DA"/>
    <w:rsid w:val="00A47CD2"/>
    <w:rsid w:val="00A502E5"/>
    <w:rsid w:val="00A50717"/>
    <w:rsid w:val="00A50D06"/>
    <w:rsid w:val="00A50E88"/>
    <w:rsid w:val="00A5110E"/>
    <w:rsid w:val="00A51739"/>
    <w:rsid w:val="00A51B06"/>
    <w:rsid w:val="00A52115"/>
    <w:rsid w:val="00A52201"/>
    <w:rsid w:val="00A522DB"/>
    <w:rsid w:val="00A5287C"/>
    <w:rsid w:val="00A52FFE"/>
    <w:rsid w:val="00A544C0"/>
    <w:rsid w:val="00A5464E"/>
    <w:rsid w:val="00A548B5"/>
    <w:rsid w:val="00A55355"/>
    <w:rsid w:val="00A55456"/>
    <w:rsid w:val="00A55DC7"/>
    <w:rsid w:val="00A5668A"/>
    <w:rsid w:val="00A56A73"/>
    <w:rsid w:val="00A56C81"/>
    <w:rsid w:val="00A56CE6"/>
    <w:rsid w:val="00A57322"/>
    <w:rsid w:val="00A60340"/>
    <w:rsid w:val="00A60421"/>
    <w:rsid w:val="00A60471"/>
    <w:rsid w:val="00A60A99"/>
    <w:rsid w:val="00A60CDA"/>
    <w:rsid w:val="00A60E49"/>
    <w:rsid w:val="00A60F87"/>
    <w:rsid w:val="00A6113B"/>
    <w:rsid w:val="00A61A62"/>
    <w:rsid w:val="00A61FB1"/>
    <w:rsid w:val="00A6221B"/>
    <w:rsid w:val="00A62328"/>
    <w:rsid w:val="00A62640"/>
    <w:rsid w:val="00A628A0"/>
    <w:rsid w:val="00A62BC8"/>
    <w:rsid w:val="00A6340B"/>
    <w:rsid w:val="00A63F68"/>
    <w:rsid w:val="00A64436"/>
    <w:rsid w:val="00A64A3F"/>
    <w:rsid w:val="00A64D4A"/>
    <w:rsid w:val="00A65256"/>
    <w:rsid w:val="00A65831"/>
    <w:rsid w:val="00A65F21"/>
    <w:rsid w:val="00A6662F"/>
    <w:rsid w:val="00A6690B"/>
    <w:rsid w:val="00A66947"/>
    <w:rsid w:val="00A66979"/>
    <w:rsid w:val="00A66A2E"/>
    <w:rsid w:val="00A66C89"/>
    <w:rsid w:val="00A67920"/>
    <w:rsid w:val="00A67FC1"/>
    <w:rsid w:val="00A705E5"/>
    <w:rsid w:val="00A70E76"/>
    <w:rsid w:val="00A70F44"/>
    <w:rsid w:val="00A717AC"/>
    <w:rsid w:val="00A719C0"/>
    <w:rsid w:val="00A72637"/>
    <w:rsid w:val="00A72A16"/>
    <w:rsid w:val="00A72ADE"/>
    <w:rsid w:val="00A72B06"/>
    <w:rsid w:val="00A72C25"/>
    <w:rsid w:val="00A72C60"/>
    <w:rsid w:val="00A72F05"/>
    <w:rsid w:val="00A7307E"/>
    <w:rsid w:val="00A7339A"/>
    <w:rsid w:val="00A73FD6"/>
    <w:rsid w:val="00A743D8"/>
    <w:rsid w:val="00A7446E"/>
    <w:rsid w:val="00A74D31"/>
    <w:rsid w:val="00A752DF"/>
    <w:rsid w:val="00A7548D"/>
    <w:rsid w:val="00A75888"/>
    <w:rsid w:val="00A75BC6"/>
    <w:rsid w:val="00A76115"/>
    <w:rsid w:val="00A7642B"/>
    <w:rsid w:val="00A76621"/>
    <w:rsid w:val="00A76694"/>
    <w:rsid w:val="00A767FA"/>
    <w:rsid w:val="00A769B2"/>
    <w:rsid w:val="00A76A52"/>
    <w:rsid w:val="00A77647"/>
    <w:rsid w:val="00A77B64"/>
    <w:rsid w:val="00A77FE7"/>
    <w:rsid w:val="00A80199"/>
    <w:rsid w:val="00A80CEC"/>
    <w:rsid w:val="00A80E49"/>
    <w:rsid w:val="00A8109C"/>
    <w:rsid w:val="00A81C9B"/>
    <w:rsid w:val="00A81D78"/>
    <w:rsid w:val="00A82165"/>
    <w:rsid w:val="00A82851"/>
    <w:rsid w:val="00A83127"/>
    <w:rsid w:val="00A83215"/>
    <w:rsid w:val="00A83503"/>
    <w:rsid w:val="00A83FF5"/>
    <w:rsid w:val="00A84858"/>
    <w:rsid w:val="00A8494A"/>
    <w:rsid w:val="00A84B5F"/>
    <w:rsid w:val="00A8553C"/>
    <w:rsid w:val="00A85C49"/>
    <w:rsid w:val="00A86184"/>
    <w:rsid w:val="00A86A98"/>
    <w:rsid w:val="00A86F75"/>
    <w:rsid w:val="00A871AF"/>
    <w:rsid w:val="00A876D8"/>
    <w:rsid w:val="00A90252"/>
    <w:rsid w:val="00A9099C"/>
    <w:rsid w:val="00A912FB"/>
    <w:rsid w:val="00A91436"/>
    <w:rsid w:val="00A916C5"/>
    <w:rsid w:val="00A916D5"/>
    <w:rsid w:val="00A91F1A"/>
    <w:rsid w:val="00A92833"/>
    <w:rsid w:val="00A92A28"/>
    <w:rsid w:val="00A92DF3"/>
    <w:rsid w:val="00A9302E"/>
    <w:rsid w:val="00A93173"/>
    <w:rsid w:val="00A93521"/>
    <w:rsid w:val="00A936B6"/>
    <w:rsid w:val="00A9373E"/>
    <w:rsid w:val="00A937C8"/>
    <w:rsid w:val="00A93950"/>
    <w:rsid w:val="00A93D8D"/>
    <w:rsid w:val="00A9466C"/>
    <w:rsid w:val="00A94962"/>
    <w:rsid w:val="00A94B78"/>
    <w:rsid w:val="00A955D3"/>
    <w:rsid w:val="00A96BDB"/>
    <w:rsid w:val="00A96C07"/>
    <w:rsid w:val="00A97414"/>
    <w:rsid w:val="00A97433"/>
    <w:rsid w:val="00A97C9A"/>
    <w:rsid w:val="00A97F99"/>
    <w:rsid w:val="00AA0060"/>
    <w:rsid w:val="00AA058A"/>
    <w:rsid w:val="00AA064B"/>
    <w:rsid w:val="00AA0936"/>
    <w:rsid w:val="00AA0F82"/>
    <w:rsid w:val="00AA1256"/>
    <w:rsid w:val="00AA1A24"/>
    <w:rsid w:val="00AA1EFE"/>
    <w:rsid w:val="00AA2027"/>
    <w:rsid w:val="00AA2155"/>
    <w:rsid w:val="00AA2E7C"/>
    <w:rsid w:val="00AA2F03"/>
    <w:rsid w:val="00AA34C5"/>
    <w:rsid w:val="00AA365B"/>
    <w:rsid w:val="00AA386B"/>
    <w:rsid w:val="00AA3934"/>
    <w:rsid w:val="00AA3C84"/>
    <w:rsid w:val="00AA3D29"/>
    <w:rsid w:val="00AA3E83"/>
    <w:rsid w:val="00AA44B6"/>
    <w:rsid w:val="00AA4610"/>
    <w:rsid w:val="00AA4915"/>
    <w:rsid w:val="00AA544A"/>
    <w:rsid w:val="00AA5748"/>
    <w:rsid w:val="00AA5868"/>
    <w:rsid w:val="00AA6801"/>
    <w:rsid w:val="00AA6887"/>
    <w:rsid w:val="00AA6940"/>
    <w:rsid w:val="00AA6959"/>
    <w:rsid w:val="00AA6A45"/>
    <w:rsid w:val="00AA7033"/>
    <w:rsid w:val="00AA74D1"/>
    <w:rsid w:val="00AA7812"/>
    <w:rsid w:val="00AB006B"/>
    <w:rsid w:val="00AB00BC"/>
    <w:rsid w:val="00AB04E1"/>
    <w:rsid w:val="00AB0B57"/>
    <w:rsid w:val="00AB11A0"/>
    <w:rsid w:val="00AB134E"/>
    <w:rsid w:val="00AB18DF"/>
    <w:rsid w:val="00AB1E5E"/>
    <w:rsid w:val="00AB21AE"/>
    <w:rsid w:val="00AB2313"/>
    <w:rsid w:val="00AB233D"/>
    <w:rsid w:val="00AB268F"/>
    <w:rsid w:val="00AB2B6C"/>
    <w:rsid w:val="00AB2BA0"/>
    <w:rsid w:val="00AB2F4A"/>
    <w:rsid w:val="00AB3E83"/>
    <w:rsid w:val="00AB4366"/>
    <w:rsid w:val="00AB47F3"/>
    <w:rsid w:val="00AB49CF"/>
    <w:rsid w:val="00AB51AE"/>
    <w:rsid w:val="00AB54C8"/>
    <w:rsid w:val="00AB577A"/>
    <w:rsid w:val="00AB5C4D"/>
    <w:rsid w:val="00AB621D"/>
    <w:rsid w:val="00AB62C5"/>
    <w:rsid w:val="00AB640B"/>
    <w:rsid w:val="00AB6AA1"/>
    <w:rsid w:val="00AB6CF9"/>
    <w:rsid w:val="00AB77EE"/>
    <w:rsid w:val="00AB79BA"/>
    <w:rsid w:val="00AB7EA5"/>
    <w:rsid w:val="00AC06B8"/>
    <w:rsid w:val="00AC0AB1"/>
    <w:rsid w:val="00AC0D4B"/>
    <w:rsid w:val="00AC0E93"/>
    <w:rsid w:val="00AC0F7D"/>
    <w:rsid w:val="00AC148F"/>
    <w:rsid w:val="00AC1A66"/>
    <w:rsid w:val="00AC1AD6"/>
    <w:rsid w:val="00AC1DE8"/>
    <w:rsid w:val="00AC202D"/>
    <w:rsid w:val="00AC2302"/>
    <w:rsid w:val="00AC260F"/>
    <w:rsid w:val="00AC2662"/>
    <w:rsid w:val="00AC2771"/>
    <w:rsid w:val="00AC280D"/>
    <w:rsid w:val="00AC29B5"/>
    <w:rsid w:val="00AC321F"/>
    <w:rsid w:val="00AC348A"/>
    <w:rsid w:val="00AC3657"/>
    <w:rsid w:val="00AC3841"/>
    <w:rsid w:val="00AC4DE3"/>
    <w:rsid w:val="00AC51A9"/>
    <w:rsid w:val="00AC5652"/>
    <w:rsid w:val="00AC587F"/>
    <w:rsid w:val="00AC5B73"/>
    <w:rsid w:val="00AC5BDD"/>
    <w:rsid w:val="00AC5C67"/>
    <w:rsid w:val="00AC5FDB"/>
    <w:rsid w:val="00AC62FB"/>
    <w:rsid w:val="00AC7554"/>
    <w:rsid w:val="00AC7576"/>
    <w:rsid w:val="00AC79C2"/>
    <w:rsid w:val="00AD05D6"/>
    <w:rsid w:val="00AD0815"/>
    <w:rsid w:val="00AD0EEF"/>
    <w:rsid w:val="00AD1B66"/>
    <w:rsid w:val="00AD1C46"/>
    <w:rsid w:val="00AD2077"/>
    <w:rsid w:val="00AD20FF"/>
    <w:rsid w:val="00AD227F"/>
    <w:rsid w:val="00AD258D"/>
    <w:rsid w:val="00AD28FE"/>
    <w:rsid w:val="00AD31FE"/>
    <w:rsid w:val="00AD3400"/>
    <w:rsid w:val="00AD3777"/>
    <w:rsid w:val="00AD394E"/>
    <w:rsid w:val="00AD39BE"/>
    <w:rsid w:val="00AD430A"/>
    <w:rsid w:val="00AD488C"/>
    <w:rsid w:val="00AD5261"/>
    <w:rsid w:val="00AD52BF"/>
    <w:rsid w:val="00AD5F43"/>
    <w:rsid w:val="00AD621C"/>
    <w:rsid w:val="00AD644F"/>
    <w:rsid w:val="00AD672B"/>
    <w:rsid w:val="00AD6B87"/>
    <w:rsid w:val="00AD6E75"/>
    <w:rsid w:val="00AD6FB1"/>
    <w:rsid w:val="00AD749D"/>
    <w:rsid w:val="00AE0AC5"/>
    <w:rsid w:val="00AE10FF"/>
    <w:rsid w:val="00AE1D17"/>
    <w:rsid w:val="00AE2510"/>
    <w:rsid w:val="00AE29E5"/>
    <w:rsid w:val="00AE2E08"/>
    <w:rsid w:val="00AE3FED"/>
    <w:rsid w:val="00AE4174"/>
    <w:rsid w:val="00AE42EB"/>
    <w:rsid w:val="00AE4917"/>
    <w:rsid w:val="00AE4B72"/>
    <w:rsid w:val="00AE4C46"/>
    <w:rsid w:val="00AE4DF7"/>
    <w:rsid w:val="00AE500D"/>
    <w:rsid w:val="00AE52DE"/>
    <w:rsid w:val="00AE53EC"/>
    <w:rsid w:val="00AE53F1"/>
    <w:rsid w:val="00AE548F"/>
    <w:rsid w:val="00AE620A"/>
    <w:rsid w:val="00AE6A65"/>
    <w:rsid w:val="00AE6D0E"/>
    <w:rsid w:val="00AE6FB1"/>
    <w:rsid w:val="00AE735D"/>
    <w:rsid w:val="00AE7509"/>
    <w:rsid w:val="00AE7EE5"/>
    <w:rsid w:val="00AF1072"/>
    <w:rsid w:val="00AF1BAD"/>
    <w:rsid w:val="00AF1D40"/>
    <w:rsid w:val="00AF2176"/>
    <w:rsid w:val="00AF219A"/>
    <w:rsid w:val="00AF2208"/>
    <w:rsid w:val="00AF23F4"/>
    <w:rsid w:val="00AF287A"/>
    <w:rsid w:val="00AF2A0A"/>
    <w:rsid w:val="00AF2A84"/>
    <w:rsid w:val="00AF2C05"/>
    <w:rsid w:val="00AF340D"/>
    <w:rsid w:val="00AF3423"/>
    <w:rsid w:val="00AF3BFE"/>
    <w:rsid w:val="00AF3F32"/>
    <w:rsid w:val="00AF43E5"/>
    <w:rsid w:val="00AF49C7"/>
    <w:rsid w:val="00AF4D7A"/>
    <w:rsid w:val="00AF5379"/>
    <w:rsid w:val="00AF54F4"/>
    <w:rsid w:val="00AF5982"/>
    <w:rsid w:val="00AF5B83"/>
    <w:rsid w:val="00AF5D3E"/>
    <w:rsid w:val="00AF6050"/>
    <w:rsid w:val="00AF6729"/>
    <w:rsid w:val="00AF6801"/>
    <w:rsid w:val="00AF727D"/>
    <w:rsid w:val="00AF7478"/>
    <w:rsid w:val="00AF7492"/>
    <w:rsid w:val="00AF77B8"/>
    <w:rsid w:val="00AF7B3D"/>
    <w:rsid w:val="00AF7D4E"/>
    <w:rsid w:val="00B00F4B"/>
    <w:rsid w:val="00B0155F"/>
    <w:rsid w:val="00B01F46"/>
    <w:rsid w:val="00B020AE"/>
    <w:rsid w:val="00B02177"/>
    <w:rsid w:val="00B027B4"/>
    <w:rsid w:val="00B027E5"/>
    <w:rsid w:val="00B0286A"/>
    <w:rsid w:val="00B02B62"/>
    <w:rsid w:val="00B03429"/>
    <w:rsid w:val="00B03835"/>
    <w:rsid w:val="00B03CB4"/>
    <w:rsid w:val="00B0407B"/>
    <w:rsid w:val="00B044A5"/>
    <w:rsid w:val="00B04B86"/>
    <w:rsid w:val="00B05094"/>
    <w:rsid w:val="00B053E8"/>
    <w:rsid w:val="00B054F0"/>
    <w:rsid w:val="00B05607"/>
    <w:rsid w:val="00B057C0"/>
    <w:rsid w:val="00B0612B"/>
    <w:rsid w:val="00B061FF"/>
    <w:rsid w:val="00B063FF"/>
    <w:rsid w:val="00B0675A"/>
    <w:rsid w:val="00B075C4"/>
    <w:rsid w:val="00B07949"/>
    <w:rsid w:val="00B102BB"/>
    <w:rsid w:val="00B105BE"/>
    <w:rsid w:val="00B10644"/>
    <w:rsid w:val="00B10731"/>
    <w:rsid w:val="00B1077F"/>
    <w:rsid w:val="00B107E0"/>
    <w:rsid w:val="00B1130C"/>
    <w:rsid w:val="00B1166A"/>
    <w:rsid w:val="00B11986"/>
    <w:rsid w:val="00B11ED9"/>
    <w:rsid w:val="00B1211B"/>
    <w:rsid w:val="00B122B8"/>
    <w:rsid w:val="00B12348"/>
    <w:rsid w:val="00B124A6"/>
    <w:rsid w:val="00B12A29"/>
    <w:rsid w:val="00B12BFA"/>
    <w:rsid w:val="00B12F12"/>
    <w:rsid w:val="00B135A0"/>
    <w:rsid w:val="00B13671"/>
    <w:rsid w:val="00B13753"/>
    <w:rsid w:val="00B13DBD"/>
    <w:rsid w:val="00B1449E"/>
    <w:rsid w:val="00B14DA8"/>
    <w:rsid w:val="00B151DA"/>
    <w:rsid w:val="00B1541E"/>
    <w:rsid w:val="00B1569B"/>
    <w:rsid w:val="00B15C32"/>
    <w:rsid w:val="00B16011"/>
    <w:rsid w:val="00B16A64"/>
    <w:rsid w:val="00B16CCE"/>
    <w:rsid w:val="00B16F9D"/>
    <w:rsid w:val="00B1735E"/>
    <w:rsid w:val="00B17769"/>
    <w:rsid w:val="00B201AA"/>
    <w:rsid w:val="00B20635"/>
    <w:rsid w:val="00B20BCB"/>
    <w:rsid w:val="00B20FCD"/>
    <w:rsid w:val="00B21450"/>
    <w:rsid w:val="00B220E6"/>
    <w:rsid w:val="00B226DD"/>
    <w:rsid w:val="00B22923"/>
    <w:rsid w:val="00B22B6D"/>
    <w:rsid w:val="00B22C90"/>
    <w:rsid w:val="00B22F1E"/>
    <w:rsid w:val="00B22FF7"/>
    <w:rsid w:val="00B23C6F"/>
    <w:rsid w:val="00B23CD9"/>
    <w:rsid w:val="00B23D01"/>
    <w:rsid w:val="00B23D0A"/>
    <w:rsid w:val="00B2452E"/>
    <w:rsid w:val="00B253BC"/>
    <w:rsid w:val="00B260FB"/>
    <w:rsid w:val="00B26C5B"/>
    <w:rsid w:val="00B26F43"/>
    <w:rsid w:val="00B2703D"/>
    <w:rsid w:val="00B2730E"/>
    <w:rsid w:val="00B27D65"/>
    <w:rsid w:val="00B30015"/>
    <w:rsid w:val="00B3021B"/>
    <w:rsid w:val="00B3024D"/>
    <w:rsid w:val="00B30336"/>
    <w:rsid w:val="00B30D60"/>
    <w:rsid w:val="00B30EC1"/>
    <w:rsid w:val="00B3139E"/>
    <w:rsid w:val="00B31412"/>
    <w:rsid w:val="00B31470"/>
    <w:rsid w:val="00B315E5"/>
    <w:rsid w:val="00B31605"/>
    <w:rsid w:val="00B316B8"/>
    <w:rsid w:val="00B318E1"/>
    <w:rsid w:val="00B32963"/>
    <w:rsid w:val="00B32A75"/>
    <w:rsid w:val="00B33236"/>
    <w:rsid w:val="00B33370"/>
    <w:rsid w:val="00B33D5E"/>
    <w:rsid w:val="00B3452B"/>
    <w:rsid w:val="00B348CF"/>
    <w:rsid w:val="00B34BE7"/>
    <w:rsid w:val="00B34D89"/>
    <w:rsid w:val="00B35B53"/>
    <w:rsid w:val="00B35E5B"/>
    <w:rsid w:val="00B3610D"/>
    <w:rsid w:val="00B364D0"/>
    <w:rsid w:val="00B374CC"/>
    <w:rsid w:val="00B37C70"/>
    <w:rsid w:val="00B40094"/>
    <w:rsid w:val="00B402C0"/>
    <w:rsid w:val="00B41017"/>
    <w:rsid w:val="00B417D5"/>
    <w:rsid w:val="00B419C8"/>
    <w:rsid w:val="00B429C8"/>
    <w:rsid w:val="00B4364F"/>
    <w:rsid w:val="00B43960"/>
    <w:rsid w:val="00B43D15"/>
    <w:rsid w:val="00B440A0"/>
    <w:rsid w:val="00B44173"/>
    <w:rsid w:val="00B4434E"/>
    <w:rsid w:val="00B4445B"/>
    <w:rsid w:val="00B4587B"/>
    <w:rsid w:val="00B45B46"/>
    <w:rsid w:val="00B461A5"/>
    <w:rsid w:val="00B46202"/>
    <w:rsid w:val="00B4641C"/>
    <w:rsid w:val="00B46476"/>
    <w:rsid w:val="00B46AC1"/>
    <w:rsid w:val="00B46B87"/>
    <w:rsid w:val="00B46EF6"/>
    <w:rsid w:val="00B47C00"/>
    <w:rsid w:val="00B500D2"/>
    <w:rsid w:val="00B5144D"/>
    <w:rsid w:val="00B520EB"/>
    <w:rsid w:val="00B52C15"/>
    <w:rsid w:val="00B52C3D"/>
    <w:rsid w:val="00B53289"/>
    <w:rsid w:val="00B53909"/>
    <w:rsid w:val="00B53C94"/>
    <w:rsid w:val="00B5413B"/>
    <w:rsid w:val="00B542EA"/>
    <w:rsid w:val="00B54457"/>
    <w:rsid w:val="00B5467B"/>
    <w:rsid w:val="00B546F2"/>
    <w:rsid w:val="00B549CB"/>
    <w:rsid w:val="00B54B20"/>
    <w:rsid w:val="00B54EAA"/>
    <w:rsid w:val="00B5574B"/>
    <w:rsid w:val="00B55885"/>
    <w:rsid w:val="00B55AA1"/>
    <w:rsid w:val="00B55EEB"/>
    <w:rsid w:val="00B562A1"/>
    <w:rsid w:val="00B56A4C"/>
    <w:rsid w:val="00B56A5B"/>
    <w:rsid w:val="00B56E4E"/>
    <w:rsid w:val="00B571BC"/>
    <w:rsid w:val="00B57243"/>
    <w:rsid w:val="00B57353"/>
    <w:rsid w:val="00B57957"/>
    <w:rsid w:val="00B57AAF"/>
    <w:rsid w:val="00B606F2"/>
    <w:rsid w:val="00B6079F"/>
    <w:rsid w:val="00B60B6C"/>
    <w:rsid w:val="00B60C11"/>
    <w:rsid w:val="00B60E27"/>
    <w:rsid w:val="00B60EFF"/>
    <w:rsid w:val="00B61781"/>
    <w:rsid w:val="00B61B4D"/>
    <w:rsid w:val="00B624B7"/>
    <w:rsid w:val="00B628E5"/>
    <w:rsid w:val="00B632AC"/>
    <w:rsid w:val="00B63CA3"/>
    <w:rsid w:val="00B642F3"/>
    <w:rsid w:val="00B6498D"/>
    <w:rsid w:val="00B64A75"/>
    <w:rsid w:val="00B64ABC"/>
    <w:rsid w:val="00B64DBB"/>
    <w:rsid w:val="00B66426"/>
    <w:rsid w:val="00B6684E"/>
    <w:rsid w:val="00B66BD4"/>
    <w:rsid w:val="00B66BD7"/>
    <w:rsid w:val="00B66D95"/>
    <w:rsid w:val="00B66E99"/>
    <w:rsid w:val="00B66FFB"/>
    <w:rsid w:val="00B67750"/>
    <w:rsid w:val="00B67A22"/>
    <w:rsid w:val="00B67A69"/>
    <w:rsid w:val="00B67C0B"/>
    <w:rsid w:val="00B67F0E"/>
    <w:rsid w:val="00B710E7"/>
    <w:rsid w:val="00B711C9"/>
    <w:rsid w:val="00B71332"/>
    <w:rsid w:val="00B717BC"/>
    <w:rsid w:val="00B72233"/>
    <w:rsid w:val="00B72310"/>
    <w:rsid w:val="00B72A61"/>
    <w:rsid w:val="00B734A5"/>
    <w:rsid w:val="00B7370E"/>
    <w:rsid w:val="00B73EEB"/>
    <w:rsid w:val="00B7486F"/>
    <w:rsid w:val="00B74A7A"/>
    <w:rsid w:val="00B74BC3"/>
    <w:rsid w:val="00B74CB4"/>
    <w:rsid w:val="00B74DE7"/>
    <w:rsid w:val="00B74FE0"/>
    <w:rsid w:val="00B757B2"/>
    <w:rsid w:val="00B7580D"/>
    <w:rsid w:val="00B76025"/>
    <w:rsid w:val="00B76685"/>
    <w:rsid w:val="00B7698D"/>
    <w:rsid w:val="00B77502"/>
    <w:rsid w:val="00B77FAE"/>
    <w:rsid w:val="00B800DB"/>
    <w:rsid w:val="00B80638"/>
    <w:rsid w:val="00B80B5B"/>
    <w:rsid w:val="00B81002"/>
    <w:rsid w:val="00B810A7"/>
    <w:rsid w:val="00B812FB"/>
    <w:rsid w:val="00B81429"/>
    <w:rsid w:val="00B8193C"/>
    <w:rsid w:val="00B81E83"/>
    <w:rsid w:val="00B81FCC"/>
    <w:rsid w:val="00B82463"/>
    <w:rsid w:val="00B827E1"/>
    <w:rsid w:val="00B82B86"/>
    <w:rsid w:val="00B8368E"/>
    <w:rsid w:val="00B83765"/>
    <w:rsid w:val="00B83F38"/>
    <w:rsid w:val="00B84648"/>
    <w:rsid w:val="00B84C4E"/>
    <w:rsid w:val="00B84C98"/>
    <w:rsid w:val="00B851D1"/>
    <w:rsid w:val="00B85D27"/>
    <w:rsid w:val="00B85FF7"/>
    <w:rsid w:val="00B86758"/>
    <w:rsid w:val="00B86973"/>
    <w:rsid w:val="00B8741F"/>
    <w:rsid w:val="00B875A9"/>
    <w:rsid w:val="00B87A59"/>
    <w:rsid w:val="00B87A63"/>
    <w:rsid w:val="00B90631"/>
    <w:rsid w:val="00B9065D"/>
    <w:rsid w:val="00B906BE"/>
    <w:rsid w:val="00B90CA9"/>
    <w:rsid w:val="00B915D2"/>
    <w:rsid w:val="00B91EDB"/>
    <w:rsid w:val="00B92707"/>
    <w:rsid w:val="00B92C49"/>
    <w:rsid w:val="00B92F90"/>
    <w:rsid w:val="00B92FB1"/>
    <w:rsid w:val="00B93BDC"/>
    <w:rsid w:val="00B93E82"/>
    <w:rsid w:val="00B93FF8"/>
    <w:rsid w:val="00B943C6"/>
    <w:rsid w:val="00B95070"/>
    <w:rsid w:val="00B95C16"/>
    <w:rsid w:val="00B95C3C"/>
    <w:rsid w:val="00B9667A"/>
    <w:rsid w:val="00B97033"/>
    <w:rsid w:val="00B97C71"/>
    <w:rsid w:val="00B97D03"/>
    <w:rsid w:val="00BA0018"/>
    <w:rsid w:val="00BA0D1A"/>
    <w:rsid w:val="00BA0FC4"/>
    <w:rsid w:val="00BA1211"/>
    <w:rsid w:val="00BA138A"/>
    <w:rsid w:val="00BA1E40"/>
    <w:rsid w:val="00BA2A6D"/>
    <w:rsid w:val="00BA2BB8"/>
    <w:rsid w:val="00BA2DAB"/>
    <w:rsid w:val="00BA2E3C"/>
    <w:rsid w:val="00BA38CD"/>
    <w:rsid w:val="00BA412B"/>
    <w:rsid w:val="00BA4193"/>
    <w:rsid w:val="00BA4461"/>
    <w:rsid w:val="00BA44F1"/>
    <w:rsid w:val="00BA459E"/>
    <w:rsid w:val="00BA45AD"/>
    <w:rsid w:val="00BA45F1"/>
    <w:rsid w:val="00BA46D1"/>
    <w:rsid w:val="00BA4773"/>
    <w:rsid w:val="00BA4995"/>
    <w:rsid w:val="00BA4DFB"/>
    <w:rsid w:val="00BA4E05"/>
    <w:rsid w:val="00BA50B5"/>
    <w:rsid w:val="00BA619C"/>
    <w:rsid w:val="00BA62CA"/>
    <w:rsid w:val="00BA6C2F"/>
    <w:rsid w:val="00BA73E2"/>
    <w:rsid w:val="00BA74E0"/>
    <w:rsid w:val="00BA74F5"/>
    <w:rsid w:val="00BA786C"/>
    <w:rsid w:val="00BA7B17"/>
    <w:rsid w:val="00BB003B"/>
    <w:rsid w:val="00BB0610"/>
    <w:rsid w:val="00BB0741"/>
    <w:rsid w:val="00BB0789"/>
    <w:rsid w:val="00BB0C8D"/>
    <w:rsid w:val="00BB0CEF"/>
    <w:rsid w:val="00BB0CFC"/>
    <w:rsid w:val="00BB0ED2"/>
    <w:rsid w:val="00BB12E4"/>
    <w:rsid w:val="00BB1913"/>
    <w:rsid w:val="00BB1EC8"/>
    <w:rsid w:val="00BB1EF5"/>
    <w:rsid w:val="00BB250E"/>
    <w:rsid w:val="00BB2FEC"/>
    <w:rsid w:val="00BB3497"/>
    <w:rsid w:val="00BB3E7B"/>
    <w:rsid w:val="00BB4677"/>
    <w:rsid w:val="00BB4F5D"/>
    <w:rsid w:val="00BB5A64"/>
    <w:rsid w:val="00BB63AB"/>
    <w:rsid w:val="00BB6F34"/>
    <w:rsid w:val="00BB7C83"/>
    <w:rsid w:val="00BC0AD2"/>
    <w:rsid w:val="00BC0F61"/>
    <w:rsid w:val="00BC1243"/>
    <w:rsid w:val="00BC1562"/>
    <w:rsid w:val="00BC1708"/>
    <w:rsid w:val="00BC23FF"/>
    <w:rsid w:val="00BC26C7"/>
    <w:rsid w:val="00BC2E03"/>
    <w:rsid w:val="00BC32CF"/>
    <w:rsid w:val="00BC41DF"/>
    <w:rsid w:val="00BC4414"/>
    <w:rsid w:val="00BC470C"/>
    <w:rsid w:val="00BC54C2"/>
    <w:rsid w:val="00BC57DB"/>
    <w:rsid w:val="00BC5AF8"/>
    <w:rsid w:val="00BC5D77"/>
    <w:rsid w:val="00BC5E91"/>
    <w:rsid w:val="00BC605C"/>
    <w:rsid w:val="00BC6100"/>
    <w:rsid w:val="00BC62DF"/>
    <w:rsid w:val="00BC6D60"/>
    <w:rsid w:val="00BC7D05"/>
    <w:rsid w:val="00BD043E"/>
    <w:rsid w:val="00BD0AC3"/>
    <w:rsid w:val="00BD0B11"/>
    <w:rsid w:val="00BD0F60"/>
    <w:rsid w:val="00BD1189"/>
    <w:rsid w:val="00BD14B0"/>
    <w:rsid w:val="00BD20B1"/>
    <w:rsid w:val="00BD2A00"/>
    <w:rsid w:val="00BD2ADB"/>
    <w:rsid w:val="00BD2B85"/>
    <w:rsid w:val="00BD2BF4"/>
    <w:rsid w:val="00BD3946"/>
    <w:rsid w:val="00BD3979"/>
    <w:rsid w:val="00BD3EB7"/>
    <w:rsid w:val="00BD3F70"/>
    <w:rsid w:val="00BD41DE"/>
    <w:rsid w:val="00BD4A94"/>
    <w:rsid w:val="00BD4F85"/>
    <w:rsid w:val="00BD5174"/>
    <w:rsid w:val="00BD58D3"/>
    <w:rsid w:val="00BD5C47"/>
    <w:rsid w:val="00BD5DB5"/>
    <w:rsid w:val="00BD67AF"/>
    <w:rsid w:val="00BD6A6A"/>
    <w:rsid w:val="00BD70F1"/>
    <w:rsid w:val="00BD7263"/>
    <w:rsid w:val="00BD7306"/>
    <w:rsid w:val="00BD7483"/>
    <w:rsid w:val="00BD787E"/>
    <w:rsid w:val="00BD7B51"/>
    <w:rsid w:val="00BD7C0B"/>
    <w:rsid w:val="00BE043F"/>
    <w:rsid w:val="00BE05B7"/>
    <w:rsid w:val="00BE07D5"/>
    <w:rsid w:val="00BE0AE0"/>
    <w:rsid w:val="00BE0C96"/>
    <w:rsid w:val="00BE0D9C"/>
    <w:rsid w:val="00BE0FC4"/>
    <w:rsid w:val="00BE1376"/>
    <w:rsid w:val="00BE17BD"/>
    <w:rsid w:val="00BE1A7A"/>
    <w:rsid w:val="00BE329A"/>
    <w:rsid w:val="00BE3455"/>
    <w:rsid w:val="00BE3463"/>
    <w:rsid w:val="00BE355E"/>
    <w:rsid w:val="00BE3A95"/>
    <w:rsid w:val="00BE3BFE"/>
    <w:rsid w:val="00BE46CE"/>
    <w:rsid w:val="00BE49CE"/>
    <w:rsid w:val="00BE4A2A"/>
    <w:rsid w:val="00BE4C03"/>
    <w:rsid w:val="00BE578F"/>
    <w:rsid w:val="00BE5E22"/>
    <w:rsid w:val="00BE5E3D"/>
    <w:rsid w:val="00BE68B3"/>
    <w:rsid w:val="00BE6990"/>
    <w:rsid w:val="00BE6C3D"/>
    <w:rsid w:val="00BE6F7B"/>
    <w:rsid w:val="00BE769B"/>
    <w:rsid w:val="00BF03E5"/>
    <w:rsid w:val="00BF094F"/>
    <w:rsid w:val="00BF166D"/>
    <w:rsid w:val="00BF1AF1"/>
    <w:rsid w:val="00BF2AED"/>
    <w:rsid w:val="00BF2B17"/>
    <w:rsid w:val="00BF37F9"/>
    <w:rsid w:val="00BF3BCF"/>
    <w:rsid w:val="00BF3E09"/>
    <w:rsid w:val="00BF42CB"/>
    <w:rsid w:val="00BF485B"/>
    <w:rsid w:val="00BF4C35"/>
    <w:rsid w:val="00BF5050"/>
    <w:rsid w:val="00BF5428"/>
    <w:rsid w:val="00BF559C"/>
    <w:rsid w:val="00BF55E8"/>
    <w:rsid w:val="00BF5A4D"/>
    <w:rsid w:val="00BF603C"/>
    <w:rsid w:val="00C0006A"/>
    <w:rsid w:val="00C01841"/>
    <w:rsid w:val="00C01CFA"/>
    <w:rsid w:val="00C01D27"/>
    <w:rsid w:val="00C01F7B"/>
    <w:rsid w:val="00C02186"/>
    <w:rsid w:val="00C02397"/>
    <w:rsid w:val="00C02D63"/>
    <w:rsid w:val="00C02DAA"/>
    <w:rsid w:val="00C032FF"/>
    <w:rsid w:val="00C0336C"/>
    <w:rsid w:val="00C034A7"/>
    <w:rsid w:val="00C03588"/>
    <w:rsid w:val="00C04A20"/>
    <w:rsid w:val="00C051E5"/>
    <w:rsid w:val="00C05C19"/>
    <w:rsid w:val="00C05DAC"/>
    <w:rsid w:val="00C06450"/>
    <w:rsid w:val="00C06513"/>
    <w:rsid w:val="00C06CCD"/>
    <w:rsid w:val="00C06F8B"/>
    <w:rsid w:val="00C0701D"/>
    <w:rsid w:val="00C0764C"/>
    <w:rsid w:val="00C079BD"/>
    <w:rsid w:val="00C07BEB"/>
    <w:rsid w:val="00C07EBB"/>
    <w:rsid w:val="00C1035A"/>
    <w:rsid w:val="00C107C3"/>
    <w:rsid w:val="00C10991"/>
    <w:rsid w:val="00C10B02"/>
    <w:rsid w:val="00C112E8"/>
    <w:rsid w:val="00C11510"/>
    <w:rsid w:val="00C11B66"/>
    <w:rsid w:val="00C1237F"/>
    <w:rsid w:val="00C12745"/>
    <w:rsid w:val="00C13251"/>
    <w:rsid w:val="00C13333"/>
    <w:rsid w:val="00C133D7"/>
    <w:rsid w:val="00C1415F"/>
    <w:rsid w:val="00C1446A"/>
    <w:rsid w:val="00C14AA3"/>
    <w:rsid w:val="00C14F54"/>
    <w:rsid w:val="00C154C6"/>
    <w:rsid w:val="00C1589C"/>
    <w:rsid w:val="00C16F07"/>
    <w:rsid w:val="00C1734B"/>
    <w:rsid w:val="00C173A5"/>
    <w:rsid w:val="00C173BF"/>
    <w:rsid w:val="00C1740D"/>
    <w:rsid w:val="00C178AB"/>
    <w:rsid w:val="00C17CC7"/>
    <w:rsid w:val="00C17EB4"/>
    <w:rsid w:val="00C20033"/>
    <w:rsid w:val="00C2026E"/>
    <w:rsid w:val="00C20874"/>
    <w:rsid w:val="00C209EA"/>
    <w:rsid w:val="00C213C0"/>
    <w:rsid w:val="00C21540"/>
    <w:rsid w:val="00C21683"/>
    <w:rsid w:val="00C21D30"/>
    <w:rsid w:val="00C22CCC"/>
    <w:rsid w:val="00C22D12"/>
    <w:rsid w:val="00C22DC1"/>
    <w:rsid w:val="00C2324F"/>
    <w:rsid w:val="00C2414C"/>
    <w:rsid w:val="00C24287"/>
    <w:rsid w:val="00C24B9C"/>
    <w:rsid w:val="00C24D2B"/>
    <w:rsid w:val="00C26076"/>
    <w:rsid w:val="00C266DC"/>
    <w:rsid w:val="00C267A9"/>
    <w:rsid w:val="00C273E4"/>
    <w:rsid w:val="00C27A76"/>
    <w:rsid w:val="00C30386"/>
    <w:rsid w:val="00C30423"/>
    <w:rsid w:val="00C306AE"/>
    <w:rsid w:val="00C308BD"/>
    <w:rsid w:val="00C30FB6"/>
    <w:rsid w:val="00C31A26"/>
    <w:rsid w:val="00C31FC1"/>
    <w:rsid w:val="00C3215E"/>
    <w:rsid w:val="00C32335"/>
    <w:rsid w:val="00C32477"/>
    <w:rsid w:val="00C32929"/>
    <w:rsid w:val="00C3307F"/>
    <w:rsid w:val="00C330C2"/>
    <w:rsid w:val="00C3381D"/>
    <w:rsid w:val="00C33870"/>
    <w:rsid w:val="00C34206"/>
    <w:rsid w:val="00C3429D"/>
    <w:rsid w:val="00C34820"/>
    <w:rsid w:val="00C34E8D"/>
    <w:rsid w:val="00C354A5"/>
    <w:rsid w:val="00C35AE8"/>
    <w:rsid w:val="00C35EB1"/>
    <w:rsid w:val="00C3606D"/>
    <w:rsid w:val="00C36088"/>
    <w:rsid w:val="00C36418"/>
    <w:rsid w:val="00C365B9"/>
    <w:rsid w:val="00C36791"/>
    <w:rsid w:val="00C36B9B"/>
    <w:rsid w:val="00C36D8F"/>
    <w:rsid w:val="00C36E46"/>
    <w:rsid w:val="00C37B22"/>
    <w:rsid w:val="00C37FCA"/>
    <w:rsid w:val="00C40789"/>
    <w:rsid w:val="00C40D57"/>
    <w:rsid w:val="00C40DFB"/>
    <w:rsid w:val="00C4108F"/>
    <w:rsid w:val="00C41369"/>
    <w:rsid w:val="00C41AFE"/>
    <w:rsid w:val="00C41FFF"/>
    <w:rsid w:val="00C42293"/>
    <w:rsid w:val="00C42373"/>
    <w:rsid w:val="00C42843"/>
    <w:rsid w:val="00C42D92"/>
    <w:rsid w:val="00C4362E"/>
    <w:rsid w:val="00C43A93"/>
    <w:rsid w:val="00C443ED"/>
    <w:rsid w:val="00C44D57"/>
    <w:rsid w:val="00C44F8C"/>
    <w:rsid w:val="00C44FED"/>
    <w:rsid w:val="00C4507E"/>
    <w:rsid w:val="00C4550F"/>
    <w:rsid w:val="00C456C6"/>
    <w:rsid w:val="00C45861"/>
    <w:rsid w:val="00C459A7"/>
    <w:rsid w:val="00C45FFE"/>
    <w:rsid w:val="00C46708"/>
    <w:rsid w:val="00C468DA"/>
    <w:rsid w:val="00C469CB"/>
    <w:rsid w:val="00C46C30"/>
    <w:rsid w:val="00C47374"/>
    <w:rsid w:val="00C4741F"/>
    <w:rsid w:val="00C474D6"/>
    <w:rsid w:val="00C4776F"/>
    <w:rsid w:val="00C477E2"/>
    <w:rsid w:val="00C479CD"/>
    <w:rsid w:val="00C47D31"/>
    <w:rsid w:val="00C47E97"/>
    <w:rsid w:val="00C501BB"/>
    <w:rsid w:val="00C50380"/>
    <w:rsid w:val="00C50895"/>
    <w:rsid w:val="00C508EE"/>
    <w:rsid w:val="00C511BF"/>
    <w:rsid w:val="00C51446"/>
    <w:rsid w:val="00C514C3"/>
    <w:rsid w:val="00C52760"/>
    <w:rsid w:val="00C52774"/>
    <w:rsid w:val="00C52DEA"/>
    <w:rsid w:val="00C5306F"/>
    <w:rsid w:val="00C5332C"/>
    <w:rsid w:val="00C535B0"/>
    <w:rsid w:val="00C53710"/>
    <w:rsid w:val="00C53956"/>
    <w:rsid w:val="00C53D59"/>
    <w:rsid w:val="00C54D8F"/>
    <w:rsid w:val="00C55097"/>
    <w:rsid w:val="00C553A0"/>
    <w:rsid w:val="00C553AE"/>
    <w:rsid w:val="00C5565A"/>
    <w:rsid w:val="00C55CC4"/>
    <w:rsid w:val="00C55EC5"/>
    <w:rsid w:val="00C568FF"/>
    <w:rsid w:val="00C56AC3"/>
    <w:rsid w:val="00C56F9A"/>
    <w:rsid w:val="00C5765C"/>
    <w:rsid w:val="00C578C0"/>
    <w:rsid w:val="00C57BA3"/>
    <w:rsid w:val="00C609B8"/>
    <w:rsid w:val="00C609D5"/>
    <w:rsid w:val="00C60B3F"/>
    <w:rsid w:val="00C61CA8"/>
    <w:rsid w:val="00C62214"/>
    <w:rsid w:val="00C625D2"/>
    <w:rsid w:val="00C62AA4"/>
    <w:rsid w:val="00C62D3E"/>
    <w:rsid w:val="00C62DB0"/>
    <w:rsid w:val="00C62F50"/>
    <w:rsid w:val="00C635BA"/>
    <w:rsid w:val="00C6385D"/>
    <w:rsid w:val="00C63B28"/>
    <w:rsid w:val="00C64768"/>
    <w:rsid w:val="00C64C65"/>
    <w:rsid w:val="00C64F2D"/>
    <w:rsid w:val="00C658F5"/>
    <w:rsid w:val="00C65A9C"/>
    <w:rsid w:val="00C65B00"/>
    <w:rsid w:val="00C65F05"/>
    <w:rsid w:val="00C66E97"/>
    <w:rsid w:val="00C67770"/>
    <w:rsid w:val="00C67A0A"/>
    <w:rsid w:val="00C70381"/>
    <w:rsid w:val="00C710F2"/>
    <w:rsid w:val="00C71349"/>
    <w:rsid w:val="00C71C4E"/>
    <w:rsid w:val="00C71DDC"/>
    <w:rsid w:val="00C71F95"/>
    <w:rsid w:val="00C71FC9"/>
    <w:rsid w:val="00C7206A"/>
    <w:rsid w:val="00C72276"/>
    <w:rsid w:val="00C72494"/>
    <w:rsid w:val="00C7269D"/>
    <w:rsid w:val="00C72F55"/>
    <w:rsid w:val="00C730F9"/>
    <w:rsid w:val="00C73122"/>
    <w:rsid w:val="00C731B3"/>
    <w:rsid w:val="00C738F1"/>
    <w:rsid w:val="00C73ABC"/>
    <w:rsid w:val="00C740A3"/>
    <w:rsid w:val="00C74AB1"/>
    <w:rsid w:val="00C74CD6"/>
    <w:rsid w:val="00C74D85"/>
    <w:rsid w:val="00C752CF"/>
    <w:rsid w:val="00C7536C"/>
    <w:rsid w:val="00C758F1"/>
    <w:rsid w:val="00C7604B"/>
    <w:rsid w:val="00C7633C"/>
    <w:rsid w:val="00C7636E"/>
    <w:rsid w:val="00C76765"/>
    <w:rsid w:val="00C76D3A"/>
    <w:rsid w:val="00C77484"/>
    <w:rsid w:val="00C7769A"/>
    <w:rsid w:val="00C77FBF"/>
    <w:rsid w:val="00C8024D"/>
    <w:rsid w:val="00C80984"/>
    <w:rsid w:val="00C80DB7"/>
    <w:rsid w:val="00C80DC6"/>
    <w:rsid w:val="00C81B99"/>
    <w:rsid w:val="00C81CF0"/>
    <w:rsid w:val="00C81DFC"/>
    <w:rsid w:val="00C81FA4"/>
    <w:rsid w:val="00C82443"/>
    <w:rsid w:val="00C827A9"/>
    <w:rsid w:val="00C827DB"/>
    <w:rsid w:val="00C82DA0"/>
    <w:rsid w:val="00C8398F"/>
    <w:rsid w:val="00C83D52"/>
    <w:rsid w:val="00C849BF"/>
    <w:rsid w:val="00C84A31"/>
    <w:rsid w:val="00C85556"/>
    <w:rsid w:val="00C863CD"/>
    <w:rsid w:val="00C86527"/>
    <w:rsid w:val="00C8712B"/>
    <w:rsid w:val="00C87552"/>
    <w:rsid w:val="00C875C4"/>
    <w:rsid w:val="00C87F38"/>
    <w:rsid w:val="00C901DF"/>
    <w:rsid w:val="00C90419"/>
    <w:rsid w:val="00C907E6"/>
    <w:rsid w:val="00C90EC7"/>
    <w:rsid w:val="00C9133E"/>
    <w:rsid w:val="00C915F6"/>
    <w:rsid w:val="00C916B6"/>
    <w:rsid w:val="00C91EDF"/>
    <w:rsid w:val="00C92087"/>
    <w:rsid w:val="00C924FA"/>
    <w:rsid w:val="00C92C60"/>
    <w:rsid w:val="00C92D74"/>
    <w:rsid w:val="00C92EED"/>
    <w:rsid w:val="00C93446"/>
    <w:rsid w:val="00C93BA6"/>
    <w:rsid w:val="00C93CB2"/>
    <w:rsid w:val="00C93E79"/>
    <w:rsid w:val="00C94304"/>
    <w:rsid w:val="00C944C4"/>
    <w:rsid w:val="00C94AB7"/>
    <w:rsid w:val="00C94C75"/>
    <w:rsid w:val="00C95346"/>
    <w:rsid w:val="00C9591E"/>
    <w:rsid w:val="00C95DFF"/>
    <w:rsid w:val="00C95FBA"/>
    <w:rsid w:val="00C96250"/>
    <w:rsid w:val="00C968FE"/>
    <w:rsid w:val="00C969BC"/>
    <w:rsid w:val="00C96DDF"/>
    <w:rsid w:val="00C974EF"/>
    <w:rsid w:val="00C97A03"/>
    <w:rsid w:val="00C97B08"/>
    <w:rsid w:val="00C97CD9"/>
    <w:rsid w:val="00CA0164"/>
    <w:rsid w:val="00CA02DC"/>
    <w:rsid w:val="00CA0B3B"/>
    <w:rsid w:val="00CA0D4C"/>
    <w:rsid w:val="00CA0F41"/>
    <w:rsid w:val="00CA1320"/>
    <w:rsid w:val="00CA151D"/>
    <w:rsid w:val="00CA15BC"/>
    <w:rsid w:val="00CA1E97"/>
    <w:rsid w:val="00CA1EA0"/>
    <w:rsid w:val="00CA2169"/>
    <w:rsid w:val="00CA298C"/>
    <w:rsid w:val="00CA2DB4"/>
    <w:rsid w:val="00CA3ECE"/>
    <w:rsid w:val="00CA3F78"/>
    <w:rsid w:val="00CA3FC4"/>
    <w:rsid w:val="00CA4124"/>
    <w:rsid w:val="00CA4BE2"/>
    <w:rsid w:val="00CA4F7B"/>
    <w:rsid w:val="00CA536A"/>
    <w:rsid w:val="00CA5757"/>
    <w:rsid w:val="00CA589D"/>
    <w:rsid w:val="00CA58E6"/>
    <w:rsid w:val="00CA5FE5"/>
    <w:rsid w:val="00CA6082"/>
    <w:rsid w:val="00CA6112"/>
    <w:rsid w:val="00CA6713"/>
    <w:rsid w:val="00CA6C14"/>
    <w:rsid w:val="00CA6FB6"/>
    <w:rsid w:val="00CA70F7"/>
    <w:rsid w:val="00CA766C"/>
    <w:rsid w:val="00CA77AB"/>
    <w:rsid w:val="00CA7ADB"/>
    <w:rsid w:val="00CA7B12"/>
    <w:rsid w:val="00CA7E25"/>
    <w:rsid w:val="00CA7F90"/>
    <w:rsid w:val="00CB0072"/>
    <w:rsid w:val="00CB1154"/>
    <w:rsid w:val="00CB1681"/>
    <w:rsid w:val="00CB1E7F"/>
    <w:rsid w:val="00CB21B9"/>
    <w:rsid w:val="00CB295D"/>
    <w:rsid w:val="00CB32A6"/>
    <w:rsid w:val="00CB3474"/>
    <w:rsid w:val="00CB3571"/>
    <w:rsid w:val="00CB3B69"/>
    <w:rsid w:val="00CB3B6A"/>
    <w:rsid w:val="00CB3B87"/>
    <w:rsid w:val="00CB405C"/>
    <w:rsid w:val="00CB4503"/>
    <w:rsid w:val="00CB4D7E"/>
    <w:rsid w:val="00CB52CB"/>
    <w:rsid w:val="00CB5687"/>
    <w:rsid w:val="00CB572C"/>
    <w:rsid w:val="00CB58E7"/>
    <w:rsid w:val="00CB5E4B"/>
    <w:rsid w:val="00CB6173"/>
    <w:rsid w:val="00CB64E3"/>
    <w:rsid w:val="00CB6A0B"/>
    <w:rsid w:val="00CB6D54"/>
    <w:rsid w:val="00CB6D9E"/>
    <w:rsid w:val="00CB7297"/>
    <w:rsid w:val="00CB7318"/>
    <w:rsid w:val="00CB7603"/>
    <w:rsid w:val="00CB7B7A"/>
    <w:rsid w:val="00CC06E1"/>
    <w:rsid w:val="00CC0A90"/>
    <w:rsid w:val="00CC0C4F"/>
    <w:rsid w:val="00CC135E"/>
    <w:rsid w:val="00CC148D"/>
    <w:rsid w:val="00CC1643"/>
    <w:rsid w:val="00CC2130"/>
    <w:rsid w:val="00CC2BE2"/>
    <w:rsid w:val="00CC34A5"/>
    <w:rsid w:val="00CC34B7"/>
    <w:rsid w:val="00CC4547"/>
    <w:rsid w:val="00CC4574"/>
    <w:rsid w:val="00CC4933"/>
    <w:rsid w:val="00CC4DB1"/>
    <w:rsid w:val="00CC5767"/>
    <w:rsid w:val="00CC63B2"/>
    <w:rsid w:val="00CC6BE0"/>
    <w:rsid w:val="00CC6D4F"/>
    <w:rsid w:val="00CC7B98"/>
    <w:rsid w:val="00CC7E45"/>
    <w:rsid w:val="00CC7FB2"/>
    <w:rsid w:val="00CD0123"/>
    <w:rsid w:val="00CD0189"/>
    <w:rsid w:val="00CD0F0E"/>
    <w:rsid w:val="00CD10A0"/>
    <w:rsid w:val="00CD146A"/>
    <w:rsid w:val="00CD1843"/>
    <w:rsid w:val="00CD18E3"/>
    <w:rsid w:val="00CD1944"/>
    <w:rsid w:val="00CD19C0"/>
    <w:rsid w:val="00CD1AB6"/>
    <w:rsid w:val="00CD1E2F"/>
    <w:rsid w:val="00CD1EDB"/>
    <w:rsid w:val="00CD2118"/>
    <w:rsid w:val="00CD2476"/>
    <w:rsid w:val="00CD2660"/>
    <w:rsid w:val="00CD2951"/>
    <w:rsid w:val="00CD29FC"/>
    <w:rsid w:val="00CD2C39"/>
    <w:rsid w:val="00CD3248"/>
    <w:rsid w:val="00CD3761"/>
    <w:rsid w:val="00CD49FF"/>
    <w:rsid w:val="00CD5984"/>
    <w:rsid w:val="00CD60CC"/>
    <w:rsid w:val="00CD676A"/>
    <w:rsid w:val="00CD6E14"/>
    <w:rsid w:val="00CD6E4F"/>
    <w:rsid w:val="00CD6EC2"/>
    <w:rsid w:val="00CD70DD"/>
    <w:rsid w:val="00CD72A9"/>
    <w:rsid w:val="00CD7327"/>
    <w:rsid w:val="00CE0255"/>
    <w:rsid w:val="00CE04AC"/>
    <w:rsid w:val="00CE08D7"/>
    <w:rsid w:val="00CE09E1"/>
    <w:rsid w:val="00CE0DDB"/>
    <w:rsid w:val="00CE1621"/>
    <w:rsid w:val="00CE1F10"/>
    <w:rsid w:val="00CE1F1D"/>
    <w:rsid w:val="00CE2B17"/>
    <w:rsid w:val="00CE2B81"/>
    <w:rsid w:val="00CE2E60"/>
    <w:rsid w:val="00CE32D4"/>
    <w:rsid w:val="00CE3A2E"/>
    <w:rsid w:val="00CE4021"/>
    <w:rsid w:val="00CE4298"/>
    <w:rsid w:val="00CE4305"/>
    <w:rsid w:val="00CE4B05"/>
    <w:rsid w:val="00CE548A"/>
    <w:rsid w:val="00CE5B6D"/>
    <w:rsid w:val="00CE5CC5"/>
    <w:rsid w:val="00CE65B7"/>
    <w:rsid w:val="00CE6832"/>
    <w:rsid w:val="00CE6EE0"/>
    <w:rsid w:val="00CE774A"/>
    <w:rsid w:val="00CE78FA"/>
    <w:rsid w:val="00CF0091"/>
    <w:rsid w:val="00CF02EE"/>
    <w:rsid w:val="00CF034D"/>
    <w:rsid w:val="00CF03BE"/>
    <w:rsid w:val="00CF0A91"/>
    <w:rsid w:val="00CF1A05"/>
    <w:rsid w:val="00CF1C6F"/>
    <w:rsid w:val="00CF22DC"/>
    <w:rsid w:val="00CF2580"/>
    <w:rsid w:val="00CF25B7"/>
    <w:rsid w:val="00CF273B"/>
    <w:rsid w:val="00CF2A6D"/>
    <w:rsid w:val="00CF2D7E"/>
    <w:rsid w:val="00CF3FAA"/>
    <w:rsid w:val="00CF405E"/>
    <w:rsid w:val="00CF419C"/>
    <w:rsid w:val="00CF4DDC"/>
    <w:rsid w:val="00CF573E"/>
    <w:rsid w:val="00CF5B48"/>
    <w:rsid w:val="00CF5B85"/>
    <w:rsid w:val="00CF6A42"/>
    <w:rsid w:val="00CF6D8D"/>
    <w:rsid w:val="00CF73D2"/>
    <w:rsid w:val="00CF7655"/>
    <w:rsid w:val="00D003D0"/>
    <w:rsid w:val="00D00AE3"/>
    <w:rsid w:val="00D00BEF"/>
    <w:rsid w:val="00D014FC"/>
    <w:rsid w:val="00D016A0"/>
    <w:rsid w:val="00D025F0"/>
    <w:rsid w:val="00D04084"/>
    <w:rsid w:val="00D043D7"/>
    <w:rsid w:val="00D047F4"/>
    <w:rsid w:val="00D0496B"/>
    <w:rsid w:val="00D04991"/>
    <w:rsid w:val="00D04C58"/>
    <w:rsid w:val="00D05194"/>
    <w:rsid w:val="00D0519E"/>
    <w:rsid w:val="00D05E42"/>
    <w:rsid w:val="00D05E79"/>
    <w:rsid w:val="00D0606B"/>
    <w:rsid w:val="00D0624E"/>
    <w:rsid w:val="00D063B8"/>
    <w:rsid w:val="00D06AE0"/>
    <w:rsid w:val="00D06CCC"/>
    <w:rsid w:val="00D06DD8"/>
    <w:rsid w:val="00D06F12"/>
    <w:rsid w:val="00D072CD"/>
    <w:rsid w:val="00D07618"/>
    <w:rsid w:val="00D0783B"/>
    <w:rsid w:val="00D0787B"/>
    <w:rsid w:val="00D07901"/>
    <w:rsid w:val="00D07A86"/>
    <w:rsid w:val="00D07CEE"/>
    <w:rsid w:val="00D10265"/>
    <w:rsid w:val="00D106D8"/>
    <w:rsid w:val="00D10E6A"/>
    <w:rsid w:val="00D1193E"/>
    <w:rsid w:val="00D11ABA"/>
    <w:rsid w:val="00D11AC8"/>
    <w:rsid w:val="00D12060"/>
    <w:rsid w:val="00D121A3"/>
    <w:rsid w:val="00D12A15"/>
    <w:rsid w:val="00D12CCE"/>
    <w:rsid w:val="00D12E65"/>
    <w:rsid w:val="00D1335B"/>
    <w:rsid w:val="00D13649"/>
    <w:rsid w:val="00D13889"/>
    <w:rsid w:val="00D14113"/>
    <w:rsid w:val="00D14141"/>
    <w:rsid w:val="00D142D5"/>
    <w:rsid w:val="00D14740"/>
    <w:rsid w:val="00D14AC5"/>
    <w:rsid w:val="00D14ACF"/>
    <w:rsid w:val="00D14B8F"/>
    <w:rsid w:val="00D14E5A"/>
    <w:rsid w:val="00D14F36"/>
    <w:rsid w:val="00D1595D"/>
    <w:rsid w:val="00D159F6"/>
    <w:rsid w:val="00D1643C"/>
    <w:rsid w:val="00D1653B"/>
    <w:rsid w:val="00D1757A"/>
    <w:rsid w:val="00D175CE"/>
    <w:rsid w:val="00D17B85"/>
    <w:rsid w:val="00D17D37"/>
    <w:rsid w:val="00D20248"/>
    <w:rsid w:val="00D20515"/>
    <w:rsid w:val="00D2082F"/>
    <w:rsid w:val="00D20A83"/>
    <w:rsid w:val="00D21140"/>
    <w:rsid w:val="00D214D2"/>
    <w:rsid w:val="00D219D5"/>
    <w:rsid w:val="00D226C7"/>
    <w:rsid w:val="00D22737"/>
    <w:rsid w:val="00D22AB6"/>
    <w:rsid w:val="00D22DD6"/>
    <w:rsid w:val="00D22F5E"/>
    <w:rsid w:val="00D230AF"/>
    <w:rsid w:val="00D234DA"/>
    <w:rsid w:val="00D24881"/>
    <w:rsid w:val="00D24A27"/>
    <w:rsid w:val="00D24B9B"/>
    <w:rsid w:val="00D24F65"/>
    <w:rsid w:val="00D251CA"/>
    <w:rsid w:val="00D25601"/>
    <w:rsid w:val="00D25955"/>
    <w:rsid w:val="00D261A4"/>
    <w:rsid w:val="00D268C2"/>
    <w:rsid w:val="00D26BA9"/>
    <w:rsid w:val="00D2724B"/>
    <w:rsid w:val="00D279E3"/>
    <w:rsid w:val="00D279E9"/>
    <w:rsid w:val="00D30162"/>
    <w:rsid w:val="00D30DE1"/>
    <w:rsid w:val="00D30ED8"/>
    <w:rsid w:val="00D3174A"/>
    <w:rsid w:val="00D31802"/>
    <w:rsid w:val="00D31B46"/>
    <w:rsid w:val="00D32246"/>
    <w:rsid w:val="00D32371"/>
    <w:rsid w:val="00D3265A"/>
    <w:rsid w:val="00D32B15"/>
    <w:rsid w:val="00D32E28"/>
    <w:rsid w:val="00D334FE"/>
    <w:rsid w:val="00D33B86"/>
    <w:rsid w:val="00D33D2A"/>
    <w:rsid w:val="00D33E54"/>
    <w:rsid w:val="00D34C8B"/>
    <w:rsid w:val="00D353A2"/>
    <w:rsid w:val="00D356D1"/>
    <w:rsid w:val="00D35CEB"/>
    <w:rsid w:val="00D35DBA"/>
    <w:rsid w:val="00D3617B"/>
    <w:rsid w:val="00D368B5"/>
    <w:rsid w:val="00D36DC8"/>
    <w:rsid w:val="00D36F18"/>
    <w:rsid w:val="00D37153"/>
    <w:rsid w:val="00D37707"/>
    <w:rsid w:val="00D377D3"/>
    <w:rsid w:val="00D37A71"/>
    <w:rsid w:val="00D40215"/>
    <w:rsid w:val="00D40A32"/>
    <w:rsid w:val="00D411EB"/>
    <w:rsid w:val="00D413AA"/>
    <w:rsid w:val="00D4153C"/>
    <w:rsid w:val="00D41A66"/>
    <w:rsid w:val="00D41D02"/>
    <w:rsid w:val="00D41E7C"/>
    <w:rsid w:val="00D422BD"/>
    <w:rsid w:val="00D4372F"/>
    <w:rsid w:val="00D43BD2"/>
    <w:rsid w:val="00D43FD4"/>
    <w:rsid w:val="00D44371"/>
    <w:rsid w:val="00D445A7"/>
    <w:rsid w:val="00D4529C"/>
    <w:rsid w:val="00D4582D"/>
    <w:rsid w:val="00D4593B"/>
    <w:rsid w:val="00D45BC7"/>
    <w:rsid w:val="00D45C6D"/>
    <w:rsid w:val="00D45C93"/>
    <w:rsid w:val="00D45D2A"/>
    <w:rsid w:val="00D45E93"/>
    <w:rsid w:val="00D45EB5"/>
    <w:rsid w:val="00D45F66"/>
    <w:rsid w:val="00D46B53"/>
    <w:rsid w:val="00D4727E"/>
    <w:rsid w:val="00D50ACE"/>
    <w:rsid w:val="00D515C0"/>
    <w:rsid w:val="00D518C0"/>
    <w:rsid w:val="00D51984"/>
    <w:rsid w:val="00D519B5"/>
    <w:rsid w:val="00D519BB"/>
    <w:rsid w:val="00D51DDA"/>
    <w:rsid w:val="00D52050"/>
    <w:rsid w:val="00D52382"/>
    <w:rsid w:val="00D523C1"/>
    <w:rsid w:val="00D52821"/>
    <w:rsid w:val="00D53870"/>
    <w:rsid w:val="00D53932"/>
    <w:rsid w:val="00D53960"/>
    <w:rsid w:val="00D546AC"/>
    <w:rsid w:val="00D54978"/>
    <w:rsid w:val="00D54AC3"/>
    <w:rsid w:val="00D54B55"/>
    <w:rsid w:val="00D559F1"/>
    <w:rsid w:val="00D564B5"/>
    <w:rsid w:val="00D568A2"/>
    <w:rsid w:val="00D56D6D"/>
    <w:rsid w:val="00D56F51"/>
    <w:rsid w:val="00D57562"/>
    <w:rsid w:val="00D5760E"/>
    <w:rsid w:val="00D57B47"/>
    <w:rsid w:val="00D60031"/>
    <w:rsid w:val="00D603A7"/>
    <w:rsid w:val="00D6050E"/>
    <w:rsid w:val="00D60ADF"/>
    <w:rsid w:val="00D61324"/>
    <w:rsid w:val="00D61962"/>
    <w:rsid w:val="00D621DE"/>
    <w:rsid w:val="00D62800"/>
    <w:rsid w:val="00D6290D"/>
    <w:rsid w:val="00D634AF"/>
    <w:rsid w:val="00D634BA"/>
    <w:rsid w:val="00D6357E"/>
    <w:rsid w:val="00D63EFB"/>
    <w:rsid w:val="00D6403B"/>
    <w:rsid w:val="00D64340"/>
    <w:rsid w:val="00D648FB"/>
    <w:rsid w:val="00D64ED0"/>
    <w:rsid w:val="00D6516C"/>
    <w:rsid w:val="00D65370"/>
    <w:rsid w:val="00D6615B"/>
    <w:rsid w:val="00D6695C"/>
    <w:rsid w:val="00D669A7"/>
    <w:rsid w:val="00D66EC5"/>
    <w:rsid w:val="00D66F23"/>
    <w:rsid w:val="00D672FD"/>
    <w:rsid w:val="00D6757B"/>
    <w:rsid w:val="00D6782D"/>
    <w:rsid w:val="00D6784B"/>
    <w:rsid w:val="00D67F9D"/>
    <w:rsid w:val="00D71732"/>
    <w:rsid w:val="00D71864"/>
    <w:rsid w:val="00D71A2D"/>
    <w:rsid w:val="00D71DA6"/>
    <w:rsid w:val="00D71EB6"/>
    <w:rsid w:val="00D720D7"/>
    <w:rsid w:val="00D72576"/>
    <w:rsid w:val="00D72580"/>
    <w:rsid w:val="00D725ED"/>
    <w:rsid w:val="00D728C7"/>
    <w:rsid w:val="00D728F0"/>
    <w:rsid w:val="00D73E35"/>
    <w:rsid w:val="00D73F93"/>
    <w:rsid w:val="00D7414A"/>
    <w:rsid w:val="00D7423A"/>
    <w:rsid w:val="00D74856"/>
    <w:rsid w:val="00D7493B"/>
    <w:rsid w:val="00D74D4F"/>
    <w:rsid w:val="00D74DFD"/>
    <w:rsid w:val="00D74E3B"/>
    <w:rsid w:val="00D74F66"/>
    <w:rsid w:val="00D74F9D"/>
    <w:rsid w:val="00D750ED"/>
    <w:rsid w:val="00D7541D"/>
    <w:rsid w:val="00D75605"/>
    <w:rsid w:val="00D75B36"/>
    <w:rsid w:val="00D75C06"/>
    <w:rsid w:val="00D7624E"/>
    <w:rsid w:val="00D76256"/>
    <w:rsid w:val="00D7629E"/>
    <w:rsid w:val="00D76A97"/>
    <w:rsid w:val="00D76F1C"/>
    <w:rsid w:val="00D77364"/>
    <w:rsid w:val="00D77439"/>
    <w:rsid w:val="00D77471"/>
    <w:rsid w:val="00D77E6A"/>
    <w:rsid w:val="00D80165"/>
    <w:rsid w:val="00D803C4"/>
    <w:rsid w:val="00D80AF7"/>
    <w:rsid w:val="00D80B1F"/>
    <w:rsid w:val="00D81237"/>
    <w:rsid w:val="00D81596"/>
    <w:rsid w:val="00D81A35"/>
    <w:rsid w:val="00D81EE1"/>
    <w:rsid w:val="00D8213F"/>
    <w:rsid w:val="00D8233B"/>
    <w:rsid w:val="00D82446"/>
    <w:rsid w:val="00D826C9"/>
    <w:rsid w:val="00D826D6"/>
    <w:rsid w:val="00D83378"/>
    <w:rsid w:val="00D833B9"/>
    <w:rsid w:val="00D83747"/>
    <w:rsid w:val="00D84212"/>
    <w:rsid w:val="00D84394"/>
    <w:rsid w:val="00D84A3D"/>
    <w:rsid w:val="00D84EC5"/>
    <w:rsid w:val="00D85273"/>
    <w:rsid w:val="00D854F3"/>
    <w:rsid w:val="00D85DDE"/>
    <w:rsid w:val="00D86238"/>
    <w:rsid w:val="00D86486"/>
    <w:rsid w:val="00D86CF2"/>
    <w:rsid w:val="00D876ED"/>
    <w:rsid w:val="00D87A20"/>
    <w:rsid w:val="00D87AB8"/>
    <w:rsid w:val="00D9020C"/>
    <w:rsid w:val="00D905E6"/>
    <w:rsid w:val="00D90C6B"/>
    <w:rsid w:val="00D90DF6"/>
    <w:rsid w:val="00D911E3"/>
    <w:rsid w:val="00D91667"/>
    <w:rsid w:val="00D918FB"/>
    <w:rsid w:val="00D920D8"/>
    <w:rsid w:val="00D92362"/>
    <w:rsid w:val="00D92B38"/>
    <w:rsid w:val="00D93424"/>
    <w:rsid w:val="00D93912"/>
    <w:rsid w:val="00D93F99"/>
    <w:rsid w:val="00D947B7"/>
    <w:rsid w:val="00D94BF4"/>
    <w:rsid w:val="00D94CAB"/>
    <w:rsid w:val="00D94F71"/>
    <w:rsid w:val="00D95243"/>
    <w:rsid w:val="00D95670"/>
    <w:rsid w:val="00D956BE"/>
    <w:rsid w:val="00D956BF"/>
    <w:rsid w:val="00D95CB4"/>
    <w:rsid w:val="00D95EA9"/>
    <w:rsid w:val="00D96383"/>
    <w:rsid w:val="00D9643D"/>
    <w:rsid w:val="00D97180"/>
    <w:rsid w:val="00D974C8"/>
    <w:rsid w:val="00D97FE4"/>
    <w:rsid w:val="00DA00FA"/>
    <w:rsid w:val="00DA0C1E"/>
    <w:rsid w:val="00DA119E"/>
    <w:rsid w:val="00DA13D8"/>
    <w:rsid w:val="00DA14CA"/>
    <w:rsid w:val="00DA1502"/>
    <w:rsid w:val="00DA1C62"/>
    <w:rsid w:val="00DA1D50"/>
    <w:rsid w:val="00DA1E01"/>
    <w:rsid w:val="00DA2161"/>
    <w:rsid w:val="00DA234E"/>
    <w:rsid w:val="00DA2856"/>
    <w:rsid w:val="00DA2A9F"/>
    <w:rsid w:val="00DA2C43"/>
    <w:rsid w:val="00DA30C7"/>
    <w:rsid w:val="00DA3BF4"/>
    <w:rsid w:val="00DA3CC0"/>
    <w:rsid w:val="00DA3D28"/>
    <w:rsid w:val="00DA40F2"/>
    <w:rsid w:val="00DA437B"/>
    <w:rsid w:val="00DA499B"/>
    <w:rsid w:val="00DA4C7A"/>
    <w:rsid w:val="00DA5427"/>
    <w:rsid w:val="00DA55C4"/>
    <w:rsid w:val="00DA5F4B"/>
    <w:rsid w:val="00DA625C"/>
    <w:rsid w:val="00DA6594"/>
    <w:rsid w:val="00DA65B2"/>
    <w:rsid w:val="00DA6A13"/>
    <w:rsid w:val="00DA6F17"/>
    <w:rsid w:val="00DA710C"/>
    <w:rsid w:val="00DA7680"/>
    <w:rsid w:val="00DA77C9"/>
    <w:rsid w:val="00DA77FD"/>
    <w:rsid w:val="00DA7DB1"/>
    <w:rsid w:val="00DB0505"/>
    <w:rsid w:val="00DB08EE"/>
    <w:rsid w:val="00DB0B93"/>
    <w:rsid w:val="00DB0BD1"/>
    <w:rsid w:val="00DB12DB"/>
    <w:rsid w:val="00DB1C3F"/>
    <w:rsid w:val="00DB2FB0"/>
    <w:rsid w:val="00DB300F"/>
    <w:rsid w:val="00DB3100"/>
    <w:rsid w:val="00DB3395"/>
    <w:rsid w:val="00DB40C2"/>
    <w:rsid w:val="00DB459B"/>
    <w:rsid w:val="00DB5513"/>
    <w:rsid w:val="00DB5559"/>
    <w:rsid w:val="00DB5761"/>
    <w:rsid w:val="00DB5FAE"/>
    <w:rsid w:val="00DB6543"/>
    <w:rsid w:val="00DB6CAB"/>
    <w:rsid w:val="00DB742D"/>
    <w:rsid w:val="00DB7529"/>
    <w:rsid w:val="00DB7585"/>
    <w:rsid w:val="00DB795A"/>
    <w:rsid w:val="00DB7B66"/>
    <w:rsid w:val="00DB7C17"/>
    <w:rsid w:val="00DB7DDB"/>
    <w:rsid w:val="00DC0CD7"/>
    <w:rsid w:val="00DC0F8A"/>
    <w:rsid w:val="00DC0F94"/>
    <w:rsid w:val="00DC1B23"/>
    <w:rsid w:val="00DC2560"/>
    <w:rsid w:val="00DC2DC3"/>
    <w:rsid w:val="00DC3253"/>
    <w:rsid w:val="00DC34CA"/>
    <w:rsid w:val="00DC34F8"/>
    <w:rsid w:val="00DC3545"/>
    <w:rsid w:val="00DC36BB"/>
    <w:rsid w:val="00DC3C68"/>
    <w:rsid w:val="00DC3D72"/>
    <w:rsid w:val="00DC3E62"/>
    <w:rsid w:val="00DC4902"/>
    <w:rsid w:val="00DC490E"/>
    <w:rsid w:val="00DC4995"/>
    <w:rsid w:val="00DC4BE5"/>
    <w:rsid w:val="00DC52E4"/>
    <w:rsid w:val="00DC5632"/>
    <w:rsid w:val="00DC58F4"/>
    <w:rsid w:val="00DC5D59"/>
    <w:rsid w:val="00DC64E1"/>
    <w:rsid w:val="00DC65DE"/>
    <w:rsid w:val="00DC66F2"/>
    <w:rsid w:val="00DC69E2"/>
    <w:rsid w:val="00DC6D0C"/>
    <w:rsid w:val="00DC6D3A"/>
    <w:rsid w:val="00DC7041"/>
    <w:rsid w:val="00DC73A3"/>
    <w:rsid w:val="00DD0AF6"/>
    <w:rsid w:val="00DD106B"/>
    <w:rsid w:val="00DD1D37"/>
    <w:rsid w:val="00DD2846"/>
    <w:rsid w:val="00DD28F1"/>
    <w:rsid w:val="00DD2AC3"/>
    <w:rsid w:val="00DD2D5F"/>
    <w:rsid w:val="00DD2DB1"/>
    <w:rsid w:val="00DD3B0B"/>
    <w:rsid w:val="00DD3DF0"/>
    <w:rsid w:val="00DD42FC"/>
    <w:rsid w:val="00DD4B99"/>
    <w:rsid w:val="00DD5193"/>
    <w:rsid w:val="00DD5B67"/>
    <w:rsid w:val="00DD5E58"/>
    <w:rsid w:val="00DD665A"/>
    <w:rsid w:val="00DD6876"/>
    <w:rsid w:val="00DD69AA"/>
    <w:rsid w:val="00DD6CC5"/>
    <w:rsid w:val="00DD6DAA"/>
    <w:rsid w:val="00DD7480"/>
    <w:rsid w:val="00DD7E22"/>
    <w:rsid w:val="00DE063E"/>
    <w:rsid w:val="00DE0997"/>
    <w:rsid w:val="00DE0AE7"/>
    <w:rsid w:val="00DE0F2D"/>
    <w:rsid w:val="00DE109C"/>
    <w:rsid w:val="00DE1497"/>
    <w:rsid w:val="00DE19E3"/>
    <w:rsid w:val="00DE1E49"/>
    <w:rsid w:val="00DE220F"/>
    <w:rsid w:val="00DE2630"/>
    <w:rsid w:val="00DE2A36"/>
    <w:rsid w:val="00DE368A"/>
    <w:rsid w:val="00DE40D1"/>
    <w:rsid w:val="00DE40E6"/>
    <w:rsid w:val="00DE441F"/>
    <w:rsid w:val="00DE4467"/>
    <w:rsid w:val="00DE4743"/>
    <w:rsid w:val="00DE4C55"/>
    <w:rsid w:val="00DE4DFB"/>
    <w:rsid w:val="00DE5065"/>
    <w:rsid w:val="00DE518F"/>
    <w:rsid w:val="00DE532A"/>
    <w:rsid w:val="00DE5A51"/>
    <w:rsid w:val="00DE5E46"/>
    <w:rsid w:val="00DE6062"/>
    <w:rsid w:val="00DE6389"/>
    <w:rsid w:val="00DE66B0"/>
    <w:rsid w:val="00DE68CC"/>
    <w:rsid w:val="00DE76C8"/>
    <w:rsid w:val="00DE7874"/>
    <w:rsid w:val="00DE7AA8"/>
    <w:rsid w:val="00DE7ADB"/>
    <w:rsid w:val="00DE7B31"/>
    <w:rsid w:val="00DE7CFC"/>
    <w:rsid w:val="00DF075B"/>
    <w:rsid w:val="00DF0A83"/>
    <w:rsid w:val="00DF0DC6"/>
    <w:rsid w:val="00DF1149"/>
    <w:rsid w:val="00DF1B99"/>
    <w:rsid w:val="00DF1D78"/>
    <w:rsid w:val="00DF21BD"/>
    <w:rsid w:val="00DF2534"/>
    <w:rsid w:val="00DF33EF"/>
    <w:rsid w:val="00DF349A"/>
    <w:rsid w:val="00DF35EE"/>
    <w:rsid w:val="00DF38D9"/>
    <w:rsid w:val="00DF3C09"/>
    <w:rsid w:val="00DF4223"/>
    <w:rsid w:val="00DF4449"/>
    <w:rsid w:val="00DF457B"/>
    <w:rsid w:val="00DF4F24"/>
    <w:rsid w:val="00DF4F80"/>
    <w:rsid w:val="00DF4FB2"/>
    <w:rsid w:val="00DF63CC"/>
    <w:rsid w:val="00DF68E4"/>
    <w:rsid w:val="00DF6975"/>
    <w:rsid w:val="00DF6D61"/>
    <w:rsid w:val="00DF72DA"/>
    <w:rsid w:val="00E00742"/>
    <w:rsid w:val="00E009B1"/>
    <w:rsid w:val="00E00CAD"/>
    <w:rsid w:val="00E014D3"/>
    <w:rsid w:val="00E0211E"/>
    <w:rsid w:val="00E0238D"/>
    <w:rsid w:val="00E02C15"/>
    <w:rsid w:val="00E02D31"/>
    <w:rsid w:val="00E034AD"/>
    <w:rsid w:val="00E03DA1"/>
    <w:rsid w:val="00E0400B"/>
    <w:rsid w:val="00E04280"/>
    <w:rsid w:val="00E046EB"/>
    <w:rsid w:val="00E049EF"/>
    <w:rsid w:val="00E04A35"/>
    <w:rsid w:val="00E04A5E"/>
    <w:rsid w:val="00E050E6"/>
    <w:rsid w:val="00E055C4"/>
    <w:rsid w:val="00E0562F"/>
    <w:rsid w:val="00E05B2B"/>
    <w:rsid w:val="00E06916"/>
    <w:rsid w:val="00E07FAE"/>
    <w:rsid w:val="00E10609"/>
    <w:rsid w:val="00E10626"/>
    <w:rsid w:val="00E107AB"/>
    <w:rsid w:val="00E108BE"/>
    <w:rsid w:val="00E10BDD"/>
    <w:rsid w:val="00E1102F"/>
    <w:rsid w:val="00E117CD"/>
    <w:rsid w:val="00E11D58"/>
    <w:rsid w:val="00E123F0"/>
    <w:rsid w:val="00E12401"/>
    <w:rsid w:val="00E12F9B"/>
    <w:rsid w:val="00E13164"/>
    <w:rsid w:val="00E1337D"/>
    <w:rsid w:val="00E135B1"/>
    <w:rsid w:val="00E13E69"/>
    <w:rsid w:val="00E13F29"/>
    <w:rsid w:val="00E14140"/>
    <w:rsid w:val="00E1466E"/>
    <w:rsid w:val="00E14AA9"/>
    <w:rsid w:val="00E14D03"/>
    <w:rsid w:val="00E156AF"/>
    <w:rsid w:val="00E164D7"/>
    <w:rsid w:val="00E16E89"/>
    <w:rsid w:val="00E17309"/>
    <w:rsid w:val="00E1751F"/>
    <w:rsid w:val="00E1755A"/>
    <w:rsid w:val="00E17675"/>
    <w:rsid w:val="00E17B95"/>
    <w:rsid w:val="00E20077"/>
    <w:rsid w:val="00E201C9"/>
    <w:rsid w:val="00E20257"/>
    <w:rsid w:val="00E2123C"/>
    <w:rsid w:val="00E212A5"/>
    <w:rsid w:val="00E21C8C"/>
    <w:rsid w:val="00E22234"/>
    <w:rsid w:val="00E22374"/>
    <w:rsid w:val="00E22DCE"/>
    <w:rsid w:val="00E23974"/>
    <w:rsid w:val="00E23C99"/>
    <w:rsid w:val="00E242C7"/>
    <w:rsid w:val="00E24406"/>
    <w:rsid w:val="00E2498A"/>
    <w:rsid w:val="00E24BF2"/>
    <w:rsid w:val="00E24E9C"/>
    <w:rsid w:val="00E24F86"/>
    <w:rsid w:val="00E25401"/>
    <w:rsid w:val="00E256DB"/>
    <w:rsid w:val="00E25977"/>
    <w:rsid w:val="00E25A8D"/>
    <w:rsid w:val="00E25AE2"/>
    <w:rsid w:val="00E26390"/>
    <w:rsid w:val="00E265E6"/>
    <w:rsid w:val="00E26652"/>
    <w:rsid w:val="00E269B0"/>
    <w:rsid w:val="00E26B0F"/>
    <w:rsid w:val="00E26BF1"/>
    <w:rsid w:val="00E26D6C"/>
    <w:rsid w:val="00E26FC9"/>
    <w:rsid w:val="00E27051"/>
    <w:rsid w:val="00E278EF"/>
    <w:rsid w:val="00E27996"/>
    <w:rsid w:val="00E305E4"/>
    <w:rsid w:val="00E30954"/>
    <w:rsid w:val="00E30D2A"/>
    <w:rsid w:val="00E30DBB"/>
    <w:rsid w:val="00E3117A"/>
    <w:rsid w:val="00E313C2"/>
    <w:rsid w:val="00E3170F"/>
    <w:rsid w:val="00E318BE"/>
    <w:rsid w:val="00E31A0B"/>
    <w:rsid w:val="00E31FC4"/>
    <w:rsid w:val="00E32511"/>
    <w:rsid w:val="00E325AB"/>
    <w:rsid w:val="00E32663"/>
    <w:rsid w:val="00E32899"/>
    <w:rsid w:val="00E32B44"/>
    <w:rsid w:val="00E33A92"/>
    <w:rsid w:val="00E33A9A"/>
    <w:rsid w:val="00E33D40"/>
    <w:rsid w:val="00E33EE5"/>
    <w:rsid w:val="00E33F00"/>
    <w:rsid w:val="00E33F19"/>
    <w:rsid w:val="00E34375"/>
    <w:rsid w:val="00E343E1"/>
    <w:rsid w:val="00E34917"/>
    <w:rsid w:val="00E3496E"/>
    <w:rsid w:val="00E34A68"/>
    <w:rsid w:val="00E34B4D"/>
    <w:rsid w:val="00E3502B"/>
    <w:rsid w:val="00E35139"/>
    <w:rsid w:val="00E35FF8"/>
    <w:rsid w:val="00E37A97"/>
    <w:rsid w:val="00E37D9D"/>
    <w:rsid w:val="00E37DCF"/>
    <w:rsid w:val="00E40BC5"/>
    <w:rsid w:val="00E40BD4"/>
    <w:rsid w:val="00E4105D"/>
    <w:rsid w:val="00E4140D"/>
    <w:rsid w:val="00E416B5"/>
    <w:rsid w:val="00E41752"/>
    <w:rsid w:val="00E41BA2"/>
    <w:rsid w:val="00E4210C"/>
    <w:rsid w:val="00E421B9"/>
    <w:rsid w:val="00E42510"/>
    <w:rsid w:val="00E42528"/>
    <w:rsid w:val="00E425B5"/>
    <w:rsid w:val="00E42F19"/>
    <w:rsid w:val="00E42F99"/>
    <w:rsid w:val="00E4313F"/>
    <w:rsid w:val="00E4351D"/>
    <w:rsid w:val="00E43AAF"/>
    <w:rsid w:val="00E44368"/>
    <w:rsid w:val="00E44857"/>
    <w:rsid w:val="00E45553"/>
    <w:rsid w:val="00E457D0"/>
    <w:rsid w:val="00E458B9"/>
    <w:rsid w:val="00E45BD8"/>
    <w:rsid w:val="00E46168"/>
    <w:rsid w:val="00E46A56"/>
    <w:rsid w:val="00E470A7"/>
    <w:rsid w:val="00E47421"/>
    <w:rsid w:val="00E4743F"/>
    <w:rsid w:val="00E47DF0"/>
    <w:rsid w:val="00E501B8"/>
    <w:rsid w:val="00E50CF7"/>
    <w:rsid w:val="00E515DA"/>
    <w:rsid w:val="00E516D3"/>
    <w:rsid w:val="00E5187C"/>
    <w:rsid w:val="00E51AC1"/>
    <w:rsid w:val="00E520B5"/>
    <w:rsid w:val="00E5214B"/>
    <w:rsid w:val="00E52A92"/>
    <w:rsid w:val="00E52E0E"/>
    <w:rsid w:val="00E52EF5"/>
    <w:rsid w:val="00E532C5"/>
    <w:rsid w:val="00E5380B"/>
    <w:rsid w:val="00E54177"/>
    <w:rsid w:val="00E546D8"/>
    <w:rsid w:val="00E54868"/>
    <w:rsid w:val="00E54990"/>
    <w:rsid w:val="00E54D21"/>
    <w:rsid w:val="00E5570F"/>
    <w:rsid w:val="00E56108"/>
    <w:rsid w:val="00E562D5"/>
    <w:rsid w:val="00E56438"/>
    <w:rsid w:val="00E56A50"/>
    <w:rsid w:val="00E573DF"/>
    <w:rsid w:val="00E57564"/>
    <w:rsid w:val="00E575BA"/>
    <w:rsid w:val="00E60871"/>
    <w:rsid w:val="00E60A14"/>
    <w:rsid w:val="00E60A1B"/>
    <w:rsid w:val="00E60D28"/>
    <w:rsid w:val="00E610EF"/>
    <w:rsid w:val="00E61C11"/>
    <w:rsid w:val="00E6209A"/>
    <w:rsid w:val="00E62B2C"/>
    <w:rsid w:val="00E62ECD"/>
    <w:rsid w:val="00E62EF4"/>
    <w:rsid w:val="00E63177"/>
    <w:rsid w:val="00E6337D"/>
    <w:rsid w:val="00E63828"/>
    <w:rsid w:val="00E63F6A"/>
    <w:rsid w:val="00E644BE"/>
    <w:rsid w:val="00E649E6"/>
    <w:rsid w:val="00E64DB9"/>
    <w:rsid w:val="00E65A98"/>
    <w:rsid w:val="00E65C6E"/>
    <w:rsid w:val="00E66653"/>
    <w:rsid w:val="00E66D82"/>
    <w:rsid w:val="00E676E9"/>
    <w:rsid w:val="00E67744"/>
    <w:rsid w:val="00E67A38"/>
    <w:rsid w:val="00E70716"/>
    <w:rsid w:val="00E707FE"/>
    <w:rsid w:val="00E70FA9"/>
    <w:rsid w:val="00E71070"/>
    <w:rsid w:val="00E71318"/>
    <w:rsid w:val="00E71DE6"/>
    <w:rsid w:val="00E7209F"/>
    <w:rsid w:val="00E72143"/>
    <w:rsid w:val="00E72240"/>
    <w:rsid w:val="00E724F7"/>
    <w:rsid w:val="00E725D1"/>
    <w:rsid w:val="00E72C7D"/>
    <w:rsid w:val="00E73235"/>
    <w:rsid w:val="00E732BA"/>
    <w:rsid w:val="00E74185"/>
    <w:rsid w:val="00E74F07"/>
    <w:rsid w:val="00E75123"/>
    <w:rsid w:val="00E75CA1"/>
    <w:rsid w:val="00E75D90"/>
    <w:rsid w:val="00E767B6"/>
    <w:rsid w:val="00E774F0"/>
    <w:rsid w:val="00E7753F"/>
    <w:rsid w:val="00E77565"/>
    <w:rsid w:val="00E77850"/>
    <w:rsid w:val="00E77940"/>
    <w:rsid w:val="00E77A60"/>
    <w:rsid w:val="00E801B6"/>
    <w:rsid w:val="00E8029F"/>
    <w:rsid w:val="00E803B5"/>
    <w:rsid w:val="00E80CEE"/>
    <w:rsid w:val="00E810B1"/>
    <w:rsid w:val="00E81193"/>
    <w:rsid w:val="00E8126B"/>
    <w:rsid w:val="00E813E2"/>
    <w:rsid w:val="00E8142E"/>
    <w:rsid w:val="00E81F35"/>
    <w:rsid w:val="00E8207D"/>
    <w:rsid w:val="00E82860"/>
    <w:rsid w:val="00E82E49"/>
    <w:rsid w:val="00E82FEB"/>
    <w:rsid w:val="00E83D0C"/>
    <w:rsid w:val="00E83F1D"/>
    <w:rsid w:val="00E848F6"/>
    <w:rsid w:val="00E84A1F"/>
    <w:rsid w:val="00E85C48"/>
    <w:rsid w:val="00E860DA"/>
    <w:rsid w:val="00E860E2"/>
    <w:rsid w:val="00E86175"/>
    <w:rsid w:val="00E86F79"/>
    <w:rsid w:val="00E87719"/>
    <w:rsid w:val="00E878CA"/>
    <w:rsid w:val="00E87991"/>
    <w:rsid w:val="00E87BB6"/>
    <w:rsid w:val="00E87BF3"/>
    <w:rsid w:val="00E87E36"/>
    <w:rsid w:val="00E90131"/>
    <w:rsid w:val="00E906A5"/>
    <w:rsid w:val="00E916F7"/>
    <w:rsid w:val="00E91D85"/>
    <w:rsid w:val="00E928D0"/>
    <w:rsid w:val="00E92C8D"/>
    <w:rsid w:val="00E93227"/>
    <w:rsid w:val="00E932A3"/>
    <w:rsid w:val="00E93835"/>
    <w:rsid w:val="00E94254"/>
    <w:rsid w:val="00E9476E"/>
    <w:rsid w:val="00E94A12"/>
    <w:rsid w:val="00E957DE"/>
    <w:rsid w:val="00E959C5"/>
    <w:rsid w:val="00E95A17"/>
    <w:rsid w:val="00E96947"/>
    <w:rsid w:val="00E9733B"/>
    <w:rsid w:val="00E978C5"/>
    <w:rsid w:val="00E97CF5"/>
    <w:rsid w:val="00E97E58"/>
    <w:rsid w:val="00EA02E9"/>
    <w:rsid w:val="00EA0A6A"/>
    <w:rsid w:val="00EA1141"/>
    <w:rsid w:val="00EA1525"/>
    <w:rsid w:val="00EA17A8"/>
    <w:rsid w:val="00EA1FD3"/>
    <w:rsid w:val="00EA24F8"/>
    <w:rsid w:val="00EA2BE1"/>
    <w:rsid w:val="00EA2C1D"/>
    <w:rsid w:val="00EA2C2A"/>
    <w:rsid w:val="00EA2C60"/>
    <w:rsid w:val="00EA31F2"/>
    <w:rsid w:val="00EA3678"/>
    <w:rsid w:val="00EA39D0"/>
    <w:rsid w:val="00EA3BD9"/>
    <w:rsid w:val="00EA411A"/>
    <w:rsid w:val="00EA451C"/>
    <w:rsid w:val="00EA4D92"/>
    <w:rsid w:val="00EA4E0E"/>
    <w:rsid w:val="00EA50B5"/>
    <w:rsid w:val="00EA5307"/>
    <w:rsid w:val="00EA5FB7"/>
    <w:rsid w:val="00EA6FB8"/>
    <w:rsid w:val="00EA719C"/>
    <w:rsid w:val="00EA72AD"/>
    <w:rsid w:val="00EA7CB7"/>
    <w:rsid w:val="00EA7E37"/>
    <w:rsid w:val="00EA7FA7"/>
    <w:rsid w:val="00EA7FDD"/>
    <w:rsid w:val="00EB028B"/>
    <w:rsid w:val="00EB0DF1"/>
    <w:rsid w:val="00EB15D9"/>
    <w:rsid w:val="00EB16E4"/>
    <w:rsid w:val="00EB1853"/>
    <w:rsid w:val="00EB1C76"/>
    <w:rsid w:val="00EB23C8"/>
    <w:rsid w:val="00EB2E15"/>
    <w:rsid w:val="00EB2FD2"/>
    <w:rsid w:val="00EB3378"/>
    <w:rsid w:val="00EB34FC"/>
    <w:rsid w:val="00EB35F2"/>
    <w:rsid w:val="00EB37A9"/>
    <w:rsid w:val="00EB405E"/>
    <w:rsid w:val="00EB45BE"/>
    <w:rsid w:val="00EB4CD5"/>
    <w:rsid w:val="00EB4FCF"/>
    <w:rsid w:val="00EB5219"/>
    <w:rsid w:val="00EB52EC"/>
    <w:rsid w:val="00EB54B2"/>
    <w:rsid w:val="00EB5546"/>
    <w:rsid w:val="00EB56AE"/>
    <w:rsid w:val="00EB56E0"/>
    <w:rsid w:val="00EB5F2B"/>
    <w:rsid w:val="00EB609F"/>
    <w:rsid w:val="00EB67D7"/>
    <w:rsid w:val="00EB6C6B"/>
    <w:rsid w:val="00EB6D69"/>
    <w:rsid w:val="00EB73C4"/>
    <w:rsid w:val="00EC0259"/>
    <w:rsid w:val="00EC0837"/>
    <w:rsid w:val="00EC0E59"/>
    <w:rsid w:val="00EC13D1"/>
    <w:rsid w:val="00EC141C"/>
    <w:rsid w:val="00EC1585"/>
    <w:rsid w:val="00EC15C5"/>
    <w:rsid w:val="00EC17B2"/>
    <w:rsid w:val="00EC1A4D"/>
    <w:rsid w:val="00EC1AF7"/>
    <w:rsid w:val="00EC1C0D"/>
    <w:rsid w:val="00EC1C1B"/>
    <w:rsid w:val="00EC2162"/>
    <w:rsid w:val="00EC23CB"/>
    <w:rsid w:val="00EC2487"/>
    <w:rsid w:val="00EC295B"/>
    <w:rsid w:val="00EC2C55"/>
    <w:rsid w:val="00EC3416"/>
    <w:rsid w:val="00EC444A"/>
    <w:rsid w:val="00EC4F33"/>
    <w:rsid w:val="00EC5799"/>
    <w:rsid w:val="00EC5D01"/>
    <w:rsid w:val="00EC5EFC"/>
    <w:rsid w:val="00EC601E"/>
    <w:rsid w:val="00EC603E"/>
    <w:rsid w:val="00EC61B9"/>
    <w:rsid w:val="00EC6326"/>
    <w:rsid w:val="00EC6913"/>
    <w:rsid w:val="00EC69DB"/>
    <w:rsid w:val="00EC6EEC"/>
    <w:rsid w:val="00EC6F11"/>
    <w:rsid w:val="00EC743B"/>
    <w:rsid w:val="00EC74EA"/>
    <w:rsid w:val="00EC7829"/>
    <w:rsid w:val="00EC7A50"/>
    <w:rsid w:val="00EC7A73"/>
    <w:rsid w:val="00EC7A8B"/>
    <w:rsid w:val="00EC7B87"/>
    <w:rsid w:val="00EC7BA7"/>
    <w:rsid w:val="00EC7DDB"/>
    <w:rsid w:val="00EC7EC8"/>
    <w:rsid w:val="00ED073F"/>
    <w:rsid w:val="00ED09B5"/>
    <w:rsid w:val="00ED0EB0"/>
    <w:rsid w:val="00ED0F4B"/>
    <w:rsid w:val="00ED140B"/>
    <w:rsid w:val="00ED1714"/>
    <w:rsid w:val="00ED26AA"/>
    <w:rsid w:val="00ED307A"/>
    <w:rsid w:val="00ED3F45"/>
    <w:rsid w:val="00ED4B0A"/>
    <w:rsid w:val="00ED4B66"/>
    <w:rsid w:val="00ED5E4E"/>
    <w:rsid w:val="00ED62F6"/>
    <w:rsid w:val="00ED63F5"/>
    <w:rsid w:val="00ED6B52"/>
    <w:rsid w:val="00ED6C30"/>
    <w:rsid w:val="00ED6D2E"/>
    <w:rsid w:val="00ED700A"/>
    <w:rsid w:val="00ED71A8"/>
    <w:rsid w:val="00ED74CE"/>
    <w:rsid w:val="00ED77BC"/>
    <w:rsid w:val="00ED7A5B"/>
    <w:rsid w:val="00ED7B53"/>
    <w:rsid w:val="00ED7DE2"/>
    <w:rsid w:val="00EE0D61"/>
    <w:rsid w:val="00EE24E9"/>
    <w:rsid w:val="00EE254A"/>
    <w:rsid w:val="00EE2E70"/>
    <w:rsid w:val="00EE2F92"/>
    <w:rsid w:val="00EE2FD9"/>
    <w:rsid w:val="00EE345F"/>
    <w:rsid w:val="00EE366E"/>
    <w:rsid w:val="00EE410D"/>
    <w:rsid w:val="00EE4322"/>
    <w:rsid w:val="00EE441D"/>
    <w:rsid w:val="00EE52D8"/>
    <w:rsid w:val="00EE58ED"/>
    <w:rsid w:val="00EE5AF1"/>
    <w:rsid w:val="00EE5B23"/>
    <w:rsid w:val="00EE5DEB"/>
    <w:rsid w:val="00EE5F72"/>
    <w:rsid w:val="00EE6868"/>
    <w:rsid w:val="00EE6B4A"/>
    <w:rsid w:val="00EE6CA8"/>
    <w:rsid w:val="00EE742D"/>
    <w:rsid w:val="00EE783B"/>
    <w:rsid w:val="00EE79B1"/>
    <w:rsid w:val="00EF021B"/>
    <w:rsid w:val="00EF0CBA"/>
    <w:rsid w:val="00EF1298"/>
    <w:rsid w:val="00EF1524"/>
    <w:rsid w:val="00EF174F"/>
    <w:rsid w:val="00EF18E2"/>
    <w:rsid w:val="00EF1AA7"/>
    <w:rsid w:val="00EF1B49"/>
    <w:rsid w:val="00EF1FDC"/>
    <w:rsid w:val="00EF250A"/>
    <w:rsid w:val="00EF25C7"/>
    <w:rsid w:val="00EF3C60"/>
    <w:rsid w:val="00EF3F12"/>
    <w:rsid w:val="00EF4881"/>
    <w:rsid w:val="00EF5B2D"/>
    <w:rsid w:val="00EF5C7D"/>
    <w:rsid w:val="00EF5E36"/>
    <w:rsid w:val="00EF5E8C"/>
    <w:rsid w:val="00EF607E"/>
    <w:rsid w:val="00EF60B1"/>
    <w:rsid w:val="00EF69D1"/>
    <w:rsid w:val="00EF6B4C"/>
    <w:rsid w:val="00EF6D44"/>
    <w:rsid w:val="00EF7467"/>
    <w:rsid w:val="00F00ACF"/>
    <w:rsid w:val="00F0179E"/>
    <w:rsid w:val="00F01AB3"/>
    <w:rsid w:val="00F020B9"/>
    <w:rsid w:val="00F0305C"/>
    <w:rsid w:val="00F04A10"/>
    <w:rsid w:val="00F04C8E"/>
    <w:rsid w:val="00F04D24"/>
    <w:rsid w:val="00F04D3A"/>
    <w:rsid w:val="00F057F7"/>
    <w:rsid w:val="00F05C0F"/>
    <w:rsid w:val="00F05C39"/>
    <w:rsid w:val="00F06268"/>
    <w:rsid w:val="00F0632B"/>
    <w:rsid w:val="00F0649F"/>
    <w:rsid w:val="00F066E0"/>
    <w:rsid w:val="00F06AE7"/>
    <w:rsid w:val="00F06BD6"/>
    <w:rsid w:val="00F07397"/>
    <w:rsid w:val="00F074B6"/>
    <w:rsid w:val="00F0767F"/>
    <w:rsid w:val="00F07B0D"/>
    <w:rsid w:val="00F07CE1"/>
    <w:rsid w:val="00F07D06"/>
    <w:rsid w:val="00F07F25"/>
    <w:rsid w:val="00F07F27"/>
    <w:rsid w:val="00F1031A"/>
    <w:rsid w:val="00F115B8"/>
    <w:rsid w:val="00F116F8"/>
    <w:rsid w:val="00F11B79"/>
    <w:rsid w:val="00F11D01"/>
    <w:rsid w:val="00F12D91"/>
    <w:rsid w:val="00F12FD9"/>
    <w:rsid w:val="00F1303C"/>
    <w:rsid w:val="00F13681"/>
    <w:rsid w:val="00F13B33"/>
    <w:rsid w:val="00F13DDC"/>
    <w:rsid w:val="00F1452F"/>
    <w:rsid w:val="00F146BF"/>
    <w:rsid w:val="00F14E81"/>
    <w:rsid w:val="00F150CE"/>
    <w:rsid w:val="00F1569A"/>
    <w:rsid w:val="00F15B75"/>
    <w:rsid w:val="00F16033"/>
    <w:rsid w:val="00F16303"/>
    <w:rsid w:val="00F16681"/>
    <w:rsid w:val="00F16A44"/>
    <w:rsid w:val="00F16CB6"/>
    <w:rsid w:val="00F16D47"/>
    <w:rsid w:val="00F16FAD"/>
    <w:rsid w:val="00F17264"/>
    <w:rsid w:val="00F172FC"/>
    <w:rsid w:val="00F17440"/>
    <w:rsid w:val="00F17452"/>
    <w:rsid w:val="00F177F2"/>
    <w:rsid w:val="00F17930"/>
    <w:rsid w:val="00F17D14"/>
    <w:rsid w:val="00F2040D"/>
    <w:rsid w:val="00F2077C"/>
    <w:rsid w:val="00F20DF9"/>
    <w:rsid w:val="00F21697"/>
    <w:rsid w:val="00F21C78"/>
    <w:rsid w:val="00F21EB9"/>
    <w:rsid w:val="00F22275"/>
    <w:rsid w:val="00F225B4"/>
    <w:rsid w:val="00F22890"/>
    <w:rsid w:val="00F22B3B"/>
    <w:rsid w:val="00F22BE7"/>
    <w:rsid w:val="00F22C45"/>
    <w:rsid w:val="00F22D00"/>
    <w:rsid w:val="00F22EFD"/>
    <w:rsid w:val="00F23BEE"/>
    <w:rsid w:val="00F24085"/>
    <w:rsid w:val="00F242E8"/>
    <w:rsid w:val="00F243CE"/>
    <w:rsid w:val="00F2486E"/>
    <w:rsid w:val="00F24900"/>
    <w:rsid w:val="00F24988"/>
    <w:rsid w:val="00F24D59"/>
    <w:rsid w:val="00F25459"/>
    <w:rsid w:val="00F25A11"/>
    <w:rsid w:val="00F25A71"/>
    <w:rsid w:val="00F262A7"/>
    <w:rsid w:val="00F2669A"/>
    <w:rsid w:val="00F26EFF"/>
    <w:rsid w:val="00F26F51"/>
    <w:rsid w:val="00F27036"/>
    <w:rsid w:val="00F27DF7"/>
    <w:rsid w:val="00F30406"/>
    <w:rsid w:val="00F30412"/>
    <w:rsid w:val="00F304F6"/>
    <w:rsid w:val="00F308FB"/>
    <w:rsid w:val="00F30D3C"/>
    <w:rsid w:val="00F3256C"/>
    <w:rsid w:val="00F32CD4"/>
    <w:rsid w:val="00F33072"/>
    <w:rsid w:val="00F33340"/>
    <w:rsid w:val="00F33574"/>
    <w:rsid w:val="00F33E66"/>
    <w:rsid w:val="00F340CC"/>
    <w:rsid w:val="00F34317"/>
    <w:rsid w:val="00F3456B"/>
    <w:rsid w:val="00F3469F"/>
    <w:rsid w:val="00F34803"/>
    <w:rsid w:val="00F348B9"/>
    <w:rsid w:val="00F34D29"/>
    <w:rsid w:val="00F3578B"/>
    <w:rsid w:val="00F35D86"/>
    <w:rsid w:val="00F3640F"/>
    <w:rsid w:val="00F36601"/>
    <w:rsid w:val="00F376DC"/>
    <w:rsid w:val="00F404DC"/>
    <w:rsid w:val="00F40821"/>
    <w:rsid w:val="00F40AB6"/>
    <w:rsid w:val="00F41029"/>
    <w:rsid w:val="00F410F7"/>
    <w:rsid w:val="00F4188D"/>
    <w:rsid w:val="00F420AF"/>
    <w:rsid w:val="00F4231D"/>
    <w:rsid w:val="00F424FD"/>
    <w:rsid w:val="00F4292C"/>
    <w:rsid w:val="00F43C59"/>
    <w:rsid w:val="00F43DE7"/>
    <w:rsid w:val="00F43FDA"/>
    <w:rsid w:val="00F445A2"/>
    <w:rsid w:val="00F44E07"/>
    <w:rsid w:val="00F450D8"/>
    <w:rsid w:val="00F4516D"/>
    <w:rsid w:val="00F45426"/>
    <w:rsid w:val="00F45550"/>
    <w:rsid w:val="00F459A9"/>
    <w:rsid w:val="00F45ADC"/>
    <w:rsid w:val="00F466F5"/>
    <w:rsid w:val="00F46973"/>
    <w:rsid w:val="00F46AD7"/>
    <w:rsid w:val="00F46E79"/>
    <w:rsid w:val="00F47099"/>
    <w:rsid w:val="00F47678"/>
    <w:rsid w:val="00F476F5"/>
    <w:rsid w:val="00F47803"/>
    <w:rsid w:val="00F47CFC"/>
    <w:rsid w:val="00F47FAB"/>
    <w:rsid w:val="00F502ED"/>
    <w:rsid w:val="00F50559"/>
    <w:rsid w:val="00F507B3"/>
    <w:rsid w:val="00F5094A"/>
    <w:rsid w:val="00F510A3"/>
    <w:rsid w:val="00F51287"/>
    <w:rsid w:val="00F5156E"/>
    <w:rsid w:val="00F51A06"/>
    <w:rsid w:val="00F52427"/>
    <w:rsid w:val="00F534AC"/>
    <w:rsid w:val="00F535D9"/>
    <w:rsid w:val="00F540A6"/>
    <w:rsid w:val="00F545FB"/>
    <w:rsid w:val="00F54DC8"/>
    <w:rsid w:val="00F54F6F"/>
    <w:rsid w:val="00F553C0"/>
    <w:rsid w:val="00F553E9"/>
    <w:rsid w:val="00F55815"/>
    <w:rsid w:val="00F55AEA"/>
    <w:rsid w:val="00F55F56"/>
    <w:rsid w:val="00F55FD3"/>
    <w:rsid w:val="00F56066"/>
    <w:rsid w:val="00F56AC2"/>
    <w:rsid w:val="00F56DF5"/>
    <w:rsid w:val="00F57038"/>
    <w:rsid w:val="00F57651"/>
    <w:rsid w:val="00F60132"/>
    <w:rsid w:val="00F60A66"/>
    <w:rsid w:val="00F619C7"/>
    <w:rsid w:val="00F61EEC"/>
    <w:rsid w:val="00F62349"/>
    <w:rsid w:val="00F629E8"/>
    <w:rsid w:val="00F62B8F"/>
    <w:rsid w:val="00F62F2C"/>
    <w:rsid w:val="00F631D7"/>
    <w:rsid w:val="00F635B9"/>
    <w:rsid w:val="00F63870"/>
    <w:rsid w:val="00F63930"/>
    <w:rsid w:val="00F63A33"/>
    <w:rsid w:val="00F63ADB"/>
    <w:rsid w:val="00F63ADC"/>
    <w:rsid w:val="00F64A8E"/>
    <w:rsid w:val="00F64B81"/>
    <w:rsid w:val="00F653CD"/>
    <w:rsid w:val="00F65858"/>
    <w:rsid w:val="00F658CA"/>
    <w:rsid w:val="00F660A6"/>
    <w:rsid w:val="00F66709"/>
    <w:rsid w:val="00F6719E"/>
    <w:rsid w:val="00F6724C"/>
    <w:rsid w:val="00F675EE"/>
    <w:rsid w:val="00F675F1"/>
    <w:rsid w:val="00F67C01"/>
    <w:rsid w:val="00F67E06"/>
    <w:rsid w:val="00F67EEE"/>
    <w:rsid w:val="00F7094D"/>
    <w:rsid w:val="00F716FA"/>
    <w:rsid w:val="00F72886"/>
    <w:rsid w:val="00F72E36"/>
    <w:rsid w:val="00F731F8"/>
    <w:rsid w:val="00F73F9D"/>
    <w:rsid w:val="00F74152"/>
    <w:rsid w:val="00F74A60"/>
    <w:rsid w:val="00F74D7B"/>
    <w:rsid w:val="00F75286"/>
    <w:rsid w:val="00F752F1"/>
    <w:rsid w:val="00F75306"/>
    <w:rsid w:val="00F754F8"/>
    <w:rsid w:val="00F7611F"/>
    <w:rsid w:val="00F766E1"/>
    <w:rsid w:val="00F76B26"/>
    <w:rsid w:val="00F76DE9"/>
    <w:rsid w:val="00F7773E"/>
    <w:rsid w:val="00F77E43"/>
    <w:rsid w:val="00F77F85"/>
    <w:rsid w:val="00F80576"/>
    <w:rsid w:val="00F80A9C"/>
    <w:rsid w:val="00F80EC5"/>
    <w:rsid w:val="00F80F84"/>
    <w:rsid w:val="00F80FBD"/>
    <w:rsid w:val="00F8103A"/>
    <w:rsid w:val="00F8127A"/>
    <w:rsid w:val="00F81383"/>
    <w:rsid w:val="00F8156E"/>
    <w:rsid w:val="00F8165A"/>
    <w:rsid w:val="00F81E0A"/>
    <w:rsid w:val="00F81F49"/>
    <w:rsid w:val="00F824B6"/>
    <w:rsid w:val="00F827C4"/>
    <w:rsid w:val="00F82B11"/>
    <w:rsid w:val="00F82D2C"/>
    <w:rsid w:val="00F82DC0"/>
    <w:rsid w:val="00F830CF"/>
    <w:rsid w:val="00F83C04"/>
    <w:rsid w:val="00F83C0E"/>
    <w:rsid w:val="00F83D8A"/>
    <w:rsid w:val="00F842CE"/>
    <w:rsid w:val="00F84795"/>
    <w:rsid w:val="00F84C89"/>
    <w:rsid w:val="00F85376"/>
    <w:rsid w:val="00F857D2"/>
    <w:rsid w:val="00F858AB"/>
    <w:rsid w:val="00F8592A"/>
    <w:rsid w:val="00F86EF8"/>
    <w:rsid w:val="00F87E03"/>
    <w:rsid w:val="00F9026E"/>
    <w:rsid w:val="00F90757"/>
    <w:rsid w:val="00F91834"/>
    <w:rsid w:val="00F91905"/>
    <w:rsid w:val="00F91922"/>
    <w:rsid w:val="00F91ABA"/>
    <w:rsid w:val="00F923E2"/>
    <w:rsid w:val="00F924F5"/>
    <w:rsid w:val="00F928F1"/>
    <w:rsid w:val="00F92E2B"/>
    <w:rsid w:val="00F942EC"/>
    <w:rsid w:val="00F9475C"/>
    <w:rsid w:val="00F94805"/>
    <w:rsid w:val="00F94CA3"/>
    <w:rsid w:val="00F95362"/>
    <w:rsid w:val="00F956AC"/>
    <w:rsid w:val="00F96F1F"/>
    <w:rsid w:val="00F971CF"/>
    <w:rsid w:val="00F9744E"/>
    <w:rsid w:val="00F977AC"/>
    <w:rsid w:val="00F97D20"/>
    <w:rsid w:val="00F97EED"/>
    <w:rsid w:val="00FA09B2"/>
    <w:rsid w:val="00FA0D6A"/>
    <w:rsid w:val="00FA1213"/>
    <w:rsid w:val="00FA2255"/>
    <w:rsid w:val="00FA2659"/>
    <w:rsid w:val="00FA2ACA"/>
    <w:rsid w:val="00FA2C02"/>
    <w:rsid w:val="00FA2F1B"/>
    <w:rsid w:val="00FA2FF9"/>
    <w:rsid w:val="00FA301F"/>
    <w:rsid w:val="00FA3096"/>
    <w:rsid w:val="00FA3207"/>
    <w:rsid w:val="00FA32FD"/>
    <w:rsid w:val="00FA372D"/>
    <w:rsid w:val="00FA3C14"/>
    <w:rsid w:val="00FA4CF1"/>
    <w:rsid w:val="00FA547A"/>
    <w:rsid w:val="00FA5CC1"/>
    <w:rsid w:val="00FA5DA4"/>
    <w:rsid w:val="00FA6673"/>
    <w:rsid w:val="00FA66E4"/>
    <w:rsid w:val="00FA6881"/>
    <w:rsid w:val="00FA6CD9"/>
    <w:rsid w:val="00FA704A"/>
    <w:rsid w:val="00FA76AD"/>
    <w:rsid w:val="00FA77B3"/>
    <w:rsid w:val="00FA7E9F"/>
    <w:rsid w:val="00FB0648"/>
    <w:rsid w:val="00FB0715"/>
    <w:rsid w:val="00FB07A1"/>
    <w:rsid w:val="00FB0921"/>
    <w:rsid w:val="00FB0CF1"/>
    <w:rsid w:val="00FB23F1"/>
    <w:rsid w:val="00FB2C39"/>
    <w:rsid w:val="00FB3425"/>
    <w:rsid w:val="00FB3636"/>
    <w:rsid w:val="00FB4442"/>
    <w:rsid w:val="00FB478D"/>
    <w:rsid w:val="00FB4893"/>
    <w:rsid w:val="00FB5139"/>
    <w:rsid w:val="00FB5618"/>
    <w:rsid w:val="00FB56E6"/>
    <w:rsid w:val="00FB574F"/>
    <w:rsid w:val="00FB6257"/>
    <w:rsid w:val="00FB6573"/>
    <w:rsid w:val="00FB66D4"/>
    <w:rsid w:val="00FB6779"/>
    <w:rsid w:val="00FB6AAC"/>
    <w:rsid w:val="00FB7173"/>
    <w:rsid w:val="00FB7279"/>
    <w:rsid w:val="00FB744A"/>
    <w:rsid w:val="00FB79FD"/>
    <w:rsid w:val="00FC06D2"/>
    <w:rsid w:val="00FC0A76"/>
    <w:rsid w:val="00FC0E3F"/>
    <w:rsid w:val="00FC0EC1"/>
    <w:rsid w:val="00FC1502"/>
    <w:rsid w:val="00FC1915"/>
    <w:rsid w:val="00FC2357"/>
    <w:rsid w:val="00FC241A"/>
    <w:rsid w:val="00FC2607"/>
    <w:rsid w:val="00FC30CB"/>
    <w:rsid w:val="00FC3647"/>
    <w:rsid w:val="00FC457B"/>
    <w:rsid w:val="00FC489F"/>
    <w:rsid w:val="00FC4E3A"/>
    <w:rsid w:val="00FC520C"/>
    <w:rsid w:val="00FC6092"/>
    <w:rsid w:val="00FC6199"/>
    <w:rsid w:val="00FC6A6A"/>
    <w:rsid w:val="00FC6CF4"/>
    <w:rsid w:val="00FC75EE"/>
    <w:rsid w:val="00FC7707"/>
    <w:rsid w:val="00FC7C73"/>
    <w:rsid w:val="00FD011B"/>
    <w:rsid w:val="00FD0AEB"/>
    <w:rsid w:val="00FD16C3"/>
    <w:rsid w:val="00FD1C36"/>
    <w:rsid w:val="00FD3042"/>
    <w:rsid w:val="00FD3362"/>
    <w:rsid w:val="00FD3628"/>
    <w:rsid w:val="00FD377F"/>
    <w:rsid w:val="00FD3CBF"/>
    <w:rsid w:val="00FD45A6"/>
    <w:rsid w:val="00FD4AC0"/>
    <w:rsid w:val="00FD4B07"/>
    <w:rsid w:val="00FD4F29"/>
    <w:rsid w:val="00FD55A4"/>
    <w:rsid w:val="00FD5ABD"/>
    <w:rsid w:val="00FD62DF"/>
    <w:rsid w:val="00FD6879"/>
    <w:rsid w:val="00FD6898"/>
    <w:rsid w:val="00FD6D33"/>
    <w:rsid w:val="00FD6E91"/>
    <w:rsid w:val="00FD6FC5"/>
    <w:rsid w:val="00FD7726"/>
    <w:rsid w:val="00FD7D3B"/>
    <w:rsid w:val="00FE01A8"/>
    <w:rsid w:val="00FE01E0"/>
    <w:rsid w:val="00FE0204"/>
    <w:rsid w:val="00FE02A1"/>
    <w:rsid w:val="00FE0AE3"/>
    <w:rsid w:val="00FE0F64"/>
    <w:rsid w:val="00FE152E"/>
    <w:rsid w:val="00FE1F7E"/>
    <w:rsid w:val="00FE2690"/>
    <w:rsid w:val="00FE2F8A"/>
    <w:rsid w:val="00FE3E70"/>
    <w:rsid w:val="00FE47D5"/>
    <w:rsid w:val="00FE4BAF"/>
    <w:rsid w:val="00FE4D59"/>
    <w:rsid w:val="00FE56DF"/>
    <w:rsid w:val="00FE590F"/>
    <w:rsid w:val="00FE69F3"/>
    <w:rsid w:val="00FE6BA5"/>
    <w:rsid w:val="00FE6E45"/>
    <w:rsid w:val="00FE6F8C"/>
    <w:rsid w:val="00FE733E"/>
    <w:rsid w:val="00FE7C5D"/>
    <w:rsid w:val="00FF00FD"/>
    <w:rsid w:val="00FF0B10"/>
    <w:rsid w:val="00FF11F4"/>
    <w:rsid w:val="00FF127E"/>
    <w:rsid w:val="00FF1438"/>
    <w:rsid w:val="00FF1B83"/>
    <w:rsid w:val="00FF1CB6"/>
    <w:rsid w:val="00FF2884"/>
    <w:rsid w:val="00FF37B6"/>
    <w:rsid w:val="00FF420C"/>
    <w:rsid w:val="00FF495D"/>
    <w:rsid w:val="00FF4A96"/>
    <w:rsid w:val="00FF4ABC"/>
    <w:rsid w:val="00FF540B"/>
    <w:rsid w:val="00FF5687"/>
    <w:rsid w:val="00FF5797"/>
    <w:rsid w:val="00FF59AD"/>
    <w:rsid w:val="00FF681F"/>
    <w:rsid w:val="00FF6AD6"/>
    <w:rsid w:val="00FF7333"/>
    <w:rsid w:val="00FF7738"/>
    <w:rsid w:val="00FF7932"/>
    <w:rsid w:val="00FF7C3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C6401B"/>
  <w15:docId w15:val="{AF1EE4F4-890A-4D4D-B6D7-60D3CDBA5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Block Text" w:uiPriority="99"/>
    <w:lsdException w:name="Hyperlink" w:uiPriority="99"/>
    <w:lsdException w:name="Strong" w:uiPriority="22" w:qFormat="1"/>
    <w:lsdException w:name="Emphasis" w:uiPriority="20"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58F4"/>
    <w:rPr>
      <w:sz w:val="24"/>
      <w:szCs w:val="24"/>
    </w:rPr>
  </w:style>
  <w:style w:type="paragraph" w:styleId="Ttulo1">
    <w:name w:val="heading 1"/>
    <w:basedOn w:val="Normal"/>
    <w:next w:val="Normal"/>
    <w:qFormat/>
    <w:rsid w:val="00DC58F4"/>
    <w:pPr>
      <w:keepNext/>
      <w:tabs>
        <w:tab w:val="left" w:pos="1418"/>
      </w:tabs>
      <w:ind w:right="-143"/>
      <w:jc w:val="center"/>
      <w:outlineLvl w:val="0"/>
    </w:pPr>
    <w:rPr>
      <w:rFonts w:ascii="Tahoma" w:hAnsi="Tahoma"/>
      <w:b/>
      <w:sz w:val="22"/>
      <w:szCs w:val="20"/>
    </w:rPr>
  </w:style>
  <w:style w:type="paragraph" w:styleId="Ttulo2">
    <w:name w:val="heading 2"/>
    <w:basedOn w:val="Normal"/>
    <w:next w:val="Normal"/>
    <w:qFormat/>
    <w:rsid w:val="00DC58F4"/>
    <w:pPr>
      <w:keepNext/>
      <w:spacing w:line="312" w:lineRule="auto"/>
      <w:ind w:right="-142"/>
      <w:outlineLvl w:val="1"/>
    </w:pPr>
    <w:rPr>
      <w:rFonts w:ascii="Arial" w:hAnsi="Arial" w:cs="Arial"/>
      <w:b/>
      <w:bCs/>
      <w:sz w:val="20"/>
    </w:rPr>
  </w:style>
  <w:style w:type="paragraph" w:styleId="Ttulo3">
    <w:name w:val="heading 3"/>
    <w:basedOn w:val="Normal"/>
    <w:next w:val="Normal"/>
    <w:qFormat/>
    <w:rsid w:val="00DC58F4"/>
    <w:pPr>
      <w:keepNext/>
      <w:spacing w:line="312" w:lineRule="auto"/>
      <w:ind w:right="-142"/>
      <w:jc w:val="both"/>
      <w:outlineLvl w:val="2"/>
    </w:pPr>
    <w:rPr>
      <w:b/>
      <w:bCs/>
    </w:rPr>
  </w:style>
  <w:style w:type="paragraph" w:styleId="Ttulo4">
    <w:name w:val="heading 4"/>
    <w:basedOn w:val="Normal"/>
    <w:next w:val="Normal"/>
    <w:qFormat/>
    <w:rsid w:val="00DC58F4"/>
    <w:pPr>
      <w:keepNext/>
      <w:spacing w:line="312" w:lineRule="auto"/>
      <w:ind w:right="-142"/>
      <w:jc w:val="both"/>
      <w:outlineLvl w:val="3"/>
    </w:pPr>
    <w:rPr>
      <w:rFonts w:ascii="Tahoma" w:hAnsi="Tahoma"/>
      <w:b/>
      <w:bCs/>
      <w:sz w:val="20"/>
      <w:szCs w:val="20"/>
    </w:rPr>
  </w:style>
  <w:style w:type="paragraph" w:styleId="Ttulo5">
    <w:name w:val="heading 5"/>
    <w:basedOn w:val="Normal"/>
    <w:next w:val="Normal"/>
    <w:qFormat/>
    <w:rsid w:val="00DC58F4"/>
    <w:pPr>
      <w:keepNext/>
      <w:spacing w:line="312" w:lineRule="auto"/>
      <w:ind w:right="-142"/>
      <w:jc w:val="center"/>
      <w:outlineLvl w:val="4"/>
    </w:pPr>
    <w:rPr>
      <w:rFonts w:ascii="Arial" w:hAnsi="Arial"/>
      <w:b/>
      <w:sz w:val="20"/>
      <w:u w:val="single"/>
    </w:rPr>
  </w:style>
  <w:style w:type="paragraph" w:styleId="Ttulo6">
    <w:name w:val="heading 6"/>
    <w:basedOn w:val="Normal"/>
    <w:next w:val="Normal"/>
    <w:qFormat/>
    <w:rsid w:val="00DC58F4"/>
    <w:pPr>
      <w:keepNext/>
      <w:spacing w:line="312" w:lineRule="auto"/>
      <w:ind w:right="-5747"/>
      <w:jc w:val="both"/>
      <w:outlineLvl w:val="5"/>
    </w:pPr>
    <w:rPr>
      <w:rFonts w:ascii="Tahoma" w:hAnsi="Tahoma"/>
      <w:b/>
      <w:bCs/>
      <w:sz w:val="20"/>
      <w:szCs w:val="20"/>
    </w:rPr>
  </w:style>
  <w:style w:type="paragraph" w:styleId="Ttulo7">
    <w:name w:val="heading 7"/>
    <w:basedOn w:val="Normal"/>
    <w:next w:val="Normal"/>
    <w:qFormat/>
    <w:rsid w:val="00DC58F4"/>
    <w:pPr>
      <w:keepNext/>
      <w:spacing w:line="312" w:lineRule="auto"/>
      <w:ind w:right="-142"/>
      <w:jc w:val="center"/>
      <w:outlineLvl w:val="6"/>
    </w:pPr>
    <w:rPr>
      <w:rFonts w:ascii="Tahoma" w:hAnsi="Tahoma"/>
      <w:b/>
      <w:bCs/>
      <w:sz w:val="20"/>
      <w:szCs w:val="20"/>
    </w:rPr>
  </w:style>
  <w:style w:type="paragraph" w:styleId="Ttulo8">
    <w:name w:val="heading 8"/>
    <w:basedOn w:val="Normal"/>
    <w:next w:val="Normal"/>
    <w:qFormat/>
    <w:rsid w:val="00DC58F4"/>
    <w:pPr>
      <w:keepNext/>
      <w:outlineLvl w:val="7"/>
    </w:pPr>
    <w:rPr>
      <w:rFonts w:ascii="Arial" w:hAnsi="Arial" w:cs="Arial"/>
      <w:b/>
      <w:sz w:val="32"/>
    </w:rPr>
  </w:style>
  <w:style w:type="paragraph" w:styleId="Ttulo9">
    <w:name w:val="heading 9"/>
    <w:basedOn w:val="Normal"/>
    <w:next w:val="Normal"/>
    <w:qFormat/>
    <w:rsid w:val="00DC58F4"/>
    <w:pPr>
      <w:keepNext/>
      <w:spacing w:before="100" w:beforeAutospacing="1" w:after="100" w:afterAutospacing="1"/>
      <w:ind w:right="-143"/>
      <w:outlineLvl w:val="8"/>
    </w:pPr>
    <w:rPr>
      <w:rFonts w:ascii="Arial" w:hAnsi="Arial" w:cs="Arial"/>
      <w:b/>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embloco">
    <w:name w:val="Block Text"/>
    <w:basedOn w:val="Normal"/>
    <w:uiPriority w:val="99"/>
    <w:rsid w:val="00DC58F4"/>
    <w:pPr>
      <w:tabs>
        <w:tab w:val="left" w:pos="0"/>
      </w:tabs>
      <w:spacing w:line="312" w:lineRule="auto"/>
      <w:ind w:left="705" w:right="-142"/>
      <w:jc w:val="both"/>
    </w:pPr>
    <w:rPr>
      <w:rFonts w:ascii="Arial" w:hAnsi="Arial"/>
      <w:bCs/>
      <w:sz w:val="20"/>
      <w:szCs w:val="20"/>
    </w:rPr>
  </w:style>
  <w:style w:type="paragraph" w:styleId="Cabealho">
    <w:name w:val="header"/>
    <w:basedOn w:val="Normal"/>
    <w:link w:val="CabealhoChar"/>
    <w:uiPriority w:val="99"/>
    <w:rsid w:val="00DC58F4"/>
    <w:pPr>
      <w:tabs>
        <w:tab w:val="center" w:pos="4419"/>
        <w:tab w:val="right" w:pos="8838"/>
      </w:tabs>
    </w:pPr>
    <w:rPr>
      <w:sz w:val="20"/>
      <w:szCs w:val="20"/>
    </w:rPr>
  </w:style>
  <w:style w:type="paragraph" w:styleId="Corpodetexto">
    <w:name w:val="Body Text"/>
    <w:basedOn w:val="Normal"/>
    <w:rsid w:val="00DC58F4"/>
    <w:pPr>
      <w:spacing w:line="312" w:lineRule="auto"/>
      <w:ind w:right="-142"/>
      <w:jc w:val="both"/>
    </w:pPr>
    <w:rPr>
      <w:rFonts w:ascii="Arial" w:hAnsi="Arial" w:cs="Arial"/>
      <w:sz w:val="20"/>
    </w:rPr>
  </w:style>
  <w:style w:type="paragraph" w:styleId="Rodap">
    <w:name w:val="footer"/>
    <w:basedOn w:val="Normal"/>
    <w:link w:val="RodapChar"/>
    <w:uiPriority w:val="99"/>
    <w:rsid w:val="00DC58F4"/>
    <w:pPr>
      <w:tabs>
        <w:tab w:val="center" w:pos="4419"/>
        <w:tab w:val="right" w:pos="8838"/>
      </w:tabs>
    </w:pPr>
    <w:rPr>
      <w:lang w:val="x-none" w:eastAsia="x-none"/>
    </w:rPr>
  </w:style>
  <w:style w:type="character" w:styleId="Nmerodepgina">
    <w:name w:val="page number"/>
    <w:basedOn w:val="Fontepargpadro"/>
    <w:rsid w:val="00DC58F4"/>
  </w:style>
  <w:style w:type="paragraph" w:customStyle="1" w:styleId="-PGINA-">
    <w:name w:val="- PÁGINA -"/>
    <w:rsid w:val="00DC58F4"/>
    <w:rPr>
      <w:sz w:val="24"/>
      <w:szCs w:val="24"/>
    </w:rPr>
  </w:style>
  <w:style w:type="paragraph" w:styleId="Ttulo">
    <w:name w:val="Title"/>
    <w:basedOn w:val="Normal"/>
    <w:qFormat/>
    <w:rsid w:val="00DC58F4"/>
    <w:pPr>
      <w:jc w:val="center"/>
    </w:pPr>
    <w:rPr>
      <w:rFonts w:ascii="Arial" w:hAnsi="Arial"/>
      <w:b/>
      <w:i/>
      <w:sz w:val="16"/>
      <w:szCs w:val="20"/>
    </w:rPr>
  </w:style>
  <w:style w:type="paragraph" w:styleId="Corpodetexto2">
    <w:name w:val="Body Text 2"/>
    <w:basedOn w:val="Normal"/>
    <w:rsid w:val="00DC58F4"/>
    <w:pPr>
      <w:spacing w:before="60"/>
      <w:jc w:val="both"/>
    </w:pPr>
    <w:rPr>
      <w:rFonts w:ascii="Arial" w:hAnsi="Arial" w:cs="Arial"/>
      <w:sz w:val="20"/>
    </w:rPr>
  </w:style>
  <w:style w:type="paragraph" w:styleId="Corpodetexto3">
    <w:name w:val="Body Text 3"/>
    <w:basedOn w:val="Normal"/>
    <w:rsid w:val="00DC58F4"/>
    <w:pPr>
      <w:jc w:val="right"/>
    </w:pPr>
    <w:rPr>
      <w:rFonts w:ascii="Arial" w:hAnsi="Arial" w:cs="Arial"/>
      <w:sz w:val="20"/>
    </w:rPr>
  </w:style>
  <w:style w:type="paragraph" w:styleId="Recuodecorpodetexto">
    <w:name w:val="Body Text Indent"/>
    <w:basedOn w:val="Normal"/>
    <w:rsid w:val="00AA7812"/>
    <w:pPr>
      <w:spacing w:after="120"/>
      <w:ind w:left="283"/>
    </w:pPr>
  </w:style>
  <w:style w:type="paragraph" w:styleId="Recuodecorpodetexto2">
    <w:name w:val="Body Text Indent 2"/>
    <w:basedOn w:val="Normal"/>
    <w:rsid w:val="00AA7812"/>
    <w:pPr>
      <w:spacing w:after="120" w:line="480" w:lineRule="auto"/>
      <w:ind w:left="283"/>
    </w:pPr>
    <w:rPr>
      <w:rFonts w:ascii="Arial" w:hAnsi="Arial"/>
    </w:rPr>
  </w:style>
  <w:style w:type="paragraph" w:styleId="Recuodecorpodetexto3">
    <w:name w:val="Body Text Indent 3"/>
    <w:basedOn w:val="Normal"/>
    <w:rsid w:val="00AA7812"/>
    <w:pPr>
      <w:spacing w:after="120"/>
      <w:ind w:left="283"/>
    </w:pPr>
    <w:rPr>
      <w:rFonts w:ascii="Arial" w:hAnsi="Arial"/>
      <w:sz w:val="16"/>
      <w:szCs w:val="16"/>
    </w:rPr>
  </w:style>
  <w:style w:type="table" w:styleId="Tabelacomgrade">
    <w:name w:val="Table Grid"/>
    <w:basedOn w:val="Tabelanormal"/>
    <w:uiPriority w:val="39"/>
    <w:rsid w:val="002A28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rsid w:val="00A43977"/>
    <w:rPr>
      <w:rFonts w:ascii="Tahoma" w:hAnsi="Tahoma" w:cs="Tahoma"/>
      <w:sz w:val="16"/>
      <w:szCs w:val="16"/>
    </w:rPr>
  </w:style>
  <w:style w:type="paragraph" w:styleId="NormalWeb">
    <w:name w:val="Normal (Web)"/>
    <w:basedOn w:val="Normal"/>
    <w:uiPriority w:val="99"/>
    <w:unhideWhenUsed/>
    <w:rsid w:val="004C6E14"/>
    <w:pPr>
      <w:spacing w:before="100" w:beforeAutospacing="1" w:after="100" w:afterAutospacing="1"/>
    </w:pPr>
  </w:style>
  <w:style w:type="character" w:customStyle="1" w:styleId="RodapChar">
    <w:name w:val="Rodapé Char"/>
    <w:link w:val="Rodap"/>
    <w:uiPriority w:val="99"/>
    <w:rsid w:val="00910D8F"/>
    <w:rPr>
      <w:sz w:val="24"/>
      <w:szCs w:val="24"/>
    </w:rPr>
  </w:style>
  <w:style w:type="character" w:customStyle="1" w:styleId="CabealhoChar">
    <w:name w:val="Cabeçalho Char"/>
    <w:link w:val="Cabealho"/>
    <w:uiPriority w:val="99"/>
    <w:rsid w:val="00910D8F"/>
  </w:style>
  <w:style w:type="paragraph" w:styleId="PargrafodaLista">
    <w:name w:val="List Paragraph"/>
    <w:aliases w:val="Título Médio"/>
    <w:basedOn w:val="Normal"/>
    <w:link w:val="PargrafodaListaChar"/>
    <w:uiPriority w:val="34"/>
    <w:qFormat/>
    <w:rsid w:val="00377FE8"/>
    <w:pPr>
      <w:ind w:left="708"/>
    </w:pPr>
  </w:style>
  <w:style w:type="character" w:styleId="Forte">
    <w:name w:val="Strong"/>
    <w:uiPriority w:val="22"/>
    <w:qFormat/>
    <w:rsid w:val="003772E3"/>
    <w:rPr>
      <w:b/>
      <w:bCs/>
    </w:rPr>
  </w:style>
  <w:style w:type="table" w:styleId="Tabelacomgrade1">
    <w:name w:val="Table Grid 1"/>
    <w:basedOn w:val="Tabelanormal"/>
    <w:rsid w:val="005D73E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Refdecomentrio">
    <w:name w:val="annotation reference"/>
    <w:rsid w:val="007C3C80"/>
    <w:rPr>
      <w:sz w:val="16"/>
      <w:szCs w:val="16"/>
    </w:rPr>
  </w:style>
  <w:style w:type="paragraph" w:styleId="Textodecomentrio">
    <w:name w:val="annotation text"/>
    <w:basedOn w:val="Normal"/>
    <w:link w:val="TextodecomentrioChar"/>
    <w:rsid w:val="007C3C80"/>
    <w:rPr>
      <w:sz w:val="20"/>
      <w:szCs w:val="20"/>
    </w:rPr>
  </w:style>
  <w:style w:type="character" w:customStyle="1" w:styleId="TextodecomentrioChar">
    <w:name w:val="Texto de comentário Char"/>
    <w:basedOn w:val="Fontepargpadro"/>
    <w:link w:val="Textodecomentrio"/>
    <w:rsid w:val="007C3C80"/>
  </w:style>
  <w:style w:type="paragraph" w:styleId="Assuntodocomentrio">
    <w:name w:val="annotation subject"/>
    <w:basedOn w:val="Textodecomentrio"/>
    <w:next w:val="Textodecomentrio"/>
    <w:link w:val="AssuntodocomentrioChar"/>
    <w:rsid w:val="007C3C80"/>
    <w:rPr>
      <w:b/>
      <w:bCs/>
      <w:lang w:val="x-none" w:eastAsia="x-none"/>
    </w:rPr>
  </w:style>
  <w:style w:type="character" w:customStyle="1" w:styleId="AssuntodocomentrioChar">
    <w:name w:val="Assunto do comentário Char"/>
    <w:link w:val="Assuntodocomentrio"/>
    <w:rsid w:val="007C3C80"/>
    <w:rPr>
      <w:b/>
      <w:bCs/>
    </w:rPr>
  </w:style>
  <w:style w:type="table" w:styleId="Tabelacomgrade2">
    <w:name w:val="Table Grid 2"/>
    <w:basedOn w:val="Tabelanormal"/>
    <w:rsid w:val="004D317A"/>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Reviso">
    <w:name w:val="Revision"/>
    <w:hidden/>
    <w:uiPriority w:val="99"/>
    <w:semiHidden/>
    <w:rsid w:val="00296D1E"/>
    <w:rPr>
      <w:sz w:val="24"/>
      <w:szCs w:val="24"/>
    </w:rPr>
  </w:style>
  <w:style w:type="paragraph" w:customStyle="1" w:styleId="full">
    <w:name w:val="full"/>
    <w:basedOn w:val="Normal"/>
    <w:rsid w:val="0049122B"/>
    <w:pPr>
      <w:spacing w:before="100" w:beforeAutospacing="1" w:after="100" w:afterAutospacing="1"/>
    </w:pPr>
  </w:style>
  <w:style w:type="paragraph" w:customStyle="1" w:styleId="Default">
    <w:name w:val="Default"/>
    <w:rsid w:val="00A03EC9"/>
    <w:pPr>
      <w:autoSpaceDE w:val="0"/>
      <w:autoSpaceDN w:val="0"/>
      <w:adjustRightInd w:val="0"/>
    </w:pPr>
    <w:rPr>
      <w:rFonts w:ascii="Verdana" w:hAnsi="Verdana" w:cs="Verdana"/>
      <w:color w:val="000000"/>
      <w:sz w:val="24"/>
      <w:szCs w:val="24"/>
    </w:rPr>
  </w:style>
  <w:style w:type="character" w:customStyle="1" w:styleId="PargrafodaListaChar">
    <w:name w:val="Parágrafo da Lista Char"/>
    <w:aliases w:val="Título Médio Char"/>
    <w:link w:val="PargrafodaLista"/>
    <w:uiPriority w:val="34"/>
    <w:rsid w:val="00CC7FB2"/>
    <w:rPr>
      <w:sz w:val="24"/>
      <w:szCs w:val="24"/>
    </w:rPr>
  </w:style>
  <w:style w:type="paragraph" w:customStyle="1" w:styleId="textojustificadorecuoprimeiralinha">
    <w:name w:val="texto_justificado_recuo_primeira_linha"/>
    <w:basedOn w:val="Normal"/>
    <w:rsid w:val="00B7580D"/>
    <w:pPr>
      <w:spacing w:before="100" w:beforeAutospacing="1" w:after="100" w:afterAutospacing="1"/>
    </w:pPr>
  </w:style>
  <w:style w:type="paragraph" w:customStyle="1" w:styleId="paragrafonumeradonivel3">
    <w:name w:val="paragrafo_numerado_nivel3"/>
    <w:basedOn w:val="Normal"/>
    <w:rsid w:val="00337667"/>
    <w:pPr>
      <w:spacing w:before="100" w:beforeAutospacing="1" w:after="100" w:afterAutospacing="1"/>
    </w:pPr>
  </w:style>
  <w:style w:type="character" w:styleId="nfase">
    <w:name w:val="Emphasis"/>
    <w:uiPriority w:val="20"/>
    <w:qFormat/>
    <w:rsid w:val="00337667"/>
    <w:rPr>
      <w:i/>
      <w:iCs/>
    </w:rPr>
  </w:style>
  <w:style w:type="paragraph" w:customStyle="1" w:styleId="paragrafonumeradonivel1">
    <w:name w:val="paragrafo_numerado_nivel1"/>
    <w:basedOn w:val="Normal"/>
    <w:rsid w:val="005D7B2E"/>
    <w:pPr>
      <w:spacing w:before="100" w:beforeAutospacing="1" w:after="100" w:afterAutospacing="1"/>
    </w:pPr>
  </w:style>
  <w:style w:type="paragraph" w:customStyle="1" w:styleId="Pa0">
    <w:name w:val="Pa0"/>
    <w:basedOn w:val="Normal"/>
    <w:next w:val="Normal"/>
    <w:uiPriority w:val="99"/>
    <w:rsid w:val="00F75286"/>
    <w:pPr>
      <w:autoSpaceDE w:val="0"/>
      <w:autoSpaceDN w:val="0"/>
      <w:adjustRightInd w:val="0"/>
      <w:spacing w:line="241" w:lineRule="atLeast"/>
      <w:jc w:val="both"/>
    </w:pPr>
    <w:rPr>
      <w:rFonts w:ascii="Gotham Light" w:eastAsia="Calibri" w:hAnsi="Gotham Light"/>
      <w:lang w:eastAsia="en-US"/>
    </w:rPr>
  </w:style>
  <w:style w:type="paragraph" w:customStyle="1" w:styleId="itemnivel2">
    <w:name w:val="item_nivel2"/>
    <w:basedOn w:val="Normal"/>
    <w:rsid w:val="00114E9F"/>
    <w:pPr>
      <w:spacing w:before="100" w:beforeAutospacing="1" w:after="100" w:afterAutospacing="1"/>
    </w:pPr>
  </w:style>
  <w:style w:type="paragraph" w:customStyle="1" w:styleId="itemincisoromano">
    <w:name w:val="item_inciso_romano"/>
    <w:basedOn w:val="Normal"/>
    <w:rsid w:val="00114E9F"/>
    <w:pPr>
      <w:spacing w:before="100" w:beforeAutospacing="1" w:after="100" w:afterAutospacing="1"/>
    </w:pPr>
  </w:style>
  <w:style w:type="paragraph" w:customStyle="1" w:styleId="tabelatextoalinhadoesquerda">
    <w:name w:val="tabela_texto_alinhado_esquerda"/>
    <w:basedOn w:val="Normal"/>
    <w:rsid w:val="00114E9F"/>
    <w:pPr>
      <w:spacing w:before="100" w:beforeAutospacing="1" w:after="100" w:afterAutospacing="1"/>
    </w:pPr>
  </w:style>
  <w:style w:type="character" w:styleId="Hyperlink">
    <w:name w:val="Hyperlink"/>
    <w:uiPriority w:val="99"/>
    <w:unhideWhenUsed/>
    <w:rsid w:val="00F91905"/>
    <w:rPr>
      <w:color w:val="0000FF"/>
      <w:u w:val="single"/>
    </w:rPr>
  </w:style>
  <w:style w:type="paragraph" w:customStyle="1" w:styleId="textoalinhadoesquerda">
    <w:name w:val="texto_alinhado_esquerda"/>
    <w:basedOn w:val="Normal"/>
    <w:rsid w:val="00F91905"/>
    <w:pPr>
      <w:spacing w:before="100" w:beforeAutospacing="1" w:after="100" w:afterAutospacing="1"/>
    </w:pPr>
  </w:style>
  <w:style w:type="character" w:customStyle="1" w:styleId="TextodebaloChar">
    <w:name w:val="Texto de balão Char"/>
    <w:basedOn w:val="Fontepargpadro"/>
    <w:link w:val="Textodebalo"/>
    <w:uiPriority w:val="99"/>
    <w:semiHidden/>
    <w:rsid w:val="00272EEE"/>
    <w:rPr>
      <w:rFonts w:ascii="Tahoma" w:hAnsi="Tahoma" w:cs="Tahoma"/>
      <w:sz w:val="16"/>
      <w:szCs w:val="16"/>
    </w:rPr>
  </w:style>
  <w:style w:type="paragraph" w:customStyle="1" w:styleId="citacao">
    <w:name w:val="citacao"/>
    <w:basedOn w:val="Normal"/>
    <w:rsid w:val="00AF6050"/>
    <w:pPr>
      <w:spacing w:before="100" w:beforeAutospacing="1" w:after="100" w:afterAutospacing="1"/>
    </w:pPr>
  </w:style>
  <w:style w:type="character" w:customStyle="1" w:styleId="i0jnr">
    <w:name w:val="i0jnr"/>
    <w:basedOn w:val="Fontepargpadro"/>
    <w:rsid w:val="00AF60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1778">
      <w:bodyDiv w:val="1"/>
      <w:marLeft w:val="0"/>
      <w:marRight w:val="0"/>
      <w:marTop w:val="0"/>
      <w:marBottom w:val="0"/>
      <w:divBdr>
        <w:top w:val="none" w:sz="0" w:space="0" w:color="auto"/>
        <w:left w:val="none" w:sz="0" w:space="0" w:color="auto"/>
        <w:bottom w:val="none" w:sz="0" w:space="0" w:color="auto"/>
        <w:right w:val="none" w:sz="0" w:space="0" w:color="auto"/>
      </w:divBdr>
    </w:div>
    <w:div w:id="4283694">
      <w:bodyDiv w:val="1"/>
      <w:marLeft w:val="0"/>
      <w:marRight w:val="0"/>
      <w:marTop w:val="0"/>
      <w:marBottom w:val="0"/>
      <w:divBdr>
        <w:top w:val="none" w:sz="0" w:space="0" w:color="auto"/>
        <w:left w:val="none" w:sz="0" w:space="0" w:color="auto"/>
        <w:bottom w:val="none" w:sz="0" w:space="0" w:color="auto"/>
        <w:right w:val="none" w:sz="0" w:space="0" w:color="auto"/>
      </w:divBdr>
    </w:div>
    <w:div w:id="6909315">
      <w:bodyDiv w:val="1"/>
      <w:marLeft w:val="0"/>
      <w:marRight w:val="0"/>
      <w:marTop w:val="0"/>
      <w:marBottom w:val="0"/>
      <w:divBdr>
        <w:top w:val="none" w:sz="0" w:space="0" w:color="auto"/>
        <w:left w:val="none" w:sz="0" w:space="0" w:color="auto"/>
        <w:bottom w:val="none" w:sz="0" w:space="0" w:color="auto"/>
        <w:right w:val="none" w:sz="0" w:space="0" w:color="auto"/>
      </w:divBdr>
    </w:div>
    <w:div w:id="9069859">
      <w:bodyDiv w:val="1"/>
      <w:marLeft w:val="0"/>
      <w:marRight w:val="0"/>
      <w:marTop w:val="0"/>
      <w:marBottom w:val="0"/>
      <w:divBdr>
        <w:top w:val="none" w:sz="0" w:space="0" w:color="auto"/>
        <w:left w:val="none" w:sz="0" w:space="0" w:color="auto"/>
        <w:bottom w:val="none" w:sz="0" w:space="0" w:color="auto"/>
        <w:right w:val="none" w:sz="0" w:space="0" w:color="auto"/>
      </w:divBdr>
    </w:div>
    <w:div w:id="15008068">
      <w:bodyDiv w:val="1"/>
      <w:marLeft w:val="0"/>
      <w:marRight w:val="0"/>
      <w:marTop w:val="0"/>
      <w:marBottom w:val="0"/>
      <w:divBdr>
        <w:top w:val="none" w:sz="0" w:space="0" w:color="auto"/>
        <w:left w:val="none" w:sz="0" w:space="0" w:color="auto"/>
        <w:bottom w:val="none" w:sz="0" w:space="0" w:color="auto"/>
        <w:right w:val="none" w:sz="0" w:space="0" w:color="auto"/>
      </w:divBdr>
    </w:div>
    <w:div w:id="15008259">
      <w:bodyDiv w:val="1"/>
      <w:marLeft w:val="0"/>
      <w:marRight w:val="0"/>
      <w:marTop w:val="0"/>
      <w:marBottom w:val="0"/>
      <w:divBdr>
        <w:top w:val="none" w:sz="0" w:space="0" w:color="auto"/>
        <w:left w:val="none" w:sz="0" w:space="0" w:color="auto"/>
        <w:bottom w:val="none" w:sz="0" w:space="0" w:color="auto"/>
        <w:right w:val="none" w:sz="0" w:space="0" w:color="auto"/>
      </w:divBdr>
    </w:div>
    <w:div w:id="15279478">
      <w:bodyDiv w:val="1"/>
      <w:marLeft w:val="0"/>
      <w:marRight w:val="0"/>
      <w:marTop w:val="0"/>
      <w:marBottom w:val="0"/>
      <w:divBdr>
        <w:top w:val="none" w:sz="0" w:space="0" w:color="auto"/>
        <w:left w:val="none" w:sz="0" w:space="0" w:color="auto"/>
        <w:bottom w:val="none" w:sz="0" w:space="0" w:color="auto"/>
        <w:right w:val="none" w:sz="0" w:space="0" w:color="auto"/>
      </w:divBdr>
    </w:div>
    <w:div w:id="15817100">
      <w:bodyDiv w:val="1"/>
      <w:marLeft w:val="0"/>
      <w:marRight w:val="0"/>
      <w:marTop w:val="0"/>
      <w:marBottom w:val="0"/>
      <w:divBdr>
        <w:top w:val="none" w:sz="0" w:space="0" w:color="auto"/>
        <w:left w:val="none" w:sz="0" w:space="0" w:color="auto"/>
        <w:bottom w:val="none" w:sz="0" w:space="0" w:color="auto"/>
        <w:right w:val="none" w:sz="0" w:space="0" w:color="auto"/>
      </w:divBdr>
    </w:div>
    <w:div w:id="16197002">
      <w:bodyDiv w:val="1"/>
      <w:marLeft w:val="0"/>
      <w:marRight w:val="0"/>
      <w:marTop w:val="0"/>
      <w:marBottom w:val="0"/>
      <w:divBdr>
        <w:top w:val="none" w:sz="0" w:space="0" w:color="auto"/>
        <w:left w:val="none" w:sz="0" w:space="0" w:color="auto"/>
        <w:bottom w:val="none" w:sz="0" w:space="0" w:color="auto"/>
        <w:right w:val="none" w:sz="0" w:space="0" w:color="auto"/>
      </w:divBdr>
    </w:div>
    <w:div w:id="18164600">
      <w:bodyDiv w:val="1"/>
      <w:marLeft w:val="0"/>
      <w:marRight w:val="0"/>
      <w:marTop w:val="0"/>
      <w:marBottom w:val="0"/>
      <w:divBdr>
        <w:top w:val="none" w:sz="0" w:space="0" w:color="auto"/>
        <w:left w:val="none" w:sz="0" w:space="0" w:color="auto"/>
        <w:bottom w:val="none" w:sz="0" w:space="0" w:color="auto"/>
        <w:right w:val="none" w:sz="0" w:space="0" w:color="auto"/>
      </w:divBdr>
    </w:div>
    <w:div w:id="21711347">
      <w:bodyDiv w:val="1"/>
      <w:marLeft w:val="0"/>
      <w:marRight w:val="0"/>
      <w:marTop w:val="0"/>
      <w:marBottom w:val="0"/>
      <w:divBdr>
        <w:top w:val="none" w:sz="0" w:space="0" w:color="auto"/>
        <w:left w:val="none" w:sz="0" w:space="0" w:color="auto"/>
        <w:bottom w:val="none" w:sz="0" w:space="0" w:color="auto"/>
        <w:right w:val="none" w:sz="0" w:space="0" w:color="auto"/>
      </w:divBdr>
    </w:div>
    <w:div w:id="23596824">
      <w:bodyDiv w:val="1"/>
      <w:marLeft w:val="0"/>
      <w:marRight w:val="0"/>
      <w:marTop w:val="0"/>
      <w:marBottom w:val="0"/>
      <w:divBdr>
        <w:top w:val="none" w:sz="0" w:space="0" w:color="auto"/>
        <w:left w:val="none" w:sz="0" w:space="0" w:color="auto"/>
        <w:bottom w:val="none" w:sz="0" w:space="0" w:color="auto"/>
        <w:right w:val="none" w:sz="0" w:space="0" w:color="auto"/>
      </w:divBdr>
    </w:div>
    <w:div w:id="24644205">
      <w:bodyDiv w:val="1"/>
      <w:marLeft w:val="0"/>
      <w:marRight w:val="0"/>
      <w:marTop w:val="0"/>
      <w:marBottom w:val="0"/>
      <w:divBdr>
        <w:top w:val="none" w:sz="0" w:space="0" w:color="auto"/>
        <w:left w:val="none" w:sz="0" w:space="0" w:color="auto"/>
        <w:bottom w:val="none" w:sz="0" w:space="0" w:color="auto"/>
        <w:right w:val="none" w:sz="0" w:space="0" w:color="auto"/>
      </w:divBdr>
    </w:div>
    <w:div w:id="35735907">
      <w:bodyDiv w:val="1"/>
      <w:marLeft w:val="0"/>
      <w:marRight w:val="0"/>
      <w:marTop w:val="0"/>
      <w:marBottom w:val="0"/>
      <w:divBdr>
        <w:top w:val="none" w:sz="0" w:space="0" w:color="auto"/>
        <w:left w:val="none" w:sz="0" w:space="0" w:color="auto"/>
        <w:bottom w:val="none" w:sz="0" w:space="0" w:color="auto"/>
        <w:right w:val="none" w:sz="0" w:space="0" w:color="auto"/>
      </w:divBdr>
    </w:div>
    <w:div w:id="37702384">
      <w:bodyDiv w:val="1"/>
      <w:marLeft w:val="0"/>
      <w:marRight w:val="0"/>
      <w:marTop w:val="0"/>
      <w:marBottom w:val="0"/>
      <w:divBdr>
        <w:top w:val="none" w:sz="0" w:space="0" w:color="auto"/>
        <w:left w:val="none" w:sz="0" w:space="0" w:color="auto"/>
        <w:bottom w:val="none" w:sz="0" w:space="0" w:color="auto"/>
        <w:right w:val="none" w:sz="0" w:space="0" w:color="auto"/>
      </w:divBdr>
    </w:div>
    <w:div w:id="37824912">
      <w:bodyDiv w:val="1"/>
      <w:marLeft w:val="0"/>
      <w:marRight w:val="0"/>
      <w:marTop w:val="0"/>
      <w:marBottom w:val="0"/>
      <w:divBdr>
        <w:top w:val="none" w:sz="0" w:space="0" w:color="auto"/>
        <w:left w:val="none" w:sz="0" w:space="0" w:color="auto"/>
        <w:bottom w:val="none" w:sz="0" w:space="0" w:color="auto"/>
        <w:right w:val="none" w:sz="0" w:space="0" w:color="auto"/>
      </w:divBdr>
    </w:div>
    <w:div w:id="38361789">
      <w:bodyDiv w:val="1"/>
      <w:marLeft w:val="0"/>
      <w:marRight w:val="0"/>
      <w:marTop w:val="0"/>
      <w:marBottom w:val="0"/>
      <w:divBdr>
        <w:top w:val="none" w:sz="0" w:space="0" w:color="auto"/>
        <w:left w:val="none" w:sz="0" w:space="0" w:color="auto"/>
        <w:bottom w:val="none" w:sz="0" w:space="0" w:color="auto"/>
        <w:right w:val="none" w:sz="0" w:space="0" w:color="auto"/>
      </w:divBdr>
    </w:div>
    <w:div w:id="42413398">
      <w:bodyDiv w:val="1"/>
      <w:marLeft w:val="0"/>
      <w:marRight w:val="0"/>
      <w:marTop w:val="0"/>
      <w:marBottom w:val="0"/>
      <w:divBdr>
        <w:top w:val="none" w:sz="0" w:space="0" w:color="auto"/>
        <w:left w:val="none" w:sz="0" w:space="0" w:color="auto"/>
        <w:bottom w:val="none" w:sz="0" w:space="0" w:color="auto"/>
        <w:right w:val="none" w:sz="0" w:space="0" w:color="auto"/>
      </w:divBdr>
    </w:div>
    <w:div w:id="43725322">
      <w:bodyDiv w:val="1"/>
      <w:marLeft w:val="0"/>
      <w:marRight w:val="0"/>
      <w:marTop w:val="0"/>
      <w:marBottom w:val="0"/>
      <w:divBdr>
        <w:top w:val="none" w:sz="0" w:space="0" w:color="auto"/>
        <w:left w:val="none" w:sz="0" w:space="0" w:color="auto"/>
        <w:bottom w:val="none" w:sz="0" w:space="0" w:color="auto"/>
        <w:right w:val="none" w:sz="0" w:space="0" w:color="auto"/>
      </w:divBdr>
    </w:div>
    <w:div w:id="43801783">
      <w:bodyDiv w:val="1"/>
      <w:marLeft w:val="0"/>
      <w:marRight w:val="0"/>
      <w:marTop w:val="0"/>
      <w:marBottom w:val="0"/>
      <w:divBdr>
        <w:top w:val="none" w:sz="0" w:space="0" w:color="auto"/>
        <w:left w:val="none" w:sz="0" w:space="0" w:color="auto"/>
        <w:bottom w:val="none" w:sz="0" w:space="0" w:color="auto"/>
        <w:right w:val="none" w:sz="0" w:space="0" w:color="auto"/>
      </w:divBdr>
    </w:div>
    <w:div w:id="45493811">
      <w:bodyDiv w:val="1"/>
      <w:marLeft w:val="0"/>
      <w:marRight w:val="0"/>
      <w:marTop w:val="0"/>
      <w:marBottom w:val="0"/>
      <w:divBdr>
        <w:top w:val="none" w:sz="0" w:space="0" w:color="auto"/>
        <w:left w:val="none" w:sz="0" w:space="0" w:color="auto"/>
        <w:bottom w:val="none" w:sz="0" w:space="0" w:color="auto"/>
        <w:right w:val="none" w:sz="0" w:space="0" w:color="auto"/>
      </w:divBdr>
    </w:div>
    <w:div w:id="46493597">
      <w:bodyDiv w:val="1"/>
      <w:marLeft w:val="0"/>
      <w:marRight w:val="0"/>
      <w:marTop w:val="0"/>
      <w:marBottom w:val="0"/>
      <w:divBdr>
        <w:top w:val="none" w:sz="0" w:space="0" w:color="auto"/>
        <w:left w:val="none" w:sz="0" w:space="0" w:color="auto"/>
        <w:bottom w:val="none" w:sz="0" w:space="0" w:color="auto"/>
        <w:right w:val="none" w:sz="0" w:space="0" w:color="auto"/>
      </w:divBdr>
    </w:div>
    <w:div w:id="50158611">
      <w:bodyDiv w:val="1"/>
      <w:marLeft w:val="0"/>
      <w:marRight w:val="0"/>
      <w:marTop w:val="0"/>
      <w:marBottom w:val="0"/>
      <w:divBdr>
        <w:top w:val="none" w:sz="0" w:space="0" w:color="auto"/>
        <w:left w:val="none" w:sz="0" w:space="0" w:color="auto"/>
        <w:bottom w:val="none" w:sz="0" w:space="0" w:color="auto"/>
        <w:right w:val="none" w:sz="0" w:space="0" w:color="auto"/>
      </w:divBdr>
    </w:div>
    <w:div w:id="54209687">
      <w:bodyDiv w:val="1"/>
      <w:marLeft w:val="0"/>
      <w:marRight w:val="0"/>
      <w:marTop w:val="0"/>
      <w:marBottom w:val="0"/>
      <w:divBdr>
        <w:top w:val="none" w:sz="0" w:space="0" w:color="auto"/>
        <w:left w:val="none" w:sz="0" w:space="0" w:color="auto"/>
        <w:bottom w:val="none" w:sz="0" w:space="0" w:color="auto"/>
        <w:right w:val="none" w:sz="0" w:space="0" w:color="auto"/>
      </w:divBdr>
    </w:div>
    <w:div w:id="55667847">
      <w:bodyDiv w:val="1"/>
      <w:marLeft w:val="0"/>
      <w:marRight w:val="0"/>
      <w:marTop w:val="0"/>
      <w:marBottom w:val="0"/>
      <w:divBdr>
        <w:top w:val="none" w:sz="0" w:space="0" w:color="auto"/>
        <w:left w:val="none" w:sz="0" w:space="0" w:color="auto"/>
        <w:bottom w:val="none" w:sz="0" w:space="0" w:color="auto"/>
        <w:right w:val="none" w:sz="0" w:space="0" w:color="auto"/>
      </w:divBdr>
    </w:div>
    <w:div w:id="56906339">
      <w:bodyDiv w:val="1"/>
      <w:marLeft w:val="0"/>
      <w:marRight w:val="0"/>
      <w:marTop w:val="0"/>
      <w:marBottom w:val="0"/>
      <w:divBdr>
        <w:top w:val="none" w:sz="0" w:space="0" w:color="auto"/>
        <w:left w:val="none" w:sz="0" w:space="0" w:color="auto"/>
        <w:bottom w:val="none" w:sz="0" w:space="0" w:color="auto"/>
        <w:right w:val="none" w:sz="0" w:space="0" w:color="auto"/>
      </w:divBdr>
    </w:div>
    <w:div w:id="59984088">
      <w:bodyDiv w:val="1"/>
      <w:marLeft w:val="0"/>
      <w:marRight w:val="0"/>
      <w:marTop w:val="0"/>
      <w:marBottom w:val="0"/>
      <w:divBdr>
        <w:top w:val="none" w:sz="0" w:space="0" w:color="auto"/>
        <w:left w:val="none" w:sz="0" w:space="0" w:color="auto"/>
        <w:bottom w:val="none" w:sz="0" w:space="0" w:color="auto"/>
        <w:right w:val="none" w:sz="0" w:space="0" w:color="auto"/>
      </w:divBdr>
    </w:div>
    <w:div w:id="60754224">
      <w:bodyDiv w:val="1"/>
      <w:marLeft w:val="0"/>
      <w:marRight w:val="0"/>
      <w:marTop w:val="0"/>
      <w:marBottom w:val="0"/>
      <w:divBdr>
        <w:top w:val="none" w:sz="0" w:space="0" w:color="auto"/>
        <w:left w:val="none" w:sz="0" w:space="0" w:color="auto"/>
        <w:bottom w:val="none" w:sz="0" w:space="0" w:color="auto"/>
        <w:right w:val="none" w:sz="0" w:space="0" w:color="auto"/>
      </w:divBdr>
    </w:div>
    <w:div w:id="61028545">
      <w:bodyDiv w:val="1"/>
      <w:marLeft w:val="0"/>
      <w:marRight w:val="0"/>
      <w:marTop w:val="0"/>
      <w:marBottom w:val="0"/>
      <w:divBdr>
        <w:top w:val="none" w:sz="0" w:space="0" w:color="auto"/>
        <w:left w:val="none" w:sz="0" w:space="0" w:color="auto"/>
        <w:bottom w:val="none" w:sz="0" w:space="0" w:color="auto"/>
        <w:right w:val="none" w:sz="0" w:space="0" w:color="auto"/>
      </w:divBdr>
    </w:div>
    <w:div w:id="66852842">
      <w:bodyDiv w:val="1"/>
      <w:marLeft w:val="0"/>
      <w:marRight w:val="0"/>
      <w:marTop w:val="0"/>
      <w:marBottom w:val="0"/>
      <w:divBdr>
        <w:top w:val="none" w:sz="0" w:space="0" w:color="auto"/>
        <w:left w:val="none" w:sz="0" w:space="0" w:color="auto"/>
        <w:bottom w:val="none" w:sz="0" w:space="0" w:color="auto"/>
        <w:right w:val="none" w:sz="0" w:space="0" w:color="auto"/>
      </w:divBdr>
    </w:div>
    <w:div w:id="69036995">
      <w:bodyDiv w:val="1"/>
      <w:marLeft w:val="0"/>
      <w:marRight w:val="0"/>
      <w:marTop w:val="0"/>
      <w:marBottom w:val="0"/>
      <w:divBdr>
        <w:top w:val="none" w:sz="0" w:space="0" w:color="auto"/>
        <w:left w:val="none" w:sz="0" w:space="0" w:color="auto"/>
        <w:bottom w:val="none" w:sz="0" w:space="0" w:color="auto"/>
        <w:right w:val="none" w:sz="0" w:space="0" w:color="auto"/>
      </w:divBdr>
    </w:div>
    <w:div w:id="69934741">
      <w:bodyDiv w:val="1"/>
      <w:marLeft w:val="0"/>
      <w:marRight w:val="0"/>
      <w:marTop w:val="0"/>
      <w:marBottom w:val="0"/>
      <w:divBdr>
        <w:top w:val="none" w:sz="0" w:space="0" w:color="auto"/>
        <w:left w:val="none" w:sz="0" w:space="0" w:color="auto"/>
        <w:bottom w:val="none" w:sz="0" w:space="0" w:color="auto"/>
        <w:right w:val="none" w:sz="0" w:space="0" w:color="auto"/>
      </w:divBdr>
    </w:div>
    <w:div w:id="70587782">
      <w:bodyDiv w:val="1"/>
      <w:marLeft w:val="0"/>
      <w:marRight w:val="0"/>
      <w:marTop w:val="0"/>
      <w:marBottom w:val="0"/>
      <w:divBdr>
        <w:top w:val="none" w:sz="0" w:space="0" w:color="auto"/>
        <w:left w:val="none" w:sz="0" w:space="0" w:color="auto"/>
        <w:bottom w:val="none" w:sz="0" w:space="0" w:color="auto"/>
        <w:right w:val="none" w:sz="0" w:space="0" w:color="auto"/>
      </w:divBdr>
    </w:div>
    <w:div w:id="71856878">
      <w:bodyDiv w:val="1"/>
      <w:marLeft w:val="0"/>
      <w:marRight w:val="0"/>
      <w:marTop w:val="0"/>
      <w:marBottom w:val="0"/>
      <w:divBdr>
        <w:top w:val="none" w:sz="0" w:space="0" w:color="auto"/>
        <w:left w:val="none" w:sz="0" w:space="0" w:color="auto"/>
        <w:bottom w:val="none" w:sz="0" w:space="0" w:color="auto"/>
        <w:right w:val="none" w:sz="0" w:space="0" w:color="auto"/>
      </w:divBdr>
    </w:div>
    <w:div w:id="76829017">
      <w:bodyDiv w:val="1"/>
      <w:marLeft w:val="0"/>
      <w:marRight w:val="0"/>
      <w:marTop w:val="0"/>
      <w:marBottom w:val="0"/>
      <w:divBdr>
        <w:top w:val="none" w:sz="0" w:space="0" w:color="auto"/>
        <w:left w:val="none" w:sz="0" w:space="0" w:color="auto"/>
        <w:bottom w:val="none" w:sz="0" w:space="0" w:color="auto"/>
        <w:right w:val="none" w:sz="0" w:space="0" w:color="auto"/>
      </w:divBdr>
    </w:div>
    <w:div w:id="77757200">
      <w:bodyDiv w:val="1"/>
      <w:marLeft w:val="0"/>
      <w:marRight w:val="0"/>
      <w:marTop w:val="0"/>
      <w:marBottom w:val="0"/>
      <w:divBdr>
        <w:top w:val="none" w:sz="0" w:space="0" w:color="auto"/>
        <w:left w:val="none" w:sz="0" w:space="0" w:color="auto"/>
        <w:bottom w:val="none" w:sz="0" w:space="0" w:color="auto"/>
        <w:right w:val="none" w:sz="0" w:space="0" w:color="auto"/>
      </w:divBdr>
    </w:div>
    <w:div w:id="78135860">
      <w:bodyDiv w:val="1"/>
      <w:marLeft w:val="0"/>
      <w:marRight w:val="0"/>
      <w:marTop w:val="0"/>
      <w:marBottom w:val="0"/>
      <w:divBdr>
        <w:top w:val="none" w:sz="0" w:space="0" w:color="auto"/>
        <w:left w:val="none" w:sz="0" w:space="0" w:color="auto"/>
        <w:bottom w:val="none" w:sz="0" w:space="0" w:color="auto"/>
        <w:right w:val="none" w:sz="0" w:space="0" w:color="auto"/>
      </w:divBdr>
    </w:div>
    <w:div w:id="80955644">
      <w:bodyDiv w:val="1"/>
      <w:marLeft w:val="0"/>
      <w:marRight w:val="0"/>
      <w:marTop w:val="0"/>
      <w:marBottom w:val="0"/>
      <w:divBdr>
        <w:top w:val="none" w:sz="0" w:space="0" w:color="auto"/>
        <w:left w:val="none" w:sz="0" w:space="0" w:color="auto"/>
        <w:bottom w:val="none" w:sz="0" w:space="0" w:color="auto"/>
        <w:right w:val="none" w:sz="0" w:space="0" w:color="auto"/>
      </w:divBdr>
    </w:div>
    <w:div w:id="84305717">
      <w:bodyDiv w:val="1"/>
      <w:marLeft w:val="0"/>
      <w:marRight w:val="0"/>
      <w:marTop w:val="0"/>
      <w:marBottom w:val="0"/>
      <w:divBdr>
        <w:top w:val="none" w:sz="0" w:space="0" w:color="auto"/>
        <w:left w:val="none" w:sz="0" w:space="0" w:color="auto"/>
        <w:bottom w:val="none" w:sz="0" w:space="0" w:color="auto"/>
        <w:right w:val="none" w:sz="0" w:space="0" w:color="auto"/>
      </w:divBdr>
    </w:div>
    <w:div w:id="85225327">
      <w:bodyDiv w:val="1"/>
      <w:marLeft w:val="0"/>
      <w:marRight w:val="0"/>
      <w:marTop w:val="0"/>
      <w:marBottom w:val="0"/>
      <w:divBdr>
        <w:top w:val="none" w:sz="0" w:space="0" w:color="auto"/>
        <w:left w:val="none" w:sz="0" w:space="0" w:color="auto"/>
        <w:bottom w:val="none" w:sz="0" w:space="0" w:color="auto"/>
        <w:right w:val="none" w:sz="0" w:space="0" w:color="auto"/>
      </w:divBdr>
    </w:div>
    <w:div w:id="87311751">
      <w:bodyDiv w:val="1"/>
      <w:marLeft w:val="0"/>
      <w:marRight w:val="0"/>
      <w:marTop w:val="0"/>
      <w:marBottom w:val="0"/>
      <w:divBdr>
        <w:top w:val="none" w:sz="0" w:space="0" w:color="auto"/>
        <w:left w:val="none" w:sz="0" w:space="0" w:color="auto"/>
        <w:bottom w:val="none" w:sz="0" w:space="0" w:color="auto"/>
        <w:right w:val="none" w:sz="0" w:space="0" w:color="auto"/>
      </w:divBdr>
    </w:div>
    <w:div w:id="89352366">
      <w:bodyDiv w:val="1"/>
      <w:marLeft w:val="0"/>
      <w:marRight w:val="0"/>
      <w:marTop w:val="0"/>
      <w:marBottom w:val="0"/>
      <w:divBdr>
        <w:top w:val="none" w:sz="0" w:space="0" w:color="auto"/>
        <w:left w:val="none" w:sz="0" w:space="0" w:color="auto"/>
        <w:bottom w:val="none" w:sz="0" w:space="0" w:color="auto"/>
        <w:right w:val="none" w:sz="0" w:space="0" w:color="auto"/>
      </w:divBdr>
    </w:div>
    <w:div w:id="92091426">
      <w:bodyDiv w:val="1"/>
      <w:marLeft w:val="0"/>
      <w:marRight w:val="0"/>
      <w:marTop w:val="0"/>
      <w:marBottom w:val="0"/>
      <w:divBdr>
        <w:top w:val="none" w:sz="0" w:space="0" w:color="auto"/>
        <w:left w:val="none" w:sz="0" w:space="0" w:color="auto"/>
        <w:bottom w:val="none" w:sz="0" w:space="0" w:color="auto"/>
        <w:right w:val="none" w:sz="0" w:space="0" w:color="auto"/>
      </w:divBdr>
    </w:div>
    <w:div w:id="96565751">
      <w:bodyDiv w:val="1"/>
      <w:marLeft w:val="0"/>
      <w:marRight w:val="0"/>
      <w:marTop w:val="0"/>
      <w:marBottom w:val="0"/>
      <w:divBdr>
        <w:top w:val="none" w:sz="0" w:space="0" w:color="auto"/>
        <w:left w:val="none" w:sz="0" w:space="0" w:color="auto"/>
        <w:bottom w:val="none" w:sz="0" w:space="0" w:color="auto"/>
        <w:right w:val="none" w:sz="0" w:space="0" w:color="auto"/>
      </w:divBdr>
    </w:div>
    <w:div w:id="99301331">
      <w:bodyDiv w:val="1"/>
      <w:marLeft w:val="0"/>
      <w:marRight w:val="0"/>
      <w:marTop w:val="0"/>
      <w:marBottom w:val="0"/>
      <w:divBdr>
        <w:top w:val="none" w:sz="0" w:space="0" w:color="auto"/>
        <w:left w:val="none" w:sz="0" w:space="0" w:color="auto"/>
        <w:bottom w:val="none" w:sz="0" w:space="0" w:color="auto"/>
        <w:right w:val="none" w:sz="0" w:space="0" w:color="auto"/>
      </w:divBdr>
    </w:div>
    <w:div w:id="104429875">
      <w:bodyDiv w:val="1"/>
      <w:marLeft w:val="0"/>
      <w:marRight w:val="0"/>
      <w:marTop w:val="0"/>
      <w:marBottom w:val="0"/>
      <w:divBdr>
        <w:top w:val="none" w:sz="0" w:space="0" w:color="auto"/>
        <w:left w:val="none" w:sz="0" w:space="0" w:color="auto"/>
        <w:bottom w:val="none" w:sz="0" w:space="0" w:color="auto"/>
        <w:right w:val="none" w:sz="0" w:space="0" w:color="auto"/>
      </w:divBdr>
    </w:div>
    <w:div w:id="106393598">
      <w:bodyDiv w:val="1"/>
      <w:marLeft w:val="0"/>
      <w:marRight w:val="0"/>
      <w:marTop w:val="0"/>
      <w:marBottom w:val="0"/>
      <w:divBdr>
        <w:top w:val="none" w:sz="0" w:space="0" w:color="auto"/>
        <w:left w:val="none" w:sz="0" w:space="0" w:color="auto"/>
        <w:bottom w:val="none" w:sz="0" w:space="0" w:color="auto"/>
        <w:right w:val="none" w:sz="0" w:space="0" w:color="auto"/>
      </w:divBdr>
    </w:div>
    <w:div w:id="107551756">
      <w:bodyDiv w:val="1"/>
      <w:marLeft w:val="0"/>
      <w:marRight w:val="0"/>
      <w:marTop w:val="0"/>
      <w:marBottom w:val="0"/>
      <w:divBdr>
        <w:top w:val="none" w:sz="0" w:space="0" w:color="auto"/>
        <w:left w:val="none" w:sz="0" w:space="0" w:color="auto"/>
        <w:bottom w:val="none" w:sz="0" w:space="0" w:color="auto"/>
        <w:right w:val="none" w:sz="0" w:space="0" w:color="auto"/>
      </w:divBdr>
    </w:div>
    <w:div w:id="110706772">
      <w:bodyDiv w:val="1"/>
      <w:marLeft w:val="0"/>
      <w:marRight w:val="0"/>
      <w:marTop w:val="0"/>
      <w:marBottom w:val="0"/>
      <w:divBdr>
        <w:top w:val="none" w:sz="0" w:space="0" w:color="auto"/>
        <w:left w:val="none" w:sz="0" w:space="0" w:color="auto"/>
        <w:bottom w:val="none" w:sz="0" w:space="0" w:color="auto"/>
        <w:right w:val="none" w:sz="0" w:space="0" w:color="auto"/>
      </w:divBdr>
    </w:div>
    <w:div w:id="114833042">
      <w:bodyDiv w:val="1"/>
      <w:marLeft w:val="0"/>
      <w:marRight w:val="0"/>
      <w:marTop w:val="0"/>
      <w:marBottom w:val="0"/>
      <w:divBdr>
        <w:top w:val="none" w:sz="0" w:space="0" w:color="auto"/>
        <w:left w:val="none" w:sz="0" w:space="0" w:color="auto"/>
        <w:bottom w:val="none" w:sz="0" w:space="0" w:color="auto"/>
        <w:right w:val="none" w:sz="0" w:space="0" w:color="auto"/>
      </w:divBdr>
    </w:div>
    <w:div w:id="115178995">
      <w:bodyDiv w:val="1"/>
      <w:marLeft w:val="0"/>
      <w:marRight w:val="0"/>
      <w:marTop w:val="0"/>
      <w:marBottom w:val="0"/>
      <w:divBdr>
        <w:top w:val="none" w:sz="0" w:space="0" w:color="auto"/>
        <w:left w:val="none" w:sz="0" w:space="0" w:color="auto"/>
        <w:bottom w:val="none" w:sz="0" w:space="0" w:color="auto"/>
        <w:right w:val="none" w:sz="0" w:space="0" w:color="auto"/>
      </w:divBdr>
    </w:div>
    <w:div w:id="120156841">
      <w:bodyDiv w:val="1"/>
      <w:marLeft w:val="0"/>
      <w:marRight w:val="0"/>
      <w:marTop w:val="0"/>
      <w:marBottom w:val="0"/>
      <w:divBdr>
        <w:top w:val="none" w:sz="0" w:space="0" w:color="auto"/>
        <w:left w:val="none" w:sz="0" w:space="0" w:color="auto"/>
        <w:bottom w:val="none" w:sz="0" w:space="0" w:color="auto"/>
        <w:right w:val="none" w:sz="0" w:space="0" w:color="auto"/>
      </w:divBdr>
    </w:div>
    <w:div w:id="121655441">
      <w:bodyDiv w:val="1"/>
      <w:marLeft w:val="0"/>
      <w:marRight w:val="0"/>
      <w:marTop w:val="0"/>
      <w:marBottom w:val="0"/>
      <w:divBdr>
        <w:top w:val="none" w:sz="0" w:space="0" w:color="auto"/>
        <w:left w:val="none" w:sz="0" w:space="0" w:color="auto"/>
        <w:bottom w:val="none" w:sz="0" w:space="0" w:color="auto"/>
        <w:right w:val="none" w:sz="0" w:space="0" w:color="auto"/>
      </w:divBdr>
    </w:div>
    <w:div w:id="123619131">
      <w:bodyDiv w:val="1"/>
      <w:marLeft w:val="0"/>
      <w:marRight w:val="0"/>
      <w:marTop w:val="0"/>
      <w:marBottom w:val="0"/>
      <w:divBdr>
        <w:top w:val="none" w:sz="0" w:space="0" w:color="auto"/>
        <w:left w:val="none" w:sz="0" w:space="0" w:color="auto"/>
        <w:bottom w:val="none" w:sz="0" w:space="0" w:color="auto"/>
        <w:right w:val="none" w:sz="0" w:space="0" w:color="auto"/>
      </w:divBdr>
    </w:div>
    <w:div w:id="124087420">
      <w:bodyDiv w:val="1"/>
      <w:marLeft w:val="0"/>
      <w:marRight w:val="0"/>
      <w:marTop w:val="0"/>
      <w:marBottom w:val="0"/>
      <w:divBdr>
        <w:top w:val="none" w:sz="0" w:space="0" w:color="auto"/>
        <w:left w:val="none" w:sz="0" w:space="0" w:color="auto"/>
        <w:bottom w:val="none" w:sz="0" w:space="0" w:color="auto"/>
        <w:right w:val="none" w:sz="0" w:space="0" w:color="auto"/>
      </w:divBdr>
    </w:div>
    <w:div w:id="128403254">
      <w:bodyDiv w:val="1"/>
      <w:marLeft w:val="0"/>
      <w:marRight w:val="0"/>
      <w:marTop w:val="0"/>
      <w:marBottom w:val="0"/>
      <w:divBdr>
        <w:top w:val="none" w:sz="0" w:space="0" w:color="auto"/>
        <w:left w:val="none" w:sz="0" w:space="0" w:color="auto"/>
        <w:bottom w:val="none" w:sz="0" w:space="0" w:color="auto"/>
        <w:right w:val="none" w:sz="0" w:space="0" w:color="auto"/>
      </w:divBdr>
    </w:div>
    <w:div w:id="131411280">
      <w:bodyDiv w:val="1"/>
      <w:marLeft w:val="0"/>
      <w:marRight w:val="0"/>
      <w:marTop w:val="0"/>
      <w:marBottom w:val="0"/>
      <w:divBdr>
        <w:top w:val="none" w:sz="0" w:space="0" w:color="auto"/>
        <w:left w:val="none" w:sz="0" w:space="0" w:color="auto"/>
        <w:bottom w:val="none" w:sz="0" w:space="0" w:color="auto"/>
        <w:right w:val="none" w:sz="0" w:space="0" w:color="auto"/>
      </w:divBdr>
    </w:div>
    <w:div w:id="131557522">
      <w:bodyDiv w:val="1"/>
      <w:marLeft w:val="0"/>
      <w:marRight w:val="0"/>
      <w:marTop w:val="0"/>
      <w:marBottom w:val="0"/>
      <w:divBdr>
        <w:top w:val="none" w:sz="0" w:space="0" w:color="auto"/>
        <w:left w:val="none" w:sz="0" w:space="0" w:color="auto"/>
        <w:bottom w:val="none" w:sz="0" w:space="0" w:color="auto"/>
        <w:right w:val="none" w:sz="0" w:space="0" w:color="auto"/>
      </w:divBdr>
    </w:div>
    <w:div w:id="132211917">
      <w:bodyDiv w:val="1"/>
      <w:marLeft w:val="0"/>
      <w:marRight w:val="0"/>
      <w:marTop w:val="0"/>
      <w:marBottom w:val="0"/>
      <w:divBdr>
        <w:top w:val="none" w:sz="0" w:space="0" w:color="auto"/>
        <w:left w:val="none" w:sz="0" w:space="0" w:color="auto"/>
        <w:bottom w:val="none" w:sz="0" w:space="0" w:color="auto"/>
        <w:right w:val="none" w:sz="0" w:space="0" w:color="auto"/>
      </w:divBdr>
    </w:div>
    <w:div w:id="132719323">
      <w:bodyDiv w:val="1"/>
      <w:marLeft w:val="0"/>
      <w:marRight w:val="0"/>
      <w:marTop w:val="0"/>
      <w:marBottom w:val="0"/>
      <w:divBdr>
        <w:top w:val="none" w:sz="0" w:space="0" w:color="auto"/>
        <w:left w:val="none" w:sz="0" w:space="0" w:color="auto"/>
        <w:bottom w:val="none" w:sz="0" w:space="0" w:color="auto"/>
        <w:right w:val="none" w:sz="0" w:space="0" w:color="auto"/>
      </w:divBdr>
    </w:div>
    <w:div w:id="133834575">
      <w:bodyDiv w:val="1"/>
      <w:marLeft w:val="0"/>
      <w:marRight w:val="0"/>
      <w:marTop w:val="0"/>
      <w:marBottom w:val="0"/>
      <w:divBdr>
        <w:top w:val="none" w:sz="0" w:space="0" w:color="auto"/>
        <w:left w:val="none" w:sz="0" w:space="0" w:color="auto"/>
        <w:bottom w:val="none" w:sz="0" w:space="0" w:color="auto"/>
        <w:right w:val="none" w:sz="0" w:space="0" w:color="auto"/>
      </w:divBdr>
    </w:div>
    <w:div w:id="139612156">
      <w:bodyDiv w:val="1"/>
      <w:marLeft w:val="0"/>
      <w:marRight w:val="0"/>
      <w:marTop w:val="0"/>
      <w:marBottom w:val="0"/>
      <w:divBdr>
        <w:top w:val="none" w:sz="0" w:space="0" w:color="auto"/>
        <w:left w:val="none" w:sz="0" w:space="0" w:color="auto"/>
        <w:bottom w:val="none" w:sz="0" w:space="0" w:color="auto"/>
        <w:right w:val="none" w:sz="0" w:space="0" w:color="auto"/>
      </w:divBdr>
    </w:div>
    <w:div w:id="142893239">
      <w:bodyDiv w:val="1"/>
      <w:marLeft w:val="0"/>
      <w:marRight w:val="0"/>
      <w:marTop w:val="0"/>
      <w:marBottom w:val="0"/>
      <w:divBdr>
        <w:top w:val="none" w:sz="0" w:space="0" w:color="auto"/>
        <w:left w:val="none" w:sz="0" w:space="0" w:color="auto"/>
        <w:bottom w:val="none" w:sz="0" w:space="0" w:color="auto"/>
        <w:right w:val="none" w:sz="0" w:space="0" w:color="auto"/>
      </w:divBdr>
    </w:div>
    <w:div w:id="155389918">
      <w:bodyDiv w:val="1"/>
      <w:marLeft w:val="0"/>
      <w:marRight w:val="0"/>
      <w:marTop w:val="0"/>
      <w:marBottom w:val="0"/>
      <w:divBdr>
        <w:top w:val="none" w:sz="0" w:space="0" w:color="auto"/>
        <w:left w:val="none" w:sz="0" w:space="0" w:color="auto"/>
        <w:bottom w:val="none" w:sz="0" w:space="0" w:color="auto"/>
        <w:right w:val="none" w:sz="0" w:space="0" w:color="auto"/>
      </w:divBdr>
    </w:div>
    <w:div w:id="156043675">
      <w:bodyDiv w:val="1"/>
      <w:marLeft w:val="0"/>
      <w:marRight w:val="0"/>
      <w:marTop w:val="0"/>
      <w:marBottom w:val="0"/>
      <w:divBdr>
        <w:top w:val="none" w:sz="0" w:space="0" w:color="auto"/>
        <w:left w:val="none" w:sz="0" w:space="0" w:color="auto"/>
        <w:bottom w:val="none" w:sz="0" w:space="0" w:color="auto"/>
        <w:right w:val="none" w:sz="0" w:space="0" w:color="auto"/>
      </w:divBdr>
    </w:div>
    <w:div w:id="159152523">
      <w:bodyDiv w:val="1"/>
      <w:marLeft w:val="0"/>
      <w:marRight w:val="0"/>
      <w:marTop w:val="0"/>
      <w:marBottom w:val="0"/>
      <w:divBdr>
        <w:top w:val="none" w:sz="0" w:space="0" w:color="auto"/>
        <w:left w:val="none" w:sz="0" w:space="0" w:color="auto"/>
        <w:bottom w:val="none" w:sz="0" w:space="0" w:color="auto"/>
        <w:right w:val="none" w:sz="0" w:space="0" w:color="auto"/>
      </w:divBdr>
    </w:div>
    <w:div w:id="159735202">
      <w:bodyDiv w:val="1"/>
      <w:marLeft w:val="0"/>
      <w:marRight w:val="0"/>
      <w:marTop w:val="0"/>
      <w:marBottom w:val="0"/>
      <w:divBdr>
        <w:top w:val="none" w:sz="0" w:space="0" w:color="auto"/>
        <w:left w:val="none" w:sz="0" w:space="0" w:color="auto"/>
        <w:bottom w:val="none" w:sz="0" w:space="0" w:color="auto"/>
        <w:right w:val="none" w:sz="0" w:space="0" w:color="auto"/>
      </w:divBdr>
    </w:div>
    <w:div w:id="160507668">
      <w:bodyDiv w:val="1"/>
      <w:marLeft w:val="0"/>
      <w:marRight w:val="0"/>
      <w:marTop w:val="0"/>
      <w:marBottom w:val="0"/>
      <w:divBdr>
        <w:top w:val="none" w:sz="0" w:space="0" w:color="auto"/>
        <w:left w:val="none" w:sz="0" w:space="0" w:color="auto"/>
        <w:bottom w:val="none" w:sz="0" w:space="0" w:color="auto"/>
        <w:right w:val="none" w:sz="0" w:space="0" w:color="auto"/>
      </w:divBdr>
    </w:div>
    <w:div w:id="171339332">
      <w:bodyDiv w:val="1"/>
      <w:marLeft w:val="0"/>
      <w:marRight w:val="0"/>
      <w:marTop w:val="0"/>
      <w:marBottom w:val="0"/>
      <w:divBdr>
        <w:top w:val="none" w:sz="0" w:space="0" w:color="auto"/>
        <w:left w:val="none" w:sz="0" w:space="0" w:color="auto"/>
        <w:bottom w:val="none" w:sz="0" w:space="0" w:color="auto"/>
        <w:right w:val="none" w:sz="0" w:space="0" w:color="auto"/>
      </w:divBdr>
    </w:div>
    <w:div w:id="173499311">
      <w:bodyDiv w:val="1"/>
      <w:marLeft w:val="0"/>
      <w:marRight w:val="0"/>
      <w:marTop w:val="0"/>
      <w:marBottom w:val="0"/>
      <w:divBdr>
        <w:top w:val="none" w:sz="0" w:space="0" w:color="auto"/>
        <w:left w:val="none" w:sz="0" w:space="0" w:color="auto"/>
        <w:bottom w:val="none" w:sz="0" w:space="0" w:color="auto"/>
        <w:right w:val="none" w:sz="0" w:space="0" w:color="auto"/>
      </w:divBdr>
    </w:div>
    <w:div w:id="177699900">
      <w:bodyDiv w:val="1"/>
      <w:marLeft w:val="0"/>
      <w:marRight w:val="0"/>
      <w:marTop w:val="0"/>
      <w:marBottom w:val="0"/>
      <w:divBdr>
        <w:top w:val="none" w:sz="0" w:space="0" w:color="auto"/>
        <w:left w:val="none" w:sz="0" w:space="0" w:color="auto"/>
        <w:bottom w:val="none" w:sz="0" w:space="0" w:color="auto"/>
        <w:right w:val="none" w:sz="0" w:space="0" w:color="auto"/>
      </w:divBdr>
    </w:div>
    <w:div w:id="186676965">
      <w:bodyDiv w:val="1"/>
      <w:marLeft w:val="0"/>
      <w:marRight w:val="0"/>
      <w:marTop w:val="0"/>
      <w:marBottom w:val="0"/>
      <w:divBdr>
        <w:top w:val="none" w:sz="0" w:space="0" w:color="auto"/>
        <w:left w:val="none" w:sz="0" w:space="0" w:color="auto"/>
        <w:bottom w:val="none" w:sz="0" w:space="0" w:color="auto"/>
        <w:right w:val="none" w:sz="0" w:space="0" w:color="auto"/>
      </w:divBdr>
    </w:div>
    <w:div w:id="191263924">
      <w:bodyDiv w:val="1"/>
      <w:marLeft w:val="0"/>
      <w:marRight w:val="0"/>
      <w:marTop w:val="0"/>
      <w:marBottom w:val="0"/>
      <w:divBdr>
        <w:top w:val="none" w:sz="0" w:space="0" w:color="auto"/>
        <w:left w:val="none" w:sz="0" w:space="0" w:color="auto"/>
        <w:bottom w:val="none" w:sz="0" w:space="0" w:color="auto"/>
        <w:right w:val="none" w:sz="0" w:space="0" w:color="auto"/>
      </w:divBdr>
    </w:div>
    <w:div w:id="194083316">
      <w:bodyDiv w:val="1"/>
      <w:marLeft w:val="0"/>
      <w:marRight w:val="0"/>
      <w:marTop w:val="0"/>
      <w:marBottom w:val="0"/>
      <w:divBdr>
        <w:top w:val="none" w:sz="0" w:space="0" w:color="auto"/>
        <w:left w:val="none" w:sz="0" w:space="0" w:color="auto"/>
        <w:bottom w:val="none" w:sz="0" w:space="0" w:color="auto"/>
        <w:right w:val="none" w:sz="0" w:space="0" w:color="auto"/>
      </w:divBdr>
    </w:div>
    <w:div w:id="194975526">
      <w:bodyDiv w:val="1"/>
      <w:marLeft w:val="0"/>
      <w:marRight w:val="0"/>
      <w:marTop w:val="0"/>
      <w:marBottom w:val="0"/>
      <w:divBdr>
        <w:top w:val="none" w:sz="0" w:space="0" w:color="auto"/>
        <w:left w:val="none" w:sz="0" w:space="0" w:color="auto"/>
        <w:bottom w:val="none" w:sz="0" w:space="0" w:color="auto"/>
        <w:right w:val="none" w:sz="0" w:space="0" w:color="auto"/>
      </w:divBdr>
    </w:div>
    <w:div w:id="196745479">
      <w:bodyDiv w:val="1"/>
      <w:marLeft w:val="0"/>
      <w:marRight w:val="0"/>
      <w:marTop w:val="0"/>
      <w:marBottom w:val="0"/>
      <w:divBdr>
        <w:top w:val="none" w:sz="0" w:space="0" w:color="auto"/>
        <w:left w:val="none" w:sz="0" w:space="0" w:color="auto"/>
        <w:bottom w:val="none" w:sz="0" w:space="0" w:color="auto"/>
        <w:right w:val="none" w:sz="0" w:space="0" w:color="auto"/>
      </w:divBdr>
    </w:div>
    <w:div w:id="199634224">
      <w:bodyDiv w:val="1"/>
      <w:marLeft w:val="0"/>
      <w:marRight w:val="0"/>
      <w:marTop w:val="0"/>
      <w:marBottom w:val="0"/>
      <w:divBdr>
        <w:top w:val="none" w:sz="0" w:space="0" w:color="auto"/>
        <w:left w:val="none" w:sz="0" w:space="0" w:color="auto"/>
        <w:bottom w:val="none" w:sz="0" w:space="0" w:color="auto"/>
        <w:right w:val="none" w:sz="0" w:space="0" w:color="auto"/>
      </w:divBdr>
    </w:div>
    <w:div w:id="200173807">
      <w:bodyDiv w:val="1"/>
      <w:marLeft w:val="0"/>
      <w:marRight w:val="0"/>
      <w:marTop w:val="0"/>
      <w:marBottom w:val="0"/>
      <w:divBdr>
        <w:top w:val="none" w:sz="0" w:space="0" w:color="auto"/>
        <w:left w:val="none" w:sz="0" w:space="0" w:color="auto"/>
        <w:bottom w:val="none" w:sz="0" w:space="0" w:color="auto"/>
        <w:right w:val="none" w:sz="0" w:space="0" w:color="auto"/>
      </w:divBdr>
    </w:div>
    <w:div w:id="202182930">
      <w:bodyDiv w:val="1"/>
      <w:marLeft w:val="0"/>
      <w:marRight w:val="0"/>
      <w:marTop w:val="0"/>
      <w:marBottom w:val="0"/>
      <w:divBdr>
        <w:top w:val="none" w:sz="0" w:space="0" w:color="auto"/>
        <w:left w:val="none" w:sz="0" w:space="0" w:color="auto"/>
        <w:bottom w:val="none" w:sz="0" w:space="0" w:color="auto"/>
        <w:right w:val="none" w:sz="0" w:space="0" w:color="auto"/>
      </w:divBdr>
    </w:div>
    <w:div w:id="208493699">
      <w:bodyDiv w:val="1"/>
      <w:marLeft w:val="0"/>
      <w:marRight w:val="0"/>
      <w:marTop w:val="0"/>
      <w:marBottom w:val="0"/>
      <w:divBdr>
        <w:top w:val="none" w:sz="0" w:space="0" w:color="auto"/>
        <w:left w:val="none" w:sz="0" w:space="0" w:color="auto"/>
        <w:bottom w:val="none" w:sz="0" w:space="0" w:color="auto"/>
        <w:right w:val="none" w:sz="0" w:space="0" w:color="auto"/>
      </w:divBdr>
    </w:div>
    <w:div w:id="209541943">
      <w:bodyDiv w:val="1"/>
      <w:marLeft w:val="0"/>
      <w:marRight w:val="0"/>
      <w:marTop w:val="0"/>
      <w:marBottom w:val="0"/>
      <w:divBdr>
        <w:top w:val="none" w:sz="0" w:space="0" w:color="auto"/>
        <w:left w:val="none" w:sz="0" w:space="0" w:color="auto"/>
        <w:bottom w:val="none" w:sz="0" w:space="0" w:color="auto"/>
        <w:right w:val="none" w:sz="0" w:space="0" w:color="auto"/>
      </w:divBdr>
    </w:div>
    <w:div w:id="211308709">
      <w:bodyDiv w:val="1"/>
      <w:marLeft w:val="0"/>
      <w:marRight w:val="0"/>
      <w:marTop w:val="0"/>
      <w:marBottom w:val="0"/>
      <w:divBdr>
        <w:top w:val="none" w:sz="0" w:space="0" w:color="auto"/>
        <w:left w:val="none" w:sz="0" w:space="0" w:color="auto"/>
        <w:bottom w:val="none" w:sz="0" w:space="0" w:color="auto"/>
        <w:right w:val="none" w:sz="0" w:space="0" w:color="auto"/>
      </w:divBdr>
    </w:div>
    <w:div w:id="213154954">
      <w:bodyDiv w:val="1"/>
      <w:marLeft w:val="0"/>
      <w:marRight w:val="0"/>
      <w:marTop w:val="0"/>
      <w:marBottom w:val="0"/>
      <w:divBdr>
        <w:top w:val="none" w:sz="0" w:space="0" w:color="auto"/>
        <w:left w:val="none" w:sz="0" w:space="0" w:color="auto"/>
        <w:bottom w:val="none" w:sz="0" w:space="0" w:color="auto"/>
        <w:right w:val="none" w:sz="0" w:space="0" w:color="auto"/>
      </w:divBdr>
    </w:div>
    <w:div w:id="215699159">
      <w:bodyDiv w:val="1"/>
      <w:marLeft w:val="0"/>
      <w:marRight w:val="0"/>
      <w:marTop w:val="0"/>
      <w:marBottom w:val="0"/>
      <w:divBdr>
        <w:top w:val="none" w:sz="0" w:space="0" w:color="auto"/>
        <w:left w:val="none" w:sz="0" w:space="0" w:color="auto"/>
        <w:bottom w:val="none" w:sz="0" w:space="0" w:color="auto"/>
        <w:right w:val="none" w:sz="0" w:space="0" w:color="auto"/>
      </w:divBdr>
    </w:div>
    <w:div w:id="216745225">
      <w:bodyDiv w:val="1"/>
      <w:marLeft w:val="0"/>
      <w:marRight w:val="0"/>
      <w:marTop w:val="0"/>
      <w:marBottom w:val="0"/>
      <w:divBdr>
        <w:top w:val="none" w:sz="0" w:space="0" w:color="auto"/>
        <w:left w:val="none" w:sz="0" w:space="0" w:color="auto"/>
        <w:bottom w:val="none" w:sz="0" w:space="0" w:color="auto"/>
        <w:right w:val="none" w:sz="0" w:space="0" w:color="auto"/>
      </w:divBdr>
    </w:div>
    <w:div w:id="217859131">
      <w:bodyDiv w:val="1"/>
      <w:marLeft w:val="0"/>
      <w:marRight w:val="0"/>
      <w:marTop w:val="0"/>
      <w:marBottom w:val="0"/>
      <w:divBdr>
        <w:top w:val="none" w:sz="0" w:space="0" w:color="auto"/>
        <w:left w:val="none" w:sz="0" w:space="0" w:color="auto"/>
        <w:bottom w:val="none" w:sz="0" w:space="0" w:color="auto"/>
        <w:right w:val="none" w:sz="0" w:space="0" w:color="auto"/>
      </w:divBdr>
    </w:div>
    <w:div w:id="218634960">
      <w:bodyDiv w:val="1"/>
      <w:marLeft w:val="0"/>
      <w:marRight w:val="0"/>
      <w:marTop w:val="0"/>
      <w:marBottom w:val="0"/>
      <w:divBdr>
        <w:top w:val="none" w:sz="0" w:space="0" w:color="auto"/>
        <w:left w:val="none" w:sz="0" w:space="0" w:color="auto"/>
        <w:bottom w:val="none" w:sz="0" w:space="0" w:color="auto"/>
        <w:right w:val="none" w:sz="0" w:space="0" w:color="auto"/>
      </w:divBdr>
    </w:div>
    <w:div w:id="220488338">
      <w:bodyDiv w:val="1"/>
      <w:marLeft w:val="0"/>
      <w:marRight w:val="0"/>
      <w:marTop w:val="0"/>
      <w:marBottom w:val="0"/>
      <w:divBdr>
        <w:top w:val="none" w:sz="0" w:space="0" w:color="auto"/>
        <w:left w:val="none" w:sz="0" w:space="0" w:color="auto"/>
        <w:bottom w:val="none" w:sz="0" w:space="0" w:color="auto"/>
        <w:right w:val="none" w:sz="0" w:space="0" w:color="auto"/>
      </w:divBdr>
    </w:div>
    <w:div w:id="222955218">
      <w:bodyDiv w:val="1"/>
      <w:marLeft w:val="0"/>
      <w:marRight w:val="0"/>
      <w:marTop w:val="0"/>
      <w:marBottom w:val="0"/>
      <w:divBdr>
        <w:top w:val="none" w:sz="0" w:space="0" w:color="auto"/>
        <w:left w:val="none" w:sz="0" w:space="0" w:color="auto"/>
        <w:bottom w:val="none" w:sz="0" w:space="0" w:color="auto"/>
        <w:right w:val="none" w:sz="0" w:space="0" w:color="auto"/>
      </w:divBdr>
    </w:div>
    <w:div w:id="225652628">
      <w:bodyDiv w:val="1"/>
      <w:marLeft w:val="0"/>
      <w:marRight w:val="0"/>
      <w:marTop w:val="0"/>
      <w:marBottom w:val="0"/>
      <w:divBdr>
        <w:top w:val="none" w:sz="0" w:space="0" w:color="auto"/>
        <w:left w:val="none" w:sz="0" w:space="0" w:color="auto"/>
        <w:bottom w:val="none" w:sz="0" w:space="0" w:color="auto"/>
        <w:right w:val="none" w:sz="0" w:space="0" w:color="auto"/>
      </w:divBdr>
    </w:div>
    <w:div w:id="227301924">
      <w:bodyDiv w:val="1"/>
      <w:marLeft w:val="0"/>
      <w:marRight w:val="0"/>
      <w:marTop w:val="0"/>
      <w:marBottom w:val="0"/>
      <w:divBdr>
        <w:top w:val="none" w:sz="0" w:space="0" w:color="auto"/>
        <w:left w:val="none" w:sz="0" w:space="0" w:color="auto"/>
        <w:bottom w:val="none" w:sz="0" w:space="0" w:color="auto"/>
        <w:right w:val="none" w:sz="0" w:space="0" w:color="auto"/>
      </w:divBdr>
    </w:div>
    <w:div w:id="229074950">
      <w:bodyDiv w:val="1"/>
      <w:marLeft w:val="0"/>
      <w:marRight w:val="0"/>
      <w:marTop w:val="0"/>
      <w:marBottom w:val="0"/>
      <w:divBdr>
        <w:top w:val="none" w:sz="0" w:space="0" w:color="auto"/>
        <w:left w:val="none" w:sz="0" w:space="0" w:color="auto"/>
        <w:bottom w:val="none" w:sz="0" w:space="0" w:color="auto"/>
        <w:right w:val="none" w:sz="0" w:space="0" w:color="auto"/>
      </w:divBdr>
    </w:div>
    <w:div w:id="236522666">
      <w:bodyDiv w:val="1"/>
      <w:marLeft w:val="0"/>
      <w:marRight w:val="0"/>
      <w:marTop w:val="0"/>
      <w:marBottom w:val="0"/>
      <w:divBdr>
        <w:top w:val="none" w:sz="0" w:space="0" w:color="auto"/>
        <w:left w:val="none" w:sz="0" w:space="0" w:color="auto"/>
        <w:bottom w:val="none" w:sz="0" w:space="0" w:color="auto"/>
        <w:right w:val="none" w:sz="0" w:space="0" w:color="auto"/>
      </w:divBdr>
    </w:div>
    <w:div w:id="240456655">
      <w:bodyDiv w:val="1"/>
      <w:marLeft w:val="0"/>
      <w:marRight w:val="0"/>
      <w:marTop w:val="0"/>
      <w:marBottom w:val="0"/>
      <w:divBdr>
        <w:top w:val="none" w:sz="0" w:space="0" w:color="auto"/>
        <w:left w:val="none" w:sz="0" w:space="0" w:color="auto"/>
        <w:bottom w:val="none" w:sz="0" w:space="0" w:color="auto"/>
        <w:right w:val="none" w:sz="0" w:space="0" w:color="auto"/>
      </w:divBdr>
    </w:div>
    <w:div w:id="241065874">
      <w:bodyDiv w:val="1"/>
      <w:marLeft w:val="0"/>
      <w:marRight w:val="0"/>
      <w:marTop w:val="0"/>
      <w:marBottom w:val="0"/>
      <w:divBdr>
        <w:top w:val="none" w:sz="0" w:space="0" w:color="auto"/>
        <w:left w:val="none" w:sz="0" w:space="0" w:color="auto"/>
        <w:bottom w:val="none" w:sz="0" w:space="0" w:color="auto"/>
        <w:right w:val="none" w:sz="0" w:space="0" w:color="auto"/>
      </w:divBdr>
    </w:div>
    <w:div w:id="245454329">
      <w:bodyDiv w:val="1"/>
      <w:marLeft w:val="0"/>
      <w:marRight w:val="0"/>
      <w:marTop w:val="0"/>
      <w:marBottom w:val="0"/>
      <w:divBdr>
        <w:top w:val="none" w:sz="0" w:space="0" w:color="auto"/>
        <w:left w:val="none" w:sz="0" w:space="0" w:color="auto"/>
        <w:bottom w:val="none" w:sz="0" w:space="0" w:color="auto"/>
        <w:right w:val="none" w:sz="0" w:space="0" w:color="auto"/>
      </w:divBdr>
    </w:div>
    <w:div w:id="250162018">
      <w:bodyDiv w:val="1"/>
      <w:marLeft w:val="0"/>
      <w:marRight w:val="0"/>
      <w:marTop w:val="0"/>
      <w:marBottom w:val="0"/>
      <w:divBdr>
        <w:top w:val="none" w:sz="0" w:space="0" w:color="auto"/>
        <w:left w:val="none" w:sz="0" w:space="0" w:color="auto"/>
        <w:bottom w:val="none" w:sz="0" w:space="0" w:color="auto"/>
        <w:right w:val="none" w:sz="0" w:space="0" w:color="auto"/>
      </w:divBdr>
    </w:div>
    <w:div w:id="252054185">
      <w:bodyDiv w:val="1"/>
      <w:marLeft w:val="0"/>
      <w:marRight w:val="0"/>
      <w:marTop w:val="0"/>
      <w:marBottom w:val="0"/>
      <w:divBdr>
        <w:top w:val="none" w:sz="0" w:space="0" w:color="auto"/>
        <w:left w:val="none" w:sz="0" w:space="0" w:color="auto"/>
        <w:bottom w:val="none" w:sz="0" w:space="0" w:color="auto"/>
        <w:right w:val="none" w:sz="0" w:space="0" w:color="auto"/>
      </w:divBdr>
    </w:div>
    <w:div w:id="255751190">
      <w:bodyDiv w:val="1"/>
      <w:marLeft w:val="0"/>
      <w:marRight w:val="0"/>
      <w:marTop w:val="0"/>
      <w:marBottom w:val="0"/>
      <w:divBdr>
        <w:top w:val="none" w:sz="0" w:space="0" w:color="auto"/>
        <w:left w:val="none" w:sz="0" w:space="0" w:color="auto"/>
        <w:bottom w:val="none" w:sz="0" w:space="0" w:color="auto"/>
        <w:right w:val="none" w:sz="0" w:space="0" w:color="auto"/>
      </w:divBdr>
    </w:div>
    <w:div w:id="256524395">
      <w:bodyDiv w:val="1"/>
      <w:marLeft w:val="0"/>
      <w:marRight w:val="0"/>
      <w:marTop w:val="0"/>
      <w:marBottom w:val="0"/>
      <w:divBdr>
        <w:top w:val="none" w:sz="0" w:space="0" w:color="auto"/>
        <w:left w:val="none" w:sz="0" w:space="0" w:color="auto"/>
        <w:bottom w:val="none" w:sz="0" w:space="0" w:color="auto"/>
        <w:right w:val="none" w:sz="0" w:space="0" w:color="auto"/>
      </w:divBdr>
    </w:div>
    <w:div w:id="257829136">
      <w:bodyDiv w:val="1"/>
      <w:marLeft w:val="0"/>
      <w:marRight w:val="0"/>
      <w:marTop w:val="0"/>
      <w:marBottom w:val="0"/>
      <w:divBdr>
        <w:top w:val="none" w:sz="0" w:space="0" w:color="auto"/>
        <w:left w:val="none" w:sz="0" w:space="0" w:color="auto"/>
        <w:bottom w:val="none" w:sz="0" w:space="0" w:color="auto"/>
        <w:right w:val="none" w:sz="0" w:space="0" w:color="auto"/>
      </w:divBdr>
    </w:div>
    <w:div w:id="260912588">
      <w:bodyDiv w:val="1"/>
      <w:marLeft w:val="0"/>
      <w:marRight w:val="0"/>
      <w:marTop w:val="0"/>
      <w:marBottom w:val="0"/>
      <w:divBdr>
        <w:top w:val="none" w:sz="0" w:space="0" w:color="auto"/>
        <w:left w:val="none" w:sz="0" w:space="0" w:color="auto"/>
        <w:bottom w:val="none" w:sz="0" w:space="0" w:color="auto"/>
        <w:right w:val="none" w:sz="0" w:space="0" w:color="auto"/>
      </w:divBdr>
    </w:div>
    <w:div w:id="264656641">
      <w:bodyDiv w:val="1"/>
      <w:marLeft w:val="0"/>
      <w:marRight w:val="0"/>
      <w:marTop w:val="0"/>
      <w:marBottom w:val="0"/>
      <w:divBdr>
        <w:top w:val="none" w:sz="0" w:space="0" w:color="auto"/>
        <w:left w:val="none" w:sz="0" w:space="0" w:color="auto"/>
        <w:bottom w:val="none" w:sz="0" w:space="0" w:color="auto"/>
        <w:right w:val="none" w:sz="0" w:space="0" w:color="auto"/>
      </w:divBdr>
    </w:div>
    <w:div w:id="266930786">
      <w:bodyDiv w:val="1"/>
      <w:marLeft w:val="0"/>
      <w:marRight w:val="0"/>
      <w:marTop w:val="0"/>
      <w:marBottom w:val="0"/>
      <w:divBdr>
        <w:top w:val="none" w:sz="0" w:space="0" w:color="auto"/>
        <w:left w:val="none" w:sz="0" w:space="0" w:color="auto"/>
        <w:bottom w:val="none" w:sz="0" w:space="0" w:color="auto"/>
        <w:right w:val="none" w:sz="0" w:space="0" w:color="auto"/>
      </w:divBdr>
    </w:div>
    <w:div w:id="268129881">
      <w:bodyDiv w:val="1"/>
      <w:marLeft w:val="0"/>
      <w:marRight w:val="0"/>
      <w:marTop w:val="0"/>
      <w:marBottom w:val="0"/>
      <w:divBdr>
        <w:top w:val="none" w:sz="0" w:space="0" w:color="auto"/>
        <w:left w:val="none" w:sz="0" w:space="0" w:color="auto"/>
        <w:bottom w:val="none" w:sz="0" w:space="0" w:color="auto"/>
        <w:right w:val="none" w:sz="0" w:space="0" w:color="auto"/>
      </w:divBdr>
    </w:div>
    <w:div w:id="273638098">
      <w:bodyDiv w:val="1"/>
      <w:marLeft w:val="0"/>
      <w:marRight w:val="0"/>
      <w:marTop w:val="0"/>
      <w:marBottom w:val="0"/>
      <w:divBdr>
        <w:top w:val="none" w:sz="0" w:space="0" w:color="auto"/>
        <w:left w:val="none" w:sz="0" w:space="0" w:color="auto"/>
        <w:bottom w:val="none" w:sz="0" w:space="0" w:color="auto"/>
        <w:right w:val="none" w:sz="0" w:space="0" w:color="auto"/>
      </w:divBdr>
    </w:div>
    <w:div w:id="273905152">
      <w:bodyDiv w:val="1"/>
      <w:marLeft w:val="0"/>
      <w:marRight w:val="0"/>
      <w:marTop w:val="0"/>
      <w:marBottom w:val="0"/>
      <w:divBdr>
        <w:top w:val="none" w:sz="0" w:space="0" w:color="auto"/>
        <w:left w:val="none" w:sz="0" w:space="0" w:color="auto"/>
        <w:bottom w:val="none" w:sz="0" w:space="0" w:color="auto"/>
        <w:right w:val="none" w:sz="0" w:space="0" w:color="auto"/>
      </w:divBdr>
    </w:div>
    <w:div w:id="274873861">
      <w:bodyDiv w:val="1"/>
      <w:marLeft w:val="0"/>
      <w:marRight w:val="0"/>
      <w:marTop w:val="0"/>
      <w:marBottom w:val="0"/>
      <w:divBdr>
        <w:top w:val="none" w:sz="0" w:space="0" w:color="auto"/>
        <w:left w:val="none" w:sz="0" w:space="0" w:color="auto"/>
        <w:bottom w:val="none" w:sz="0" w:space="0" w:color="auto"/>
        <w:right w:val="none" w:sz="0" w:space="0" w:color="auto"/>
      </w:divBdr>
    </w:div>
    <w:div w:id="276059076">
      <w:bodyDiv w:val="1"/>
      <w:marLeft w:val="0"/>
      <w:marRight w:val="0"/>
      <w:marTop w:val="0"/>
      <w:marBottom w:val="0"/>
      <w:divBdr>
        <w:top w:val="none" w:sz="0" w:space="0" w:color="auto"/>
        <w:left w:val="none" w:sz="0" w:space="0" w:color="auto"/>
        <w:bottom w:val="none" w:sz="0" w:space="0" w:color="auto"/>
        <w:right w:val="none" w:sz="0" w:space="0" w:color="auto"/>
      </w:divBdr>
    </w:div>
    <w:div w:id="280113203">
      <w:bodyDiv w:val="1"/>
      <w:marLeft w:val="0"/>
      <w:marRight w:val="0"/>
      <w:marTop w:val="0"/>
      <w:marBottom w:val="0"/>
      <w:divBdr>
        <w:top w:val="none" w:sz="0" w:space="0" w:color="auto"/>
        <w:left w:val="none" w:sz="0" w:space="0" w:color="auto"/>
        <w:bottom w:val="none" w:sz="0" w:space="0" w:color="auto"/>
        <w:right w:val="none" w:sz="0" w:space="0" w:color="auto"/>
      </w:divBdr>
    </w:div>
    <w:div w:id="282001647">
      <w:bodyDiv w:val="1"/>
      <w:marLeft w:val="0"/>
      <w:marRight w:val="0"/>
      <w:marTop w:val="0"/>
      <w:marBottom w:val="0"/>
      <w:divBdr>
        <w:top w:val="none" w:sz="0" w:space="0" w:color="auto"/>
        <w:left w:val="none" w:sz="0" w:space="0" w:color="auto"/>
        <w:bottom w:val="none" w:sz="0" w:space="0" w:color="auto"/>
        <w:right w:val="none" w:sz="0" w:space="0" w:color="auto"/>
      </w:divBdr>
    </w:div>
    <w:div w:id="284849421">
      <w:bodyDiv w:val="1"/>
      <w:marLeft w:val="0"/>
      <w:marRight w:val="0"/>
      <w:marTop w:val="0"/>
      <w:marBottom w:val="0"/>
      <w:divBdr>
        <w:top w:val="none" w:sz="0" w:space="0" w:color="auto"/>
        <w:left w:val="none" w:sz="0" w:space="0" w:color="auto"/>
        <w:bottom w:val="none" w:sz="0" w:space="0" w:color="auto"/>
        <w:right w:val="none" w:sz="0" w:space="0" w:color="auto"/>
      </w:divBdr>
    </w:div>
    <w:div w:id="286618683">
      <w:bodyDiv w:val="1"/>
      <w:marLeft w:val="0"/>
      <w:marRight w:val="0"/>
      <w:marTop w:val="0"/>
      <w:marBottom w:val="0"/>
      <w:divBdr>
        <w:top w:val="none" w:sz="0" w:space="0" w:color="auto"/>
        <w:left w:val="none" w:sz="0" w:space="0" w:color="auto"/>
        <w:bottom w:val="none" w:sz="0" w:space="0" w:color="auto"/>
        <w:right w:val="none" w:sz="0" w:space="0" w:color="auto"/>
      </w:divBdr>
    </w:div>
    <w:div w:id="289211937">
      <w:bodyDiv w:val="1"/>
      <w:marLeft w:val="0"/>
      <w:marRight w:val="0"/>
      <w:marTop w:val="0"/>
      <w:marBottom w:val="0"/>
      <w:divBdr>
        <w:top w:val="none" w:sz="0" w:space="0" w:color="auto"/>
        <w:left w:val="none" w:sz="0" w:space="0" w:color="auto"/>
        <w:bottom w:val="none" w:sz="0" w:space="0" w:color="auto"/>
        <w:right w:val="none" w:sz="0" w:space="0" w:color="auto"/>
      </w:divBdr>
    </w:div>
    <w:div w:id="293172123">
      <w:bodyDiv w:val="1"/>
      <w:marLeft w:val="0"/>
      <w:marRight w:val="0"/>
      <w:marTop w:val="0"/>
      <w:marBottom w:val="0"/>
      <w:divBdr>
        <w:top w:val="none" w:sz="0" w:space="0" w:color="auto"/>
        <w:left w:val="none" w:sz="0" w:space="0" w:color="auto"/>
        <w:bottom w:val="none" w:sz="0" w:space="0" w:color="auto"/>
        <w:right w:val="none" w:sz="0" w:space="0" w:color="auto"/>
      </w:divBdr>
    </w:div>
    <w:div w:id="294064335">
      <w:bodyDiv w:val="1"/>
      <w:marLeft w:val="0"/>
      <w:marRight w:val="0"/>
      <w:marTop w:val="0"/>
      <w:marBottom w:val="0"/>
      <w:divBdr>
        <w:top w:val="none" w:sz="0" w:space="0" w:color="auto"/>
        <w:left w:val="none" w:sz="0" w:space="0" w:color="auto"/>
        <w:bottom w:val="none" w:sz="0" w:space="0" w:color="auto"/>
        <w:right w:val="none" w:sz="0" w:space="0" w:color="auto"/>
      </w:divBdr>
    </w:div>
    <w:div w:id="300497190">
      <w:bodyDiv w:val="1"/>
      <w:marLeft w:val="0"/>
      <w:marRight w:val="0"/>
      <w:marTop w:val="0"/>
      <w:marBottom w:val="0"/>
      <w:divBdr>
        <w:top w:val="none" w:sz="0" w:space="0" w:color="auto"/>
        <w:left w:val="none" w:sz="0" w:space="0" w:color="auto"/>
        <w:bottom w:val="none" w:sz="0" w:space="0" w:color="auto"/>
        <w:right w:val="none" w:sz="0" w:space="0" w:color="auto"/>
      </w:divBdr>
    </w:div>
    <w:div w:id="304630654">
      <w:bodyDiv w:val="1"/>
      <w:marLeft w:val="0"/>
      <w:marRight w:val="0"/>
      <w:marTop w:val="0"/>
      <w:marBottom w:val="0"/>
      <w:divBdr>
        <w:top w:val="none" w:sz="0" w:space="0" w:color="auto"/>
        <w:left w:val="none" w:sz="0" w:space="0" w:color="auto"/>
        <w:bottom w:val="none" w:sz="0" w:space="0" w:color="auto"/>
        <w:right w:val="none" w:sz="0" w:space="0" w:color="auto"/>
      </w:divBdr>
    </w:div>
    <w:div w:id="306083663">
      <w:bodyDiv w:val="1"/>
      <w:marLeft w:val="0"/>
      <w:marRight w:val="0"/>
      <w:marTop w:val="0"/>
      <w:marBottom w:val="0"/>
      <w:divBdr>
        <w:top w:val="none" w:sz="0" w:space="0" w:color="auto"/>
        <w:left w:val="none" w:sz="0" w:space="0" w:color="auto"/>
        <w:bottom w:val="none" w:sz="0" w:space="0" w:color="auto"/>
        <w:right w:val="none" w:sz="0" w:space="0" w:color="auto"/>
      </w:divBdr>
    </w:div>
    <w:div w:id="306276415">
      <w:bodyDiv w:val="1"/>
      <w:marLeft w:val="0"/>
      <w:marRight w:val="0"/>
      <w:marTop w:val="0"/>
      <w:marBottom w:val="0"/>
      <w:divBdr>
        <w:top w:val="none" w:sz="0" w:space="0" w:color="auto"/>
        <w:left w:val="none" w:sz="0" w:space="0" w:color="auto"/>
        <w:bottom w:val="none" w:sz="0" w:space="0" w:color="auto"/>
        <w:right w:val="none" w:sz="0" w:space="0" w:color="auto"/>
      </w:divBdr>
    </w:div>
    <w:div w:id="307055766">
      <w:bodyDiv w:val="1"/>
      <w:marLeft w:val="0"/>
      <w:marRight w:val="0"/>
      <w:marTop w:val="0"/>
      <w:marBottom w:val="0"/>
      <w:divBdr>
        <w:top w:val="none" w:sz="0" w:space="0" w:color="auto"/>
        <w:left w:val="none" w:sz="0" w:space="0" w:color="auto"/>
        <w:bottom w:val="none" w:sz="0" w:space="0" w:color="auto"/>
        <w:right w:val="none" w:sz="0" w:space="0" w:color="auto"/>
      </w:divBdr>
    </w:div>
    <w:div w:id="309138719">
      <w:bodyDiv w:val="1"/>
      <w:marLeft w:val="0"/>
      <w:marRight w:val="0"/>
      <w:marTop w:val="0"/>
      <w:marBottom w:val="0"/>
      <w:divBdr>
        <w:top w:val="none" w:sz="0" w:space="0" w:color="auto"/>
        <w:left w:val="none" w:sz="0" w:space="0" w:color="auto"/>
        <w:bottom w:val="none" w:sz="0" w:space="0" w:color="auto"/>
        <w:right w:val="none" w:sz="0" w:space="0" w:color="auto"/>
      </w:divBdr>
    </w:div>
    <w:div w:id="309479771">
      <w:bodyDiv w:val="1"/>
      <w:marLeft w:val="0"/>
      <w:marRight w:val="0"/>
      <w:marTop w:val="0"/>
      <w:marBottom w:val="0"/>
      <w:divBdr>
        <w:top w:val="none" w:sz="0" w:space="0" w:color="auto"/>
        <w:left w:val="none" w:sz="0" w:space="0" w:color="auto"/>
        <w:bottom w:val="none" w:sz="0" w:space="0" w:color="auto"/>
        <w:right w:val="none" w:sz="0" w:space="0" w:color="auto"/>
      </w:divBdr>
    </w:div>
    <w:div w:id="310520107">
      <w:bodyDiv w:val="1"/>
      <w:marLeft w:val="0"/>
      <w:marRight w:val="0"/>
      <w:marTop w:val="0"/>
      <w:marBottom w:val="0"/>
      <w:divBdr>
        <w:top w:val="none" w:sz="0" w:space="0" w:color="auto"/>
        <w:left w:val="none" w:sz="0" w:space="0" w:color="auto"/>
        <w:bottom w:val="none" w:sz="0" w:space="0" w:color="auto"/>
        <w:right w:val="none" w:sz="0" w:space="0" w:color="auto"/>
      </w:divBdr>
    </w:div>
    <w:div w:id="310869762">
      <w:bodyDiv w:val="1"/>
      <w:marLeft w:val="0"/>
      <w:marRight w:val="0"/>
      <w:marTop w:val="0"/>
      <w:marBottom w:val="0"/>
      <w:divBdr>
        <w:top w:val="none" w:sz="0" w:space="0" w:color="auto"/>
        <w:left w:val="none" w:sz="0" w:space="0" w:color="auto"/>
        <w:bottom w:val="none" w:sz="0" w:space="0" w:color="auto"/>
        <w:right w:val="none" w:sz="0" w:space="0" w:color="auto"/>
      </w:divBdr>
    </w:div>
    <w:div w:id="314724743">
      <w:bodyDiv w:val="1"/>
      <w:marLeft w:val="0"/>
      <w:marRight w:val="0"/>
      <w:marTop w:val="0"/>
      <w:marBottom w:val="0"/>
      <w:divBdr>
        <w:top w:val="none" w:sz="0" w:space="0" w:color="auto"/>
        <w:left w:val="none" w:sz="0" w:space="0" w:color="auto"/>
        <w:bottom w:val="none" w:sz="0" w:space="0" w:color="auto"/>
        <w:right w:val="none" w:sz="0" w:space="0" w:color="auto"/>
      </w:divBdr>
    </w:div>
    <w:div w:id="318583883">
      <w:bodyDiv w:val="1"/>
      <w:marLeft w:val="0"/>
      <w:marRight w:val="0"/>
      <w:marTop w:val="0"/>
      <w:marBottom w:val="0"/>
      <w:divBdr>
        <w:top w:val="none" w:sz="0" w:space="0" w:color="auto"/>
        <w:left w:val="none" w:sz="0" w:space="0" w:color="auto"/>
        <w:bottom w:val="none" w:sz="0" w:space="0" w:color="auto"/>
        <w:right w:val="none" w:sz="0" w:space="0" w:color="auto"/>
      </w:divBdr>
    </w:div>
    <w:div w:id="324750389">
      <w:bodyDiv w:val="1"/>
      <w:marLeft w:val="0"/>
      <w:marRight w:val="0"/>
      <w:marTop w:val="0"/>
      <w:marBottom w:val="0"/>
      <w:divBdr>
        <w:top w:val="none" w:sz="0" w:space="0" w:color="auto"/>
        <w:left w:val="none" w:sz="0" w:space="0" w:color="auto"/>
        <w:bottom w:val="none" w:sz="0" w:space="0" w:color="auto"/>
        <w:right w:val="none" w:sz="0" w:space="0" w:color="auto"/>
      </w:divBdr>
    </w:div>
    <w:div w:id="328336076">
      <w:bodyDiv w:val="1"/>
      <w:marLeft w:val="0"/>
      <w:marRight w:val="0"/>
      <w:marTop w:val="0"/>
      <w:marBottom w:val="0"/>
      <w:divBdr>
        <w:top w:val="none" w:sz="0" w:space="0" w:color="auto"/>
        <w:left w:val="none" w:sz="0" w:space="0" w:color="auto"/>
        <w:bottom w:val="none" w:sz="0" w:space="0" w:color="auto"/>
        <w:right w:val="none" w:sz="0" w:space="0" w:color="auto"/>
      </w:divBdr>
    </w:div>
    <w:div w:id="331613349">
      <w:bodyDiv w:val="1"/>
      <w:marLeft w:val="0"/>
      <w:marRight w:val="0"/>
      <w:marTop w:val="0"/>
      <w:marBottom w:val="0"/>
      <w:divBdr>
        <w:top w:val="none" w:sz="0" w:space="0" w:color="auto"/>
        <w:left w:val="none" w:sz="0" w:space="0" w:color="auto"/>
        <w:bottom w:val="none" w:sz="0" w:space="0" w:color="auto"/>
        <w:right w:val="none" w:sz="0" w:space="0" w:color="auto"/>
      </w:divBdr>
    </w:div>
    <w:div w:id="335379389">
      <w:bodyDiv w:val="1"/>
      <w:marLeft w:val="0"/>
      <w:marRight w:val="0"/>
      <w:marTop w:val="0"/>
      <w:marBottom w:val="0"/>
      <w:divBdr>
        <w:top w:val="none" w:sz="0" w:space="0" w:color="auto"/>
        <w:left w:val="none" w:sz="0" w:space="0" w:color="auto"/>
        <w:bottom w:val="none" w:sz="0" w:space="0" w:color="auto"/>
        <w:right w:val="none" w:sz="0" w:space="0" w:color="auto"/>
      </w:divBdr>
    </w:div>
    <w:div w:id="337654304">
      <w:bodyDiv w:val="1"/>
      <w:marLeft w:val="0"/>
      <w:marRight w:val="0"/>
      <w:marTop w:val="0"/>
      <w:marBottom w:val="0"/>
      <w:divBdr>
        <w:top w:val="none" w:sz="0" w:space="0" w:color="auto"/>
        <w:left w:val="none" w:sz="0" w:space="0" w:color="auto"/>
        <w:bottom w:val="none" w:sz="0" w:space="0" w:color="auto"/>
        <w:right w:val="none" w:sz="0" w:space="0" w:color="auto"/>
      </w:divBdr>
    </w:div>
    <w:div w:id="338655531">
      <w:bodyDiv w:val="1"/>
      <w:marLeft w:val="0"/>
      <w:marRight w:val="0"/>
      <w:marTop w:val="0"/>
      <w:marBottom w:val="0"/>
      <w:divBdr>
        <w:top w:val="none" w:sz="0" w:space="0" w:color="auto"/>
        <w:left w:val="none" w:sz="0" w:space="0" w:color="auto"/>
        <w:bottom w:val="none" w:sz="0" w:space="0" w:color="auto"/>
        <w:right w:val="none" w:sz="0" w:space="0" w:color="auto"/>
      </w:divBdr>
    </w:div>
    <w:div w:id="340931304">
      <w:bodyDiv w:val="1"/>
      <w:marLeft w:val="0"/>
      <w:marRight w:val="0"/>
      <w:marTop w:val="0"/>
      <w:marBottom w:val="0"/>
      <w:divBdr>
        <w:top w:val="none" w:sz="0" w:space="0" w:color="auto"/>
        <w:left w:val="none" w:sz="0" w:space="0" w:color="auto"/>
        <w:bottom w:val="none" w:sz="0" w:space="0" w:color="auto"/>
        <w:right w:val="none" w:sz="0" w:space="0" w:color="auto"/>
      </w:divBdr>
    </w:div>
    <w:div w:id="342978556">
      <w:bodyDiv w:val="1"/>
      <w:marLeft w:val="0"/>
      <w:marRight w:val="0"/>
      <w:marTop w:val="0"/>
      <w:marBottom w:val="0"/>
      <w:divBdr>
        <w:top w:val="none" w:sz="0" w:space="0" w:color="auto"/>
        <w:left w:val="none" w:sz="0" w:space="0" w:color="auto"/>
        <w:bottom w:val="none" w:sz="0" w:space="0" w:color="auto"/>
        <w:right w:val="none" w:sz="0" w:space="0" w:color="auto"/>
      </w:divBdr>
    </w:div>
    <w:div w:id="347754020">
      <w:bodyDiv w:val="1"/>
      <w:marLeft w:val="0"/>
      <w:marRight w:val="0"/>
      <w:marTop w:val="0"/>
      <w:marBottom w:val="0"/>
      <w:divBdr>
        <w:top w:val="none" w:sz="0" w:space="0" w:color="auto"/>
        <w:left w:val="none" w:sz="0" w:space="0" w:color="auto"/>
        <w:bottom w:val="none" w:sz="0" w:space="0" w:color="auto"/>
        <w:right w:val="none" w:sz="0" w:space="0" w:color="auto"/>
      </w:divBdr>
    </w:div>
    <w:div w:id="350184348">
      <w:bodyDiv w:val="1"/>
      <w:marLeft w:val="0"/>
      <w:marRight w:val="0"/>
      <w:marTop w:val="0"/>
      <w:marBottom w:val="0"/>
      <w:divBdr>
        <w:top w:val="none" w:sz="0" w:space="0" w:color="auto"/>
        <w:left w:val="none" w:sz="0" w:space="0" w:color="auto"/>
        <w:bottom w:val="none" w:sz="0" w:space="0" w:color="auto"/>
        <w:right w:val="none" w:sz="0" w:space="0" w:color="auto"/>
      </w:divBdr>
    </w:div>
    <w:div w:id="357120471">
      <w:bodyDiv w:val="1"/>
      <w:marLeft w:val="0"/>
      <w:marRight w:val="0"/>
      <w:marTop w:val="0"/>
      <w:marBottom w:val="0"/>
      <w:divBdr>
        <w:top w:val="none" w:sz="0" w:space="0" w:color="auto"/>
        <w:left w:val="none" w:sz="0" w:space="0" w:color="auto"/>
        <w:bottom w:val="none" w:sz="0" w:space="0" w:color="auto"/>
        <w:right w:val="none" w:sz="0" w:space="0" w:color="auto"/>
      </w:divBdr>
    </w:div>
    <w:div w:id="359554770">
      <w:bodyDiv w:val="1"/>
      <w:marLeft w:val="0"/>
      <w:marRight w:val="0"/>
      <w:marTop w:val="0"/>
      <w:marBottom w:val="0"/>
      <w:divBdr>
        <w:top w:val="none" w:sz="0" w:space="0" w:color="auto"/>
        <w:left w:val="none" w:sz="0" w:space="0" w:color="auto"/>
        <w:bottom w:val="none" w:sz="0" w:space="0" w:color="auto"/>
        <w:right w:val="none" w:sz="0" w:space="0" w:color="auto"/>
      </w:divBdr>
    </w:div>
    <w:div w:id="366878000">
      <w:bodyDiv w:val="1"/>
      <w:marLeft w:val="0"/>
      <w:marRight w:val="0"/>
      <w:marTop w:val="0"/>
      <w:marBottom w:val="0"/>
      <w:divBdr>
        <w:top w:val="none" w:sz="0" w:space="0" w:color="auto"/>
        <w:left w:val="none" w:sz="0" w:space="0" w:color="auto"/>
        <w:bottom w:val="none" w:sz="0" w:space="0" w:color="auto"/>
        <w:right w:val="none" w:sz="0" w:space="0" w:color="auto"/>
      </w:divBdr>
    </w:div>
    <w:div w:id="370692436">
      <w:bodyDiv w:val="1"/>
      <w:marLeft w:val="0"/>
      <w:marRight w:val="0"/>
      <w:marTop w:val="0"/>
      <w:marBottom w:val="0"/>
      <w:divBdr>
        <w:top w:val="none" w:sz="0" w:space="0" w:color="auto"/>
        <w:left w:val="none" w:sz="0" w:space="0" w:color="auto"/>
        <w:bottom w:val="none" w:sz="0" w:space="0" w:color="auto"/>
        <w:right w:val="none" w:sz="0" w:space="0" w:color="auto"/>
      </w:divBdr>
    </w:div>
    <w:div w:id="377321949">
      <w:bodyDiv w:val="1"/>
      <w:marLeft w:val="0"/>
      <w:marRight w:val="0"/>
      <w:marTop w:val="0"/>
      <w:marBottom w:val="0"/>
      <w:divBdr>
        <w:top w:val="none" w:sz="0" w:space="0" w:color="auto"/>
        <w:left w:val="none" w:sz="0" w:space="0" w:color="auto"/>
        <w:bottom w:val="none" w:sz="0" w:space="0" w:color="auto"/>
        <w:right w:val="none" w:sz="0" w:space="0" w:color="auto"/>
      </w:divBdr>
    </w:div>
    <w:div w:id="378823679">
      <w:bodyDiv w:val="1"/>
      <w:marLeft w:val="0"/>
      <w:marRight w:val="0"/>
      <w:marTop w:val="0"/>
      <w:marBottom w:val="0"/>
      <w:divBdr>
        <w:top w:val="none" w:sz="0" w:space="0" w:color="auto"/>
        <w:left w:val="none" w:sz="0" w:space="0" w:color="auto"/>
        <w:bottom w:val="none" w:sz="0" w:space="0" w:color="auto"/>
        <w:right w:val="none" w:sz="0" w:space="0" w:color="auto"/>
      </w:divBdr>
    </w:div>
    <w:div w:id="379324093">
      <w:bodyDiv w:val="1"/>
      <w:marLeft w:val="0"/>
      <w:marRight w:val="0"/>
      <w:marTop w:val="0"/>
      <w:marBottom w:val="0"/>
      <w:divBdr>
        <w:top w:val="none" w:sz="0" w:space="0" w:color="auto"/>
        <w:left w:val="none" w:sz="0" w:space="0" w:color="auto"/>
        <w:bottom w:val="none" w:sz="0" w:space="0" w:color="auto"/>
        <w:right w:val="none" w:sz="0" w:space="0" w:color="auto"/>
      </w:divBdr>
    </w:div>
    <w:div w:id="383137106">
      <w:bodyDiv w:val="1"/>
      <w:marLeft w:val="0"/>
      <w:marRight w:val="0"/>
      <w:marTop w:val="0"/>
      <w:marBottom w:val="0"/>
      <w:divBdr>
        <w:top w:val="none" w:sz="0" w:space="0" w:color="auto"/>
        <w:left w:val="none" w:sz="0" w:space="0" w:color="auto"/>
        <w:bottom w:val="none" w:sz="0" w:space="0" w:color="auto"/>
        <w:right w:val="none" w:sz="0" w:space="0" w:color="auto"/>
      </w:divBdr>
    </w:div>
    <w:div w:id="385643731">
      <w:bodyDiv w:val="1"/>
      <w:marLeft w:val="0"/>
      <w:marRight w:val="0"/>
      <w:marTop w:val="0"/>
      <w:marBottom w:val="0"/>
      <w:divBdr>
        <w:top w:val="none" w:sz="0" w:space="0" w:color="auto"/>
        <w:left w:val="none" w:sz="0" w:space="0" w:color="auto"/>
        <w:bottom w:val="none" w:sz="0" w:space="0" w:color="auto"/>
        <w:right w:val="none" w:sz="0" w:space="0" w:color="auto"/>
      </w:divBdr>
    </w:div>
    <w:div w:id="389109427">
      <w:bodyDiv w:val="1"/>
      <w:marLeft w:val="0"/>
      <w:marRight w:val="0"/>
      <w:marTop w:val="0"/>
      <w:marBottom w:val="0"/>
      <w:divBdr>
        <w:top w:val="none" w:sz="0" w:space="0" w:color="auto"/>
        <w:left w:val="none" w:sz="0" w:space="0" w:color="auto"/>
        <w:bottom w:val="none" w:sz="0" w:space="0" w:color="auto"/>
        <w:right w:val="none" w:sz="0" w:space="0" w:color="auto"/>
      </w:divBdr>
    </w:div>
    <w:div w:id="395980750">
      <w:bodyDiv w:val="1"/>
      <w:marLeft w:val="0"/>
      <w:marRight w:val="0"/>
      <w:marTop w:val="0"/>
      <w:marBottom w:val="0"/>
      <w:divBdr>
        <w:top w:val="none" w:sz="0" w:space="0" w:color="auto"/>
        <w:left w:val="none" w:sz="0" w:space="0" w:color="auto"/>
        <w:bottom w:val="none" w:sz="0" w:space="0" w:color="auto"/>
        <w:right w:val="none" w:sz="0" w:space="0" w:color="auto"/>
      </w:divBdr>
    </w:div>
    <w:div w:id="398089907">
      <w:bodyDiv w:val="1"/>
      <w:marLeft w:val="0"/>
      <w:marRight w:val="0"/>
      <w:marTop w:val="0"/>
      <w:marBottom w:val="0"/>
      <w:divBdr>
        <w:top w:val="none" w:sz="0" w:space="0" w:color="auto"/>
        <w:left w:val="none" w:sz="0" w:space="0" w:color="auto"/>
        <w:bottom w:val="none" w:sz="0" w:space="0" w:color="auto"/>
        <w:right w:val="none" w:sz="0" w:space="0" w:color="auto"/>
      </w:divBdr>
    </w:div>
    <w:div w:id="400449963">
      <w:bodyDiv w:val="1"/>
      <w:marLeft w:val="0"/>
      <w:marRight w:val="0"/>
      <w:marTop w:val="0"/>
      <w:marBottom w:val="0"/>
      <w:divBdr>
        <w:top w:val="none" w:sz="0" w:space="0" w:color="auto"/>
        <w:left w:val="none" w:sz="0" w:space="0" w:color="auto"/>
        <w:bottom w:val="none" w:sz="0" w:space="0" w:color="auto"/>
        <w:right w:val="none" w:sz="0" w:space="0" w:color="auto"/>
      </w:divBdr>
    </w:div>
    <w:div w:id="401291136">
      <w:bodyDiv w:val="1"/>
      <w:marLeft w:val="0"/>
      <w:marRight w:val="0"/>
      <w:marTop w:val="0"/>
      <w:marBottom w:val="0"/>
      <w:divBdr>
        <w:top w:val="none" w:sz="0" w:space="0" w:color="auto"/>
        <w:left w:val="none" w:sz="0" w:space="0" w:color="auto"/>
        <w:bottom w:val="none" w:sz="0" w:space="0" w:color="auto"/>
        <w:right w:val="none" w:sz="0" w:space="0" w:color="auto"/>
      </w:divBdr>
    </w:div>
    <w:div w:id="402610504">
      <w:bodyDiv w:val="1"/>
      <w:marLeft w:val="0"/>
      <w:marRight w:val="0"/>
      <w:marTop w:val="0"/>
      <w:marBottom w:val="0"/>
      <w:divBdr>
        <w:top w:val="none" w:sz="0" w:space="0" w:color="auto"/>
        <w:left w:val="none" w:sz="0" w:space="0" w:color="auto"/>
        <w:bottom w:val="none" w:sz="0" w:space="0" w:color="auto"/>
        <w:right w:val="none" w:sz="0" w:space="0" w:color="auto"/>
      </w:divBdr>
    </w:div>
    <w:div w:id="402993327">
      <w:bodyDiv w:val="1"/>
      <w:marLeft w:val="0"/>
      <w:marRight w:val="0"/>
      <w:marTop w:val="0"/>
      <w:marBottom w:val="0"/>
      <w:divBdr>
        <w:top w:val="none" w:sz="0" w:space="0" w:color="auto"/>
        <w:left w:val="none" w:sz="0" w:space="0" w:color="auto"/>
        <w:bottom w:val="none" w:sz="0" w:space="0" w:color="auto"/>
        <w:right w:val="none" w:sz="0" w:space="0" w:color="auto"/>
      </w:divBdr>
    </w:div>
    <w:div w:id="405690923">
      <w:bodyDiv w:val="1"/>
      <w:marLeft w:val="0"/>
      <w:marRight w:val="0"/>
      <w:marTop w:val="0"/>
      <w:marBottom w:val="0"/>
      <w:divBdr>
        <w:top w:val="none" w:sz="0" w:space="0" w:color="auto"/>
        <w:left w:val="none" w:sz="0" w:space="0" w:color="auto"/>
        <w:bottom w:val="none" w:sz="0" w:space="0" w:color="auto"/>
        <w:right w:val="none" w:sz="0" w:space="0" w:color="auto"/>
      </w:divBdr>
    </w:div>
    <w:div w:id="411122963">
      <w:bodyDiv w:val="1"/>
      <w:marLeft w:val="0"/>
      <w:marRight w:val="0"/>
      <w:marTop w:val="0"/>
      <w:marBottom w:val="0"/>
      <w:divBdr>
        <w:top w:val="none" w:sz="0" w:space="0" w:color="auto"/>
        <w:left w:val="none" w:sz="0" w:space="0" w:color="auto"/>
        <w:bottom w:val="none" w:sz="0" w:space="0" w:color="auto"/>
        <w:right w:val="none" w:sz="0" w:space="0" w:color="auto"/>
      </w:divBdr>
    </w:div>
    <w:div w:id="413665240">
      <w:bodyDiv w:val="1"/>
      <w:marLeft w:val="0"/>
      <w:marRight w:val="0"/>
      <w:marTop w:val="0"/>
      <w:marBottom w:val="0"/>
      <w:divBdr>
        <w:top w:val="none" w:sz="0" w:space="0" w:color="auto"/>
        <w:left w:val="none" w:sz="0" w:space="0" w:color="auto"/>
        <w:bottom w:val="none" w:sz="0" w:space="0" w:color="auto"/>
        <w:right w:val="none" w:sz="0" w:space="0" w:color="auto"/>
      </w:divBdr>
    </w:div>
    <w:div w:id="417555833">
      <w:bodyDiv w:val="1"/>
      <w:marLeft w:val="0"/>
      <w:marRight w:val="0"/>
      <w:marTop w:val="0"/>
      <w:marBottom w:val="0"/>
      <w:divBdr>
        <w:top w:val="none" w:sz="0" w:space="0" w:color="auto"/>
        <w:left w:val="none" w:sz="0" w:space="0" w:color="auto"/>
        <w:bottom w:val="none" w:sz="0" w:space="0" w:color="auto"/>
        <w:right w:val="none" w:sz="0" w:space="0" w:color="auto"/>
      </w:divBdr>
      <w:divsChild>
        <w:div w:id="878005398">
          <w:marLeft w:val="0"/>
          <w:marRight w:val="0"/>
          <w:marTop w:val="0"/>
          <w:marBottom w:val="0"/>
          <w:divBdr>
            <w:top w:val="none" w:sz="0" w:space="0" w:color="auto"/>
            <w:left w:val="none" w:sz="0" w:space="0" w:color="auto"/>
            <w:bottom w:val="none" w:sz="0" w:space="0" w:color="auto"/>
            <w:right w:val="none" w:sz="0" w:space="0" w:color="auto"/>
          </w:divBdr>
        </w:div>
      </w:divsChild>
    </w:div>
    <w:div w:id="418412289">
      <w:bodyDiv w:val="1"/>
      <w:marLeft w:val="0"/>
      <w:marRight w:val="0"/>
      <w:marTop w:val="0"/>
      <w:marBottom w:val="0"/>
      <w:divBdr>
        <w:top w:val="none" w:sz="0" w:space="0" w:color="auto"/>
        <w:left w:val="none" w:sz="0" w:space="0" w:color="auto"/>
        <w:bottom w:val="none" w:sz="0" w:space="0" w:color="auto"/>
        <w:right w:val="none" w:sz="0" w:space="0" w:color="auto"/>
      </w:divBdr>
    </w:div>
    <w:div w:id="419717657">
      <w:bodyDiv w:val="1"/>
      <w:marLeft w:val="0"/>
      <w:marRight w:val="0"/>
      <w:marTop w:val="0"/>
      <w:marBottom w:val="0"/>
      <w:divBdr>
        <w:top w:val="none" w:sz="0" w:space="0" w:color="auto"/>
        <w:left w:val="none" w:sz="0" w:space="0" w:color="auto"/>
        <w:bottom w:val="none" w:sz="0" w:space="0" w:color="auto"/>
        <w:right w:val="none" w:sz="0" w:space="0" w:color="auto"/>
      </w:divBdr>
    </w:div>
    <w:div w:id="419840527">
      <w:bodyDiv w:val="1"/>
      <w:marLeft w:val="0"/>
      <w:marRight w:val="0"/>
      <w:marTop w:val="0"/>
      <w:marBottom w:val="0"/>
      <w:divBdr>
        <w:top w:val="none" w:sz="0" w:space="0" w:color="auto"/>
        <w:left w:val="none" w:sz="0" w:space="0" w:color="auto"/>
        <w:bottom w:val="none" w:sz="0" w:space="0" w:color="auto"/>
        <w:right w:val="none" w:sz="0" w:space="0" w:color="auto"/>
      </w:divBdr>
    </w:div>
    <w:div w:id="420220798">
      <w:bodyDiv w:val="1"/>
      <w:marLeft w:val="0"/>
      <w:marRight w:val="0"/>
      <w:marTop w:val="0"/>
      <w:marBottom w:val="0"/>
      <w:divBdr>
        <w:top w:val="none" w:sz="0" w:space="0" w:color="auto"/>
        <w:left w:val="none" w:sz="0" w:space="0" w:color="auto"/>
        <w:bottom w:val="none" w:sz="0" w:space="0" w:color="auto"/>
        <w:right w:val="none" w:sz="0" w:space="0" w:color="auto"/>
      </w:divBdr>
    </w:div>
    <w:div w:id="420493407">
      <w:bodyDiv w:val="1"/>
      <w:marLeft w:val="0"/>
      <w:marRight w:val="0"/>
      <w:marTop w:val="0"/>
      <w:marBottom w:val="0"/>
      <w:divBdr>
        <w:top w:val="none" w:sz="0" w:space="0" w:color="auto"/>
        <w:left w:val="none" w:sz="0" w:space="0" w:color="auto"/>
        <w:bottom w:val="none" w:sz="0" w:space="0" w:color="auto"/>
        <w:right w:val="none" w:sz="0" w:space="0" w:color="auto"/>
      </w:divBdr>
    </w:div>
    <w:div w:id="421343996">
      <w:bodyDiv w:val="1"/>
      <w:marLeft w:val="0"/>
      <w:marRight w:val="0"/>
      <w:marTop w:val="0"/>
      <w:marBottom w:val="0"/>
      <w:divBdr>
        <w:top w:val="none" w:sz="0" w:space="0" w:color="auto"/>
        <w:left w:val="none" w:sz="0" w:space="0" w:color="auto"/>
        <w:bottom w:val="none" w:sz="0" w:space="0" w:color="auto"/>
        <w:right w:val="none" w:sz="0" w:space="0" w:color="auto"/>
      </w:divBdr>
    </w:div>
    <w:div w:id="422068895">
      <w:bodyDiv w:val="1"/>
      <w:marLeft w:val="0"/>
      <w:marRight w:val="0"/>
      <w:marTop w:val="0"/>
      <w:marBottom w:val="0"/>
      <w:divBdr>
        <w:top w:val="none" w:sz="0" w:space="0" w:color="auto"/>
        <w:left w:val="none" w:sz="0" w:space="0" w:color="auto"/>
        <w:bottom w:val="none" w:sz="0" w:space="0" w:color="auto"/>
        <w:right w:val="none" w:sz="0" w:space="0" w:color="auto"/>
      </w:divBdr>
    </w:div>
    <w:div w:id="422730262">
      <w:bodyDiv w:val="1"/>
      <w:marLeft w:val="0"/>
      <w:marRight w:val="0"/>
      <w:marTop w:val="0"/>
      <w:marBottom w:val="0"/>
      <w:divBdr>
        <w:top w:val="none" w:sz="0" w:space="0" w:color="auto"/>
        <w:left w:val="none" w:sz="0" w:space="0" w:color="auto"/>
        <w:bottom w:val="none" w:sz="0" w:space="0" w:color="auto"/>
        <w:right w:val="none" w:sz="0" w:space="0" w:color="auto"/>
      </w:divBdr>
    </w:div>
    <w:div w:id="425930567">
      <w:bodyDiv w:val="1"/>
      <w:marLeft w:val="0"/>
      <w:marRight w:val="0"/>
      <w:marTop w:val="0"/>
      <w:marBottom w:val="0"/>
      <w:divBdr>
        <w:top w:val="none" w:sz="0" w:space="0" w:color="auto"/>
        <w:left w:val="none" w:sz="0" w:space="0" w:color="auto"/>
        <w:bottom w:val="none" w:sz="0" w:space="0" w:color="auto"/>
        <w:right w:val="none" w:sz="0" w:space="0" w:color="auto"/>
      </w:divBdr>
    </w:div>
    <w:div w:id="431586778">
      <w:bodyDiv w:val="1"/>
      <w:marLeft w:val="0"/>
      <w:marRight w:val="0"/>
      <w:marTop w:val="0"/>
      <w:marBottom w:val="0"/>
      <w:divBdr>
        <w:top w:val="none" w:sz="0" w:space="0" w:color="auto"/>
        <w:left w:val="none" w:sz="0" w:space="0" w:color="auto"/>
        <w:bottom w:val="none" w:sz="0" w:space="0" w:color="auto"/>
        <w:right w:val="none" w:sz="0" w:space="0" w:color="auto"/>
      </w:divBdr>
    </w:div>
    <w:div w:id="433669276">
      <w:bodyDiv w:val="1"/>
      <w:marLeft w:val="0"/>
      <w:marRight w:val="0"/>
      <w:marTop w:val="0"/>
      <w:marBottom w:val="0"/>
      <w:divBdr>
        <w:top w:val="none" w:sz="0" w:space="0" w:color="auto"/>
        <w:left w:val="none" w:sz="0" w:space="0" w:color="auto"/>
        <w:bottom w:val="none" w:sz="0" w:space="0" w:color="auto"/>
        <w:right w:val="none" w:sz="0" w:space="0" w:color="auto"/>
      </w:divBdr>
    </w:div>
    <w:div w:id="442456571">
      <w:bodyDiv w:val="1"/>
      <w:marLeft w:val="0"/>
      <w:marRight w:val="0"/>
      <w:marTop w:val="0"/>
      <w:marBottom w:val="0"/>
      <w:divBdr>
        <w:top w:val="none" w:sz="0" w:space="0" w:color="auto"/>
        <w:left w:val="none" w:sz="0" w:space="0" w:color="auto"/>
        <w:bottom w:val="none" w:sz="0" w:space="0" w:color="auto"/>
        <w:right w:val="none" w:sz="0" w:space="0" w:color="auto"/>
      </w:divBdr>
    </w:div>
    <w:div w:id="442848333">
      <w:bodyDiv w:val="1"/>
      <w:marLeft w:val="0"/>
      <w:marRight w:val="0"/>
      <w:marTop w:val="0"/>
      <w:marBottom w:val="0"/>
      <w:divBdr>
        <w:top w:val="none" w:sz="0" w:space="0" w:color="auto"/>
        <w:left w:val="none" w:sz="0" w:space="0" w:color="auto"/>
        <w:bottom w:val="none" w:sz="0" w:space="0" w:color="auto"/>
        <w:right w:val="none" w:sz="0" w:space="0" w:color="auto"/>
      </w:divBdr>
    </w:div>
    <w:div w:id="445586963">
      <w:bodyDiv w:val="1"/>
      <w:marLeft w:val="0"/>
      <w:marRight w:val="0"/>
      <w:marTop w:val="0"/>
      <w:marBottom w:val="0"/>
      <w:divBdr>
        <w:top w:val="none" w:sz="0" w:space="0" w:color="auto"/>
        <w:left w:val="none" w:sz="0" w:space="0" w:color="auto"/>
        <w:bottom w:val="none" w:sz="0" w:space="0" w:color="auto"/>
        <w:right w:val="none" w:sz="0" w:space="0" w:color="auto"/>
      </w:divBdr>
    </w:div>
    <w:div w:id="446631347">
      <w:bodyDiv w:val="1"/>
      <w:marLeft w:val="0"/>
      <w:marRight w:val="0"/>
      <w:marTop w:val="0"/>
      <w:marBottom w:val="0"/>
      <w:divBdr>
        <w:top w:val="none" w:sz="0" w:space="0" w:color="auto"/>
        <w:left w:val="none" w:sz="0" w:space="0" w:color="auto"/>
        <w:bottom w:val="none" w:sz="0" w:space="0" w:color="auto"/>
        <w:right w:val="none" w:sz="0" w:space="0" w:color="auto"/>
      </w:divBdr>
    </w:div>
    <w:div w:id="448086246">
      <w:bodyDiv w:val="1"/>
      <w:marLeft w:val="0"/>
      <w:marRight w:val="0"/>
      <w:marTop w:val="0"/>
      <w:marBottom w:val="0"/>
      <w:divBdr>
        <w:top w:val="none" w:sz="0" w:space="0" w:color="auto"/>
        <w:left w:val="none" w:sz="0" w:space="0" w:color="auto"/>
        <w:bottom w:val="none" w:sz="0" w:space="0" w:color="auto"/>
        <w:right w:val="none" w:sz="0" w:space="0" w:color="auto"/>
      </w:divBdr>
    </w:div>
    <w:div w:id="448160472">
      <w:bodyDiv w:val="1"/>
      <w:marLeft w:val="0"/>
      <w:marRight w:val="0"/>
      <w:marTop w:val="0"/>
      <w:marBottom w:val="0"/>
      <w:divBdr>
        <w:top w:val="none" w:sz="0" w:space="0" w:color="auto"/>
        <w:left w:val="none" w:sz="0" w:space="0" w:color="auto"/>
        <w:bottom w:val="none" w:sz="0" w:space="0" w:color="auto"/>
        <w:right w:val="none" w:sz="0" w:space="0" w:color="auto"/>
      </w:divBdr>
    </w:div>
    <w:div w:id="450823155">
      <w:bodyDiv w:val="1"/>
      <w:marLeft w:val="0"/>
      <w:marRight w:val="0"/>
      <w:marTop w:val="0"/>
      <w:marBottom w:val="0"/>
      <w:divBdr>
        <w:top w:val="none" w:sz="0" w:space="0" w:color="auto"/>
        <w:left w:val="none" w:sz="0" w:space="0" w:color="auto"/>
        <w:bottom w:val="none" w:sz="0" w:space="0" w:color="auto"/>
        <w:right w:val="none" w:sz="0" w:space="0" w:color="auto"/>
      </w:divBdr>
    </w:div>
    <w:div w:id="451095862">
      <w:bodyDiv w:val="1"/>
      <w:marLeft w:val="0"/>
      <w:marRight w:val="0"/>
      <w:marTop w:val="0"/>
      <w:marBottom w:val="0"/>
      <w:divBdr>
        <w:top w:val="none" w:sz="0" w:space="0" w:color="auto"/>
        <w:left w:val="none" w:sz="0" w:space="0" w:color="auto"/>
        <w:bottom w:val="none" w:sz="0" w:space="0" w:color="auto"/>
        <w:right w:val="none" w:sz="0" w:space="0" w:color="auto"/>
      </w:divBdr>
    </w:div>
    <w:div w:id="455024311">
      <w:bodyDiv w:val="1"/>
      <w:marLeft w:val="0"/>
      <w:marRight w:val="0"/>
      <w:marTop w:val="0"/>
      <w:marBottom w:val="0"/>
      <w:divBdr>
        <w:top w:val="none" w:sz="0" w:space="0" w:color="auto"/>
        <w:left w:val="none" w:sz="0" w:space="0" w:color="auto"/>
        <w:bottom w:val="none" w:sz="0" w:space="0" w:color="auto"/>
        <w:right w:val="none" w:sz="0" w:space="0" w:color="auto"/>
      </w:divBdr>
    </w:div>
    <w:div w:id="465702630">
      <w:bodyDiv w:val="1"/>
      <w:marLeft w:val="0"/>
      <w:marRight w:val="0"/>
      <w:marTop w:val="0"/>
      <w:marBottom w:val="0"/>
      <w:divBdr>
        <w:top w:val="none" w:sz="0" w:space="0" w:color="auto"/>
        <w:left w:val="none" w:sz="0" w:space="0" w:color="auto"/>
        <w:bottom w:val="none" w:sz="0" w:space="0" w:color="auto"/>
        <w:right w:val="none" w:sz="0" w:space="0" w:color="auto"/>
      </w:divBdr>
    </w:div>
    <w:div w:id="465859293">
      <w:bodyDiv w:val="1"/>
      <w:marLeft w:val="0"/>
      <w:marRight w:val="0"/>
      <w:marTop w:val="0"/>
      <w:marBottom w:val="0"/>
      <w:divBdr>
        <w:top w:val="none" w:sz="0" w:space="0" w:color="auto"/>
        <w:left w:val="none" w:sz="0" w:space="0" w:color="auto"/>
        <w:bottom w:val="none" w:sz="0" w:space="0" w:color="auto"/>
        <w:right w:val="none" w:sz="0" w:space="0" w:color="auto"/>
      </w:divBdr>
    </w:div>
    <w:div w:id="470170215">
      <w:bodyDiv w:val="1"/>
      <w:marLeft w:val="0"/>
      <w:marRight w:val="0"/>
      <w:marTop w:val="0"/>
      <w:marBottom w:val="0"/>
      <w:divBdr>
        <w:top w:val="none" w:sz="0" w:space="0" w:color="auto"/>
        <w:left w:val="none" w:sz="0" w:space="0" w:color="auto"/>
        <w:bottom w:val="none" w:sz="0" w:space="0" w:color="auto"/>
        <w:right w:val="none" w:sz="0" w:space="0" w:color="auto"/>
      </w:divBdr>
    </w:div>
    <w:div w:id="472257939">
      <w:bodyDiv w:val="1"/>
      <w:marLeft w:val="0"/>
      <w:marRight w:val="0"/>
      <w:marTop w:val="0"/>
      <w:marBottom w:val="0"/>
      <w:divBdr>
        <w:top w:val="none" w:sz="0" w:space="0" w:color="auto"/>
        <w:left w:val="none" w:sz="0" w:space="0" w:color="auto"/>
        <w:bottom w:val="none" w:sz="0" w:space="0" w:color="auto"/>
        <w:right w:val="none" w:sz="0" w:space="0" w:color="auto"/>
      </w:divBdr>
    </w:div>
    <w:div w:id="478881296">
      <w:bodyDiv w:val="1"/>
      <w:marLeft w:val="0"/>
      <w:marRight w:val="0"/>
      <w:marTop w:val="0"/>
      <w:marBottom w:val="0"/>
      <w:divBdr>
        <w:top w:val="none" w:sz="0" w:space="0" w:color="auto"/>
        <w:left w:val="none" w:sz="0" w:space="0" w:color="auto"/>
        <w:bottom w:val="none" w:sz="0" w:space="0" w:color="auto"/>
        <w:right w:val="none" w:sz="0" w:space="0" w:color="auto"/>
      </w:divBdr>
    </w:div>
    <w:div w:id="486095617">
      <w:bodyDiv w:val="1"/>
      <w:marLeft w:val="0"/>
      <w:marRight w:val="0"/>
      <w:marTop w:val="0"/>
      <w:marBottom w:val="0"/>
      <w:divBdr>
        <w:top w:val="none" w:sz="0" w:space="0" w:color="auto"/>
        <w:left w:val="none" w:sz="0" w:space="0" w:color="auto"/>
        <w:bottom w:val="none" w:sz="0" w:space="0" w:color="auto"/>
        <w:right w:val="none" w:sz="0" w:space="0" w:color="auto"/>
      </w:divBdr>
    </w:div>
    <w:div w:id="494495758">
      <w:bodyDiv w:val="1"/>
      <w:marLeft w:val="0"/>
      <w:marRight w:val="0"/>
      <w:marTop w:val="0"/>
      <w:marBottom w:val="0"/>
      <w:divBdr>
        <w:top w:val="none" w:sz="0" w:space="0" w:color="auto"/>
        <w:left w:val="none" w:sz="0" w:space="0" w:color="auto"/>
        <w:bottom w:val="none" w:sz="0" w:space="0" w:color="auto"/>
        <w:right w:val="none" w:sz="0" w:space="0" w:color="auto"/>
      </w:divBdr>
    </w:div>
    <w:div w:id="497228406">
      <w:bodyDiv w:val="1"/>
      <w:marLeft w:val="0"/>
      <w:marRight w:val="0"/>
      <w:marTop w:val="0"/>
      <w:marBottom w:val="0"/>
      <w:divBdr>
        <w:top w:val="none" w:sz="0" w:space="0" w:color="auto"/>
        <w:left w:val="none" w:sz="0" w:space="0" w:color="auto"/>
        <w:bottom w:val="none" w:sz="0" w:space="0" w:color="auto"/>
        <w:right w:val="none" w:sz="0" w:space="0" w:color="auto"/>
      </w:divBdr>
    </w:div>
    <w:div w:id="501051663">
      <w:bodyDiv w:val="1"/>
      <w:marLeft w:val="0"/>
      <w:marRight w:val="0"/>
      <w:marTop w:val="0"/>
      <w:marBottom w:val="0"/>
      <w:divBdr>
        <w:top w:val="none" w:sz="0" w:space="0" w:color="auto"/>
        <w:left w:val="none" w:sz="0" w:space="0" w:color="auto"/>
        <w:bottom w:val="none" w:sz="0" w:space="0" w:color="auto"/>
        <w:right w:val="none" w:sz="0" w:space="0" w:color="auto"/>
      </w:divBdr>
    </w:div>
    <w:div w:id="501169332">
      <w:bodyDiv w:val="1"/>
      <w:marLeft w:val="0"/>
      <w:marRight w:val="0"/>
      <w:marTop w:val="0"/>
      <w:marBottom w:val="0"/>
      <w:divBdr>
        <w:top w:val="none" w:sz="0" w:space="0" w:color="auto"/>
        <w:left w:val="none" w:sz="0" w:space="0" w:color="auto"/>
        <w:bottom w:val="none" w:sz="0" w:space="0" w:color="auto"/>
        <w:right w:val="none" w:sz="0" w:space="0" w:color="auto"/>
      </w:divBdr>
    </w:div>
    <w:div w:id="502209945">
      <w:bodyDiv w:val="1"/>
      <w:marLeft w:val="0"/>
      <w:marRight w:val="0"/>
      <w:marTop w:val="0"/>
      <w:marBottom w:val="0"/>
      <w:divBdr>
        <w:top w:val="none" w:sz="0" w:space="0" w:color="auto"/>
        <w:left w:val="none" w:sz="0" w:space="0" w:color="auto"/>
        <w:bottom w:val="none" w:sz="0" w:space="0" w:color="auto"/>
        <w:right w:val="none" w:sz="0" w:space="0" w:color="auto"/>
      </w:divBdr>
    </w:div>
    <w:div w:id="508833463">
      <w:bodyDiv w:val="1"/>
      <w:marLeft w:val="0"/>
      <w:marRight w:val="0"/>
      <w:marTop w:val="0"/>
      <w:marBottom w:val="0"/>
      <w:divBdr>
        <w:top w:val="none" w:sz="0" w:space="0" w:color="auto"/>
        <w:left w:val="none" w:sz="0" w:space="0" w:color="auto"/>
        <w:bottom w:val="none" w:sz="0" w:space="0" w:color="auto"/>
        <w:right w:val="none" w:sz="0" w:space="0" w:color="auto"/>
      </w:divBdr>
    </w:div>
    <w:div w:id="511258570">
      <w:bodyDiv w:val="1"/>
      <w:marLeft w:val="0"/>
      <w:marRight w:val="0"/>
      <w:marTop w:val="0"/>
      <w:marBottom w:val="0"/>
      <w:divBdr>
        <w:top w:val="none" w:sz="0" w:space="0" w:color="auto"/>
        <w:left w:val="none" w:sz="0" w:space="0" w:color="auto"/>
        <w:bottom w:val="none" w:sz="0" w:space="0" w:color="auto"/>
        <w:right w:val="none" w:sz="0" w:space="0" w:color="auto"/>
      </w:divBdr>
    </w:div>
    <w:div w:id="517352061">
      <w:bodyDiv w:val="1"/>
      <w:marLeft w:val="0"/>
      <w:marRight w:val="0"/>
      <w:marTop w:val="0"/>
      <w:marBottom w:val="0"/>
      <w:divBdr>
        <w:top w:val="none" w:sz="0" w:space="0" w:color="auto"/>
        <w:left w:val="none" w:sz="0" w:space="0" w:color="auto"/>
        <w:bottom w:val="none" w:sz="0" w:space="0" w:color="auto"/>
        <w:right w:val="none" w:sz="0" w:space="0" w:color="auto"/>
      </w:divBdr>
    </w:div>
    <w:div w:id="517504278">
      <w:bodyDiv w:val="1"/>
      <w:marLeft w:val="0"/>
      <w:marRight w:val="0"/>
      <w:marTop w:val="0"/>
      <w:marBottom w:val="0"/>
      <w:divBdr>
        <w:top w:val="none" w:sz="0" w:space="0" w:color="auto"/>
        <w:left w:val="none" w:sz="0" w:space="0" w:color="auto"/>
        <w:bottom w:val="none" w:sz="0" w:space="0" w:color="auto"/>
        <w:right w:val="none" w:sz="0" w:space="0" w:color="auto"/>
      </w:divBdr>
    </w:div>
    <w:div w:id="521672019">
      <w:bodyDiv w:val="1"/>
      <w:marLeft w:val="0"/>
      <w:marRight w:val="0"/>
      <w:marTop w:val="0"/>
      <w:marBottom w:val="0"/>
      <w:divBdr>
        <w:top w:val="none" w:sz="0" w:space="0" w:color="auto"/>
        <w:left w:val="none" w:sz="0" w:space="0" w:color="auto"/>
        <w:bottom w:val="none" w:sz="0" w:space="0" w:color="auto"/>
        <w:right w:val="none" w:sz="0" w:space="0" w:color="auto"/>
      </w:divBdr>
    </w:div>
    <w:div w:id="528686122">
      <w:bodyDiv w:val="1"/>
      <w:marLeft w:val="0"/>
      <w:marRight w:val="0"/>
      <w:marTop w:val="0"/>
      <w:marBottom w:val="0"/>
      <w:divBdr>
        <w:top w:val="none" w:sz="0" w:space="0" w:color="auto"/>
        <w:left w:val="none" w:sz="0" w:space="0" w:color="auto"/>
        <w:bottom w:val="none" w:sz="0" w:space="0" w:color="auto"/>
        <w:right w:val="none" w:sz="0" w:space="0" w:color="auto"/>
      </w:divBdr>
    </w:div>
    <w:div w:id="536433026">
      <w:bodyDiv w:val="1"/>
      <w:marLeft w:val="0"/>
      <w:marRight w:val="0"/>
      <w:marTop w:val="0"/>
      <w:marBottom w:val="0"/>
      <w:divBdr>
        <w:top w:val="none" w:sz="0" w:space="0" w:color="auto"/>
        <w:left w:val="none" w:sz="0" w:space="0" w:color="auto"/>
        <w:bottom w:val="none" w:sz="0" w:space="0" w:color="auto"/>
        <w:right w:val="none" w:sz="0" w:space="0" w:color="auto"/>
      </w:divBdr>
    </w:div>
    <w:div w:id="539512450">
      <w:bodyDiv w:val="1"/>
      <w:marLeft w:val="0"/>
      <w:marRight w:val="0"/>
      <w:marTop w:val="0"/>
      <w:marBottom w:val="0"/>
      <w:divBdr>
        <w:top w:val="none" w:sz="0" w:space="0" w:color="auto"/>
        <w:left w:val="none" w:sz="0" w:space="0" w:color="auto"/>
        <w:bottom w:val="none" w:sz="0" w:space="0" w:color="auto"/>
        <w:right w:val="none" w:sz="0" w:space="0" w:color="auto"/>
      </w:divBdr>
    </w:div>
    <w:div w:id="542406590">
      <w:bodyDiv w:val="1"/>
      <w:marLeft w:val="0"/>
      <w:marRight w:val="0"/>
      <w:marTop w:val="0"/>
      <w:marBottom w:val="0"/>
      <w:divBdr>
        <w:top w:val="none" w:sz="0" w:space="0" w:color="auto"/>
        <w:left w:val="none" w:sz="0" w:space="0" w:color="auto"/>
        <w:bottom w:val="none" w:sz="0" w:space="0" w:color="auto"/>
        <w:right w:val="none" w:sz="0" w:space="0" w:color="auto"/>
      </w:divBdr>
    </w:div>
    <w:div w:id="550967143">
      <w:bodyDiv w:val="1"/>
      <w:marLeft w:val="0"/>
      <w:marRight w:val="0"/>
      <w:marTop w:val="0"/>
      <w:marBottom w:val="0"/>
      <w:divBdr>
        <w:top w:val="none" w:sz="0" w:space="0" w:color="auto"/>
        <w:left w:val="none" w:sz="0" w:space="0" w:color="auto"/>
        <w:bottom w:val="none" w:sz="0" w:space="0" w:color="auto"/>
        <w:right w:val="none" w:sz="0" w:space="0" w:color="auto"/>
      </w:divBdr>
    </w:div>
    <w:div w:id="552738246">
      <w:bodyDiv w:val="1"/>
      <w:marLeft w:val="0"/>
      <w:marRight w:val="0"/>
      <w:marTop w:val="0"/>
      <w:marBottom w:val="0"/>
      <w:divBdr>
        <w:top w:val="none" w:sz="0" w:space="0" w:color="auto"/>
        <w:left w:val="none" w:sz="0" w:space="0" w:color="auto"/>
        <w:bottom w:val="none" w:sz="0" w:space="0" w:color="auto"/>
        <w:right w:val="none" w:sz="0" w:space="0" w:color="auto"/>
      </w:divBdr>
    </w:div>
    <w:div w:id="552741321">
      <w:bodyDiv w:val="1"/>
      <w:marLeft w:val="0"/>
      <w:marRight w:val="0"/>
      <w:marTop w:val="0"/>
      <w:marBottom w:val="0"/>
      <w:divBdr>
        <w:top w:val="none" w:sz="0" w:space="0" w:color="auto"/>
        <w:left w:val="none" w:sz="0" w:space="0" w:color="auto"/>
        <w:bottom w:val="none" w:sz="0" w:space="0" w:color="auto"/>
        <w:right w:val="none" w:sz="0" w:space="0" w:color="auto"/>
      </w:divBdr>
    </w:div>
    <w:div w:id="554396372">
      <w:bodyDiv w:val="1"/>
      <w:marLeft w:val="0"/>
      <w:marRight w:val="0"/>
      <w:marTop w:val="0"/>
      <w:marBottom w:val="0"/>
      <w:divBdr>
        <w:top w:val="none" w:sz="0" w:space="0" w:color="auto"/>
        <w:left w:val="none" w:sz="0" w:space="0" w:color="auto"/>
        <w:bottom w:val="none" w:sz="0" w:space="0" w:color="auto"/>
        <w:right w:val="none" w:sz="0" w:space="0" w:color="auto"/>
      </w:divBdr>
    </w:div>
    <w:div w:id="555120384">
      <w:bodyDiv w:val="1"/>
      <w:marLeft w:val="0"/>
      <w:marRight w:val="0"/>
      <w:marTop w:val="0"/>
      <w:marBottom w:val="0"/>
      <w:divBdr>
        <w:top w:val="none" w:sz="0" w:space="0" w:color="auto"/>
        <w:left w:val="none" w:sz="0" w:space="0" w:color="auto"/>
        <w:bottom w:val="none" w:sz="0" w:space="0" w:color="auto"/>
        <w:right w:val="none" w:sz="0" w:space="0" w:color="auto"/>
      </w:divBdr>
    </w:div>
    <w:div w:id="555431937">
      <w:bodyDiv w:val="1"/>
      <w:marLeft w:val="0"/>
      <w:marRight w:val="0"/>
      <w:marTop w:val="0"/>
      <w:marBottom w:val="0"/>
      <w:divBdr>
        <w:top w:val="none" w:sz="0" w:space="0" w:color="auto"/>
        <w:left w:val="none" w:sz="0" w:space="0" w:color="auto"/>
        <w:bottom w:val="none" w:sz="0" w:space="0" w:color="auto"/>
        <w:right w:val="none" w:sz="0" w:space="0" w:color="auto"/>
      </w:divBdr>
    </w:div>
    <w:div w:id="558517541">
      <w:bodyDiv w:val="1"/>
      <w:marLeft w:val="0"/>
      <w:marRight w:val="0"/>
      <w:marTop w:val="0"/>
      <w:marBottom w:val="0"/>
      <w:divBdr>
        <w:top w:val="none" w:sz="0" w:space="0" w:color="auto"/>
        <w:left w:val="none" w:sz="0" w:space="0" w:color="auto"/>
        <w:bottom w:val="none" w:sz="0" w:space="0" w:color="auto"/>
        <w:right w:val="none" w:sz="0" w:space="0" w:color="auto"/>
      </w:divBdr>
    </w:div>
    <w:div w:id="562257032">
      <w:bodyDiv w:val="1"/>
      <w:marLeft w:val="0"/>
      <w:marRight w:val="0"/>
      <w:marTop w:val="0"/>
      <w:marBottom w:val="0"/>
      <w:divBdr>
        <w:top w:val="none" w:sz="0" w:space="0" w:color="auto"/>
        <w:left w:val="none" w:sz="0" w:space="0" w:color="auto"/>
        <w:bottom w:val="none" w:sz="0" w:space="0" w:color="auto"/>
        <w:right w:val="none" w:sz="0" w:space="0" w:color="auto"/>
      </w:divBdr>
    </w:div>
    <w:div w:id="563100184">
      <w:bodyDiv w:val="1"/>
      <w:marLeft w:val="0"/>
      <w:marRight w:val="0"/>
      <w:marTop w:val="0"/>
      <w:marBottom w:val="0"/>
      <w:divBdr>
        <w:top w:val="none" w:sz="0" w:space="0" w:color="auto"/>
        <w:left w:val="none" w:sz="0" w:space="0" w:color="auto"/>
        <w:bottom w:val="none" w:sz="0" w:space="0" w:color="auto"/>
        <w:right w:val="none" w:sz="0" w:space="0" w:color="auto"/>
      </w:divBdr>
    </w:div>
    <w:div w:id="564216554">
      <w:bodyDiv w:val="1"/>
      <w:marLeft w:val="0"/>
      <w:marRight w:val="0"/>
      <w:marTop w:val="0"/>
      <w:marBottom w:val="0"/>
      <w:divBdr>
        <w:top w:val="none" w:sz="0" w:space="0" w:color="auto"/>
        <w:left w:val="none" w:sz="0" w:space="0" w:color="auto"/>
        <w:bottom w:val="none" w:sz="0" w:space="0" w:color="auto"/>
        <w:right w:val="none" w:sz="0" w:space="0" w:color="auto"/>
      </w:divBdr>
    </w:div>
    <w:div w:id="572350203">
      <w:bodyDiv w:val="1"/>
      <w:marLeft w:val="0"/>
      <w:marRight w:val="0"/>
      <w:marTop w:val="0"/>
      <w:marBottom w:val="0"/>
      <w:divBdr>
        <w:top w:val="none" w:sz="0" w:space="0" w:color="auto"/>
        <w:left w:val="none" w:sz="0" w:space="0" w:color="auto"/>
        <w:bottom w:val="none" w:sz="0" w:space="0" w:color="auto"/>
        <w:right w:val="none" w:sz="0" w:space="0" w:color="auto"/>
      </w:divBdr>
    </w:div>
    <w:div w:id="573315490">
      <w:bodyDiv w:val="1"/>
      <w:marLeft w:val="0"/>
      <w:marRight w:val="0"/>
      <w:marTop w:val="0"/>
      <w:marBottom w:val="0"/>
      <w:divBdr>
        <w:top w:val="none" w:sz="0" w:space="0" w:color="auto"/>
        <w:left w:val="none" w:sz="0" w:space="0" w:color="auto"/>
        <w:bottom w:val="none" w:sz="0" w:space="0" w:color="auto"/>
        <w:right w:val="none" w:sz="0" w:space="0" w:color="auto"/>
      </w:divBdr>
    </w:div>
    <w:div w:id="574708352">
      <w:bodyDiv w:val="1"/>
      <w:marLeft w:val="0"/>
      <w:marRight w:val="0"/>
      <w:marTop w:val="0"/>
      <w:marBottom w:val="0"/>
      <w:divBdr>
        <w:top w:val="none" w:sz="0" w:space="0" w:color="auto"/>
        <w:left w:val="none" w:sz="0" w:space="0" w:color="auto"/>
        <w:bottom w:val="none" w:sz="0" w:space="0" w:color="auto"/>
        <w:right w:val="none" w:sz="0" w:space="0" w:color="auto"/>
      </w:divBdr>
    </w:div>
    <w:div w:id="575629475">
      <w:bodyDiv w:val="1"/>
      <w:marLeft w:val="0"/>
      <w:marRight w:val="0"/>
      <w:marTop w:val="0"/>
      <w:marBottom w:val="0"/>
      <w:divBdr>
        <w:top w:val="none" w:sz="0" w:space="0" w:color="auto"/>
        <w:left w:val="none" w:sz="0" w:space="0" w:color="auto"/>
        <w:bottom w:val="none" w:sz="0" w:space="0" w:color="auto"/>
        <w:right w:val="none" w:sz="0" w:space="0" w:color="auto"/>
      </w:divBdr>
    </w:div>
    <w:div w:id="575669494">
      <w:bodyDiv w:val="1"/>
      <w:marLeft w:val="0"/>
      <w:marRight w:val="0"/>
      <w:marTop w:val="0"/>
      <w:marBottom w:val="0"/>
      <w:divBdr>
        <w:top w:val="none" w:sz="0" w:space="0" w:color="auto"/>
        <w:left w:val="none" w:sz="0" w:space="0" w:color="auto"/>
        <w:bottom w:val="none" w:sz="0" w:space="0" w:color="auto"/>
        <w:right w:val="none" w:sz="0" w:space="0" w:color="auto"/>
      </w:divBdr>
    </w:div>
    <w:div w:id="577373701">
      <w:bodyDiv w:val="1"/>
      <w:marLeft w:val="0"/>
      <w:marRight w:val="0"/>
      <w:marTop w:val="0"/>
      <w:marBottom w:val="0"/>
      <w:divBdr>
        <w:top w:val="none" w:sz="0" w:space="0" w:color="auto"/>
        <w:left w:val="none" w:sz="0" w:space="0" w:color="auto"/>
        <w:bottom w:val="none" w:sz="0" w:space="0" w:color="auto"/>
        <w:right w:val="none" w:sz="0" w:space="0" w:color="auto"/>
      </w:divBdr>
    </w:div>
    <w:div w:id="577518121">
      <w:bodyDiv w:val="1"/>
      <w:marLeft w:val="0"/>
      <w:marRight w:val="0"/>
      <w:marTop w:val="0"/>
      <w:marBottom w:val="0"/>
      <w:divBdr>
        <w:top w:val="none" w:sz="0" w:space="0" w:color="auto"/>
        <w:left w:val="none" w:sz="0" w:space="0" w:color="auto"/>
        <w:bottom w:val="none" w:sz="0" w:space="0" w:color="auto"/>
        <w:right w:val="none" w:sz="0" w:space="0" w:color="auto"/>
      </w:divBdr>
    </w:div>
    <w:div w:id="587884678">
      <w:bodyDiv w:val="1"/>
      <w:marLeft w:val="0"/>
      <w:marRight w:val="0"/>
      <w:marTop w:val="0"/>
      <w:marBottom w:val="0"/>
      <w:divBdr>
        <w:top w:val="none" w:sz="0" w:space="0" w:color="auto"/>
        <w:left w:val="none" w:sz="0" w:space="0" w:color="auto"/>
        <w:bottom w:val="none" w:sz="0" w:space="0" w:color="auto"/>
        <w:right w:val="none" w:sz="0" w:space="0" w:color="auto"/>
      </w:divBdr>
    </w:div>
    <w:div w:id="593243743">
      <w:bodyDiv w:val="1"/>
      <w:marLeft w:val="0"/>
      <w:marRight w:val="0"/>
      <w:marTop w:val="0"/>
      <w:marBottom w:val="0"/>
      <w:divBdr>
        <w:top w:val="none" w:sz="0" w:space="0" w:color="auto"/>
        <w:left w:val="none" w:sz="0" w:space="0" w:color="auto"/>
        <w:bottom w:val="none" w:sz="0" w:space="0" w:color="auto"/>
        <w:right w:val="none" w:sz="0" w:space="0" w:color="auto"/>
      </w:divBdr>
    </w:div>
    <w:div w:id="593829022">
      <w:bodyDiv w:val="1"/>
      <w:marLeft w:val="0"/>
      <w:marRight w:val="0"/>
      <w:marTop w:val="0"/>
      <w:marBottom w:val="0"/>
      <w:divBdr>
        <w:top w:val="none" w:sz="0" w:space="0" w:color="auto"/>
        <w:left w:val="none" w:sz="0" w:space="0" w:color="auto"/>
        <w:bottom w:val="none" w:sz="0" w:space="0" w:color="auto"/>
        <w:right w:val="none" w:sz="0" w:space="0" w:color="auto"/>
      </w:divBdr>
    </w:div>
    <w:div w:id="596716008">
      <w:bodyDiv w:val="1"/>
      <w:marLeft w:val="0"/>
      <w:marRight w:val="0"/>
      <w:marTop w:val="0"/>
      <w:marBottom w:val="0"/>
      <w:divBdr>
        <w:top w:val="none" w:sz="0" w:space="0" w:color="auto"/>
        <w:left w:val="none" w:sz="0" w:space="0" w:color="auto"/>
        <w:bottom w:val="none" w:sz="0" w:space="0" w:color="auto"/>
        <w:right w:val="none" w:sz="0" w:space="0" w:color="auto"/>
      </w:divBdr>
    </w:div>
    <w:div w:id="597979859">
      <w:bodyDiv w:val="1"/>
      <w:marLeft w:val="0"/>
      <w:marRight w:val="0"/>
      <w:marTop w:val="0"/>
      <w:marBottom w:val="0"/>
      <w:divBdr>
        <w:top w:val="none" w:sz="0" w:space="0" w:color="auto"/>
        <w:left w:val="none" w:sz="0" w:space="0" w:color="auto"/>
        <w:bottom w:val="none" w:sz="0" w:space="0" w:color="auto"/>
        <w:right w:val="none" w:sz="0" w:space="0" w:color="auto"/>
      </w:divBdr>
    </w:div>
    <w:div w:id="599027508">
      <w:bodyDiv w:val="1"/>
      <w:marLeft w:val="0"/>
      <w:marRight w:val="0"/>
      <w:marTop w:val="0"/>
      <w:marBottom w:val="0"/>
      <w:divBdr>
        <w:top w:val="none" w:sz="0" w:space="0" w:color="auto"/>
        <w:left w:val="none" w:sz="0" w:space="0" w:color="auto"/>
        <w:bottom w:val="none" w:sz="0" w:space="0" w:color="auto"/>
        <w:right w:val="none" w:sz="0" w:space="0" w:color="auto"/>
      </w:divBdr>
    </w:div>
    <w:div w:id="603269911">
      <w:bodyDiv w:val="1"/>
      <w:marLeft w:val="0"/>
      <w:marRight w:val="0"/>
      <w:marTop w:val="0"/>
      <w:marBottom w:val="0"/>
      <w:divBdr>
        <w:top w:val="none" w:sz="0" w:space="0" w:color="auto"/>
        <w:left w:val="none" w:sz="0" w:space="0" w:color="auto"/>
        <w:bottom w:val="none" w:sz="0" w:space="0" w:color="auto"/>
        <w:right w:val="none" w:sz="0" w:space="0" w:color="auto"/>
      </w:divBdr>
    </w:div>
    <w:div w:id="604657964">
      <w:bodyDiv w:val="1"/>
      <w:marLeft w:val="0"/>
      <w:marRight w:val="0"/>
      <w:marTop w:val="0"/>
      <w:marBottom w:val="0"/>
      <w:divBdr>
        <w:top w:val="none" w:sz="0" w:space="0" w:color="auto"/>
        <w:left w:val="none" w:sz="0" w:space="0" w:color="auto"/>
        <w:bottom w:val="none" w:sz="0" w:space="0" w:color="auto"/>
        <w:right w:val="none" w:sz="0" w:space="0" w:color="auto"/>
      </w:divBdr>
    </w:div>
    <w:div w:id="609817193">
      <w:bodyDiv w:val="1"/>
      <w:marLeft w:val="0"/>
      <w:marRight w:val="0"/>
      <w:marTop w:val="0"/>
      <w:marBottom w:val="0"/>
      <w:divBdr>
        <w:top w:val="none" w:sz="0" w:space="0" w:color="auto"/>
        <w:left w:val="none" w:sz="0" w:space="0" w:color="auto"/>
        <w:bottom w:val="none" w:sz="0" w:space="0" w:color="auto"/>
        <w:right w:val="none" w:sz="0" w:space="0" w:color="auto"/>
      </w:divBdr>
    </w:div>
    <w:div w:id="610472777">
      <w:bodyDiv w:val="1"/>
      <w:marLeft w:val="0"/>
      <w:marRight w:val="0"/>
      <w:marTop w:val="0"/>
      <w:marBottom w:val="0"/>
      <w:divBdr>
        <w:top w:val="none" w:sz="0" w:space="0" w:color="auto"/>
        <w:left w:val="none" w:sz="0" w:space="0" w:color="auto"/>
        <w:bottom w:val="none" w:sz="0" w:space="0" w:color="auto"/>
        <w:right w:val="none" w:sz="0" w:space="0" w:color="auto"/>
      </w:divBdr>
    </w:div>
    <w:div w:id="612127092">
      <w:bodyDiv w:val="1"/>
      <w:marLeft w:val="0"/>
      <w:marRight w:val="0"/>
      <w:marTop w:val="0"/>
      <w:marBottom w:val="0"/>
      <w:divBdr>
        <w:top w:val="none" w:sz="0" w:space="0" w:color="auto"/>
        <w:left w:val="none" w:sz="0" w:space="0" w:color="auto"/>
        <w:bottom w:val="none" w:sz="0" w:space="0" w:color="auto"/>
        <w:right w:val="none" w:sz="0" w:space="0" w:color="auto"/>
      </w:divBdr>
    </w:div>
    <w:div w:id="614679895">
      <w:bodyDiv w:val="1"/>
      <w:marLeft w:val="0"/>
      <w:marRight w:val="0"/>
      <w:marTop w:val="0"/>
      <w:marBottom w:val="0"/>
      <w:divBdr>
        <w:top w:val="none" w:sz="0" w:space="0" w:color="auto"/>
        <w:left w:val="none" w:sz="0" w:space="0" w:color="auto"/>
        <w:bottom w:val="none" w:sz="0" w:space="0" w:color="auto"/>
        <w:right w:val="none" w:sz="0" w:space="0" w:color="auto"/>
      </w:divBdr>
    </w:div>
    <w:div w:id="618685162">
      <w:bodyDiv w:val="1"/>
      <w:marLeft w:val="0"/>
      <w:marRight w:val="0"/>
      <w:marTop w:val="0"/>
      <w:marBottom w:val="0"/>
      <w:divBdr>
        <w:top w:val="none" w:sz="0" w:space="0" w:color="auto"/>
        <w:left w:val="none" w:sz="0" w:space="0" w:color="auto"/>
        <w:bottom w:val="none" w:sz="0" w:space="0" w:color="auto"/>
        <w:right w:val="none" w:sz="0" w:space="0" w:color="auto"/>
      </w:divBdr>
    </w:div>
    <w:div w:id="622076424">
      <w:bodyDiv w:val="1"/>
      <w:marLeft w:val="0"/>
      <w:marRight w:val="0"/>
      <w:marTop w:val="0"/>
      <w:marBottom w:val="0"/>
      <w:divBdr>
        <w:top w:val="none" w:sz="0" w:space="0" w:color="auto"/>
        <w:left w:val="none" w:sz="0" w:space="0" w:color="auto"/>
        <w:bottom w:val="none" w:sz="0" w:space="0" w:color="auto"/>
        <w:right w:val="none" w:sz="0" w:space="0" w:color="auto"/>
      </w:divBdr>
    </w:div>
    <w:div w:id="622926850">
      <w:bodyDiv w:val="1"/>
      <w:marLeft w:val="0"/>
      <w:marRight w:val="0"/>
      <w:marTop w:val="0"/>
      <w:marBottom w:val="0"/>
      <w:divBdr>
        <w:top w:val="none" w:sz="0" w:space="0" w:color="auto"/>
        <w:left w:val="none" w:sz="0" w:space="0" w:color="auto"/>
        <w:bottom w:val="none" w:sz="0" w:space="0" w:color="auto"/>
        <w:right w:val="none" w:sz="0" w:space="0" w:color="auto"/>
      </w:divBdr>
    </w:div>
    <w:div w:id="625547476">
      <w:bodyDiv w:val="1"/>
      <w:marLeft w:val="0"/>
      <w:marRight w:val="0"/>
      <w:marTop w:val="0"/>
      <w:marBottom w:val="0"/>
      <w:divBdr>
        <w:top w:val="none" w:sz="0" w:space="0" w:color="auto"/>
        <w:left w:val="none" w:sz="0" w:space="0" w:color="auto"/>
        <w:bottom w:val="none" w:sz="0" w:space="0" w:color="auto"/>
        <w:right w:val="none" w:sz="0" w:space="0" w:color="auto"/>
      </w:divBdr>
    </w:div>
    <w:div w:id="626395707">
      <w:bodyDiv w:val="1"/>
      <w:marLeft w:val="0"/>
      <w:marRight w:val="0"/>
      <w:marTop w:val="0"/>
      <w:marBottom w:val="0"/>
      <w:divBdr>
        <w:top w:val="none" w:sz="0" w:space="0" w:color="auto"/>
        <w:left w:val="none" w:sz="0" w:space="0" w:color="auto"/>
        <w:bottom w:val="none" w:sz="0" w:space="0" w:color="auto"/>
        <w:right w:val="none" w:sz="0" w:space="0" w:color="auto"/>
      </w:divBdr>
    </w:div>
    <w:div w:id="627005790">
      <w:bodyDiv w:val="1"/>
      <w:marLeft w:val="0"/>
      <w:marRight w:val="0"/>
      <w:marTop w:val="0"/>
      <w:marBottom w:val="0"/>
      <w:divBdr>
        <w:top w:val="none" w:sz="0" w:space="0" w:color="auto"/>
        <w:left w:val="none" w:sz="0" w:space="0" w:color="auto"/>
        <w:bottom w:val="none" w:sz="0" w:space="0" w:color="auto"/>
        <w:right w:val="none" w:sz="0" w:space="0" w:color="auto"/>
      </w:divBdr>
    </w:div>
    <w:div w:id="628588310">
      <w:bodyDiv w:val="1"/>
      <w:marLeft w:val="0"/>
      <w:marRight w:val="0"/>
      <w:marTop w:val="0"/>
      <w:marBottom w:val="0"/>
      <w:divBdr>
        <w:top w:val="none" w:sz="0" w:space="0" w:color="auto"/>
        <w:left w:val="none" w:sz="0" w:space="0" w:color="auto"/>
        <w:bottom w:val="none" w:sz="0" w:space="0" w:color="auto"/>
        <w:right w:val="none" w:sz="0" w:space="0" w:color="auto"/>
      </w:divBdr>
    </w:div>
    <w:div w:id="629361358">
      <w:bodyDiv w:val="1"/>
      <w:marLeft w:val="0"/>
      <w:marRight w:val="0"/>
      <w:marTop w:val="0"/>
      <w:marBottom w:val="0"/>
      <w:divBdr>
        <w:top w:val="none" w:sz="0" w:space="0" w:color="auto"/>
        <w:left w:val="none" w:sz="0" w:space="0" w:color="auto"/>
        <w:bottom w:val="none" w:sz="0" w:space="0" w:color="auto"/>
        <w:right w:val="none" w:sz="0" w:space="0" w:color="auto"/>
      </w:divBdr>
    </w:div>
    <w:div w:id="629556504">
      <w:bodyDiv w:val="1"/>
      <w:marLeft w:val="0"/>
      <w:marRight w:val="0"/>
      <w:marTop w:val="0"/>
      <w:marBottom w:val="0"/>
      <w:divBdr>
        <w:top w:val="none" w:sz="0" w:space="0" w:color="auto"/>
        <w:left w:val="none" w:sz="0" w:space="0" w:color="auto"/>
        <w:bottom w:val="none" w:sz="0" w:space="0" w:color="auto"/>
        <w:right w:val="none" w:sz="0" w:space="0" w:color="auto"/>
      </w:divBdr>
    </w:div>
    <w:div w:id="632708498">
      <w:bodyDiv w:val="1"/>
      <w:marLeft w:val="0"/>
      <w:marRight w:val="0"/>
      <w:marTop w:val="0"/>
      <w:marBottom w:val="0"/>
      <w:divBdr>
        <w:top w:val="none" w:sz="0" w:space="0" w:color="auto"/>
        <w:left w:val="none" w:sz="0" w:space="0" w:color="auto"/>
        <w:bottom w:val="none" w:sz="0" w:space="0" w:color="auto"/>
        <w:right w:val="none" w:sz="0" w:space="0" w:color="auto"/>
      </w:divBdr>
    </w:div>
    <w:div w:id="633945695">
      <w:bodyDiv w:val="1"/>
      <w:marLeft w:val="0"/>
      <w:marRight w:val="0"/>
      <w:marTop w:val="0"/>
      <w:marBottom w:val="0"/>
      <w:divBdr>
        <w:top w:val="none" w:sz="0" w:space="0" w:color="auto"/>
        <w:left w:val="none" w:sz="0" w:space="0" w:color="auto"/>
        <w:bottom w:val="none" w:sz="0" w:space="0" w:color="auto"/>
        <w:right w:val="none" w:sz="0" w:space="0" w:color="auto"/>
      </w:divBdr>
    </w:div>
    <w:div w:id="634218586">
      <w:bodyDiv w:val="1"/>
      <w:marLeft w:val="0"/>
      <w:marRight w:val="0"/>
      <w:marTop w:val="0"/>
      <w:marBottom w:val="0"/>
      <w:divBdr>
        <w:top w:val="none" w:sz="0" w:space="0" w:color="auto"/>
        <w:left w:val="none" w:sz="0" w:space="0" w:color="auto"/>
        <w:bottom w:val="none" w:sz="0" w:space="0" w:color="auto"/>
        <w:right w:val="none" w:sz="0" w:space="0" w:color="auto"/>
      </w:divBdr>
    </w:div>
    <w:div w:id="635985277">
      <w:bodyDiv w:val="1"/>
      <w:marLeft w:val="0"/>
      <w:marRight w:val="0"/>
      <w:marTop w:val="0"/>
      <w:marBottom w:val="0"/>
      <w:divBdr>
        <w:top w:val="none" w:sz="0" w:space="0" w:color="auto"/>
        <w:left w:val="none" w:sz="0" w:space="0" w:color="auto"/>
        <w:bottom w:val="none" w:sz="0" w:space="0" w:color="auto"/>
        <w:right w:val="none" w:sz="0" w:space="0" w:color="auto"/>
      </w:divBdr>
    </w:div>
    <w:div w:id="636763681">
      <w:bodyDiv w:val="1"/>
      <w:marLeft w:val="0"/>
      <w:marRight w:val="0"/>
      <w:marTop w:val="0"/>
      <w:marBottom w:val="0"/>
      <w:divBdr>
        <w:top w:val="none" w:sz="0" w:space="0" w:color="auto"/>
        <w:left w:val="none" w:sz="0" w:space="0" w:color="auto"/>
        <w:bottom w:val="none" w:sz="0" w:space="0" w:color="auto"/>
        <w:right w:val="none" w:sz="0" w:space="0" w:color="auto"/>
      </w:divBdr>
    </w:div>
    <w:div w:id="637804958">
      <w:bodyDiv w:val="1"/>
      <w:marLeft w:val="0"/>
      <w:marRight w:val="0"/>
      <w:marTop w:val="0"/>
      <w:marBottom w:val="0"/>
      <w:divBdr>
        <w:top w:val="none" w:sz="0" w:space="0" w:color="auto"/>
        <w:left w:val="none" w:sz="0" w:space="0" w:color="auto"/>
        <w:bottom w:val="none" w:sz="0" w:space="0" w:color="auto"/>
        <w:right w:val="none" w:sz="0" w:space="0" w:color="auto"/>
      </w:divBdr>
    </w:div>
    <w:div w:id="638456118">
      <w:bodyDiv w:val="1"/>
      <w:marLeft w:val="0"/>
      <w:marRight w:val="0"/>
      <w:marTop w:val="0"/>
      <w:marBottom w:val="0"/>
      <w:divBdr>
        <w:top w:val="none" w:sz="0" w:space="0" w:color="auto"/>
        <w:left w:val="none" w:sz="0" w:space="0" w:color="auto"/>
        <w:bottom w:val="none" w:sz="0" w:space="0" w:color="auto"/>
        <w:right w:val="none" w:sz="0" w:space="0" w:color="auto"/>
      </w:divBdr>
    </w:div>
    <w:div w:id="642582479">
      <w:bodyDiv w:val="1"/>
      <w:marLeft w:val="0"/>
      <w:marRight w:val="0"/>
      <w:marTop w:val="0"/>
      <w:marBottom w:val="0"/>
      <w:divBdr>
        <w:top w:val="none" w:sz="0" w:space="0" w:color="auto"/>
        <w:left w:val="none" w:sz="0" w:space="0" w:color="auto"/>
        <w:bottom w:val="none" w:sz="0" w:space="0" w:color="auto"/>
        <w:right w:val="none" w:sz="0" w:space="0" w:color="auto"/>
      </w:divBdr>
    </w:div>
    <w:div w:id="645862804">
      <w:bodyDiv w:val="1"/>
      <w:marLeft w:val="0"/>
      <w:marRight w:val="0"/>
      <w:marTop w:val="0"/>
      <w:marBottom w:val="0"/>
      <w:divBdr>
        <w:top w:val="none" w:sz="0" w:space="0" w:color="auto"/>
        <w:left w:val="none" w:sz="0" w:space="0" w:color="auto"/>
        <w:bottom w:val="none" w:sz="0" w:space="0" w:color="auto"/>
        <w:right w:val="none" w:sz="0" w:space="0" w:color="auto"/>
      </w:divBdr>
    </w:div>
    <w:div w:id="654843520">
      <w:bodyDiv w:val="1"/>
      <w:marLeft w:val="0"/>
      <w:marRight w:val="0"/>
      <w:marTop w:val="0"/>
      <w:marBottom w:val="0"/>
      <w:divBdr>
        <w:top w:val="none" w:sz="0" w:space="0" w:color="auto"/>
        <w:left w:val="none" w:sz="0" w:space="0" w:color="auto"/>
        <w:bottom w:val="none" w:sz="0" w:space="0" w:color="auto"/>
        <w:right w:val="none" w:sz="0" w:space="0" w:color="auto"/>
      </w:divBdr>
    </w:div>
    <w:div w:id="654846042">
      <w:bodyDiv w:val="1"/>
      <w:marLeft w:val="0"/>
      <w:marRight w:val="0"/>
      <w:marTop w:val="0"/>
      <w:marBottom w:val="0"/>
      <w:divBdr>
        <w:top w:val="none" w:sz="0" w:space="0" w:color="auto"/>
        <w:left w:val="none" w:sz="0" w:space="0" w:color="auto"/>
        <w:bottom w:val="none" w:sz="0" w:space="0" w:color="auto"/>
        <w:right w:val="none" w:sz="0" w:space="0" w:color="auto"/>
      </w:divBdr>
    </w:div>
    <w:div w:id="656419918">
      <w:bodyDiv w:val="1"/>
      <w:marLeft w:val="0"/>
      <w:marRight w:val="0"/>
      <w:marTop w:val="0"/>
      <w:marBottom w:val="0"/>
      <w:divBdr>
        <w:top w:val="none" w:sz="0" w:space="0" w:color="auto"/>
        <w:left w:val="none" w:sz="0" w:space="0" w:color="auto"/>
        <w:bottom w:val="none" w:sz="0" w:space="0" w:color="auto"/>
        <w:right w:val="none" w:sz="0" w:space="0" w:color="auto"/>
      </w:divBdr>
    </w:div>
    <w:div w:id="660499585">
      <w:bodyDiv w:val="1"/>
      <w:marLeft w:val="0"/>
      <w:marRight w:val="0"/>
      <w:marTop w:val="0"/>
      <w:marBottom w:val="0"/>
      <w:divBdr>
        <w:top w:val="none" w:sz="0" w:space="0" w:color="auto"/>
        <w:left w:val="none" w:sz="0" w:space="0" w:color="auto"/>
        <w:bottom w:val="none" w:sz="0" w:space="0" w:color="auto"/>
        <w:right w:val="none" w:sz="0" w:space="0" w:color="auto"/>
      </w:divBdr>
    </w:div>
    <w:div w:id="662318831">
      <w:bodyDiv w:val="1"/>
      <w:marLeft w:val="0"/>
      <w:marRight w:val="0"/>
      <w:marTop w:val="0"/>
      <w:marBottom w:val="0"/>
      <w:divBdr>
        <w:top w:val="none" w:sz="0" w:space="0" w:color="auto"/>
        <w:left w:val="none" w:sz="0" w:space="0" w:color="auto"/>
        <w:bottom w:val="none" w:sz="0" w:space="0" w:color="auto"/>
        <w:right w:val="none" w:sz="0" w:space="0" w:color="auto"/>
      </w:divBdr>
    </w:div>
    <w:div w:id="666902162">
      <w:bodyDiv w:val="1"/>
      <w:marLeft w:val="0"/>
      <w:marRight w:val="0"/>
      <w:marTop w:val="0"/>
      <w:marBottom w:val="0"/>
      <w:divBdr>
        <w:top w:val="none" w:sz="0" w:space="0" w:color="auto"/>
        <w:left w:val="none" w:sz="0" w:space="0" w:color="auto"/>
        <w:bottom w:val="none" w:sz="0" w:space="0" w:color="auto"/>
        <w:right w:val="none" w:sz="0" w:space="0" w:color="auto"/>
      </w:divBdr>
    </w:div>
    <w:div w:id="673535450">
      <w:bodyDiv w:val="1"/>
      <w:marLeft w:val="0"/>
      <w:marRight w:val="0"/>
      <w:marTop w:val="0"/>
      <w:marBottom w:val="0"/>
      <w:divBdr>
        <w:top w:val="none" w:sz="0" w:space="0" w:color="auto"/>
        <w:left w:val="none" w:sz="0" w:space="0" w:color="auto"/>
        <w:bottom w:val="none" w:sz="0" w:space="0" w:color="auto"/>
        <w:right w:val="none" w:sz="0" w:space="0" w:color="auto"/>
      </w:divBdr>
    </w:div>
    <w:div w:id="678848997">
      <w:bodyDiv w:val="1"/>
      <w:marLeft w:val="0"/>
      <w:marRight w:val="0"/>
      <w:marTop w:val="0"/>
      <w:marBottom w:val="0"/>
      <w:divBdr>
        <w:top w:val="none" w:sz="0" w:space="0" w:color="auto"/>
        <w:left w:val="none" w:sz="0" w:space="0" w:color="auto"/>
        <w:bottom w:val="none" w:sz="0" w:space="0" w:color="auto"/>
        <w:right w:val="none" w:sz="0" w:space="0" w:color="auto"/>
      </w:divBdr>
    </w:div>
    <w:div w:id="679162081">
      <w:bodyDiv w:val="1"/>
      <w:marLeft w:val="0"/>
      <w:marRight w:val="0"/>
      <w:marTop w:val="0"/>
      <w:marBottom w:val="0"/>
      <w:divBdr>
        <w:top w:val="none" w:sz="0" w:space="0" w:color="auto"/>
        <w:left w:val="none" w:sz="0" w:space="0" w:color="auto"/>
        <w:bottom w:val="none" w:sz="0" w:space="0" w:color="auto"/>
        <w:right w:val="none" w:sz="0" w:space="0" w:color="auto"/>
      </w:divBdr>
    </w:div>
    <w:div w:id="683630036">
      <w:bodyDiv w:val="1"/>
      <w:marLeft w:val="0"/>
      <w:marRight w:val="0"/>
      <w:marTop w:val="0"/>
      <w:marBottom w:val="0"/>
      <w:divBdr>
        <w:top w:val="none" w:sz="0" w:space="0" w:color="auto"/>
        <w:left w:val="none" w:sz="0" w:space="0" w:color="auto"/>
        <w:bottom w:val="none" w:sz="0" w:space="0" w:color="auto"/>
        <w:right w:val="none" w:sz="0" w:space="0" w:color="auto"/>
      </w:divBdr>
    </w:div>
    <w:div w:id="683635057">
      <w:bodyDiv w:val="1"/>
      <w:marLeft w:val="0"/>
      <w:marRight w:val="0"/>
      <w:marTop w:val="0"/>
      <w:marBottom w:val="0"/>
      <w:divBdr>
        <w:top w:val="none" w:sz="0" w:space="0" w:color="auto"/>
        <w:left w:val="none" w:sz="0" w:space="0" w:color="auto"/>
        <w:bottom w:val="none" w:sz="0" w:space="0" w:color="auto"/>
        <w:right w:val="none" w:sz="0" w:space="0" w:color="auto"/>
      </w:divBdr>
    </w:div>
    <w:div w:id="686057381">
      <w:bodyDiv w:val="1"/>
      <w:marLeft w:val="0"/>
      <w:marRight w:val="0"/>
      <w:marTop w:val="0"/>
      <w:marBottom w:val="0"/>
      <w:divBdr>
        <w:top w:val="none" w:sz="0" w:space="0" w:color="auto"/>
        <w:left w:val="none" w:sz="0" w:space="0" w:color="auto"/>
        <w:bottom w:val="none" w:sz="0" w:space="0" w:color="auto"/>
        <w:right w:val="none" w:sz="0" w:space="0" w:color="auto"/>
      </w:divBdr>
    </w:div>
    <w:div w:id="687095975">
      <w:bodyDiv w:val="1"/>
      <w:marLeft w:val="0"/>
      <w:marRight w:val="0"/>
      <w:marTop w:val="0"/>
      <w:marBottom w:val="0"/>
      <w:divBdr>
        <w:top w:val="none" w:sz="0" w:space="0" w:color="auto"/>
        <w:left w:val="none" w:sz="0" w:space="0" w:color="auto"/>
        <w:bottom w:val="none" w:sz="0" w:space="0" w:color="auto"/>
        <w:right w:val="none" w:sz="0" w:space="0" w:color="auto"/>
      </w:divBdr>
    </w:div>
    <w:div w:id="691105703">
      <w:bodyDiv w:val="1"/>
      <w:marLeft w:val="0"/>
      <w:marRight w:val="0"/>
      <w:marTop w:val="0"/>
      <w:marBottom w:val="0"/>
      <w:divBdr>
        <w:top w:val="none" w:sz="0" w:space="0" w:color="auto"/>
        <w:left w:val="none" w:sz="0" w:space="0" w:color="auto"/>
        <w:bottom w:val="none" w:sz="0" w:space="0" w:color="auto"/>
        <w:right w:val="none" w:sz="0" w:space="0" w:color="auto"/>
      </w:divBdr>
    </w:div>
    <w:div w:id="692734066">
      <w:bodyDiv w:val="1"/>
      <w:marLeft w:val="0"/>
      <w:marRight w:val="0"/>
      <w:marTop w:val="0"/>
      <w:marBottom w:val="0"/>
      <w:divBdr>
        <w:top w:val="none" w:sz="0" w:space="0" w:color="auto"/>
        <w:left w:val="none" w:sz="0" w:space="0" w:color="auto"/>
        <w:bottom w:val="none" w:sz="0" w:space="0" w:color="auto"/>
        <w:right w:val="none" w:sz="0" w:space="0" w:color="auto"/>
      </w:divBdr>
    </w:div>
    <w:div w:id="694160793">
      <w:bodyDiv w:val="1"/>
      <w:marLeft w:val="0"/>
      <w:marRight w:val="0"/>
      <w:marTop w:val="0"/>
      <w:marBottom w:val="0"/>
      <w:divBdr>
        <w:top w:val="none" w:sz="0" w:space="0" w:color="auto"/>
        <w:left w:val="none" w:sz="0" w:space="0" w:color="auto"/>
        <w:bottom w:val="none" w:sz="0" w:space="0" w:color="auto"/>
        <w:right w:val="none" w:sz="0" w:space="0" w:color="auto"/>
      </w:divBdr>
    </w:div>
    <w:div w:id="694237913">
      <w:bodyDiv w:val="1"/>
      <w:marLeft w:val="0"/>
      <w:marRight w:val="0"/>
      <w:marTop w:val="0"/>
      <w:marBottom w:val="0"/>
      <w:divBdr>
        <w:top w:val="none" w:sz="0" w:space="0" w:color="auto"/>
        <w:left w:val="none" w:sz="0" w:space="0" w:color="auto"/>
        <w:bottom w:val="none" w:sz="0" w:space="0" w:color="auto"/>
        <w:right w:val="none" w:sz="0" w:space="0" w:color="auto"/>
      </w:divBdr>
    </w:div>
    <w:div w:id="696856906">
      <w:bodyDiv w:val="1"/>
      <w:marLeft w:val="0"/>
      <w:marRight w:val="0"/>
      <w:marTop w:val="0"/>
      <w:marBottom w:val="0"/>
      <w:divBdr>
        <w:top w:val="none" w:sz="0" w:space="0" w:color="auto"/>
        <w:left w:val="none" w:sz="0" w:space="0" w:color="auto"/>
        <w:bottom w:val="none" w:sz="0" w:space="0" w:color="auto"/>
        <w:right w:val="none" w:sz="0" w:space="0" w:color="auto"/>
      </w:divBdr>
    </w:div>
    <w:div w:id="699817417">
      <w:bodyDiv w:val="1"/>
      <w:marLeft w:val="0"/>
      <w:marRight w:val="0"/>
      <w:marTop w:val="0"/>
      <w:marBottom w:val="0"/>
      <w:divBdr>
        <w:top w:val="none" w:sz="0" w:space="0" w:color="auto"/>
        <w:left w:val="none" w:sz="0" w:space="0" w:color="auto"/>
        <w:bottom w:val="none" w:sz="0" w:space="0" w:color="auto"/>
        <w:right w:val="none" w:sz="0" w:space="0" w:color="auto"/>
      </w:divBdr>
    </w:div>
    <w:div w:id="700788415">
      <w:bodyDiv w:val="1"/>
      <w:marLeft w:val="0"/>
      <w:marRight w:val="0"/>
      <w:marTop w:val="0"/>
      <w:marBottom w:val="0"/>
      <w:divBdr>
        <w:top w:val="none" w:sz="0" w:space="0" w:color="auto"/>
        <w:left w:val="none" w:sz="0" w:space="0" w:color="auto"/>
        <w:bottom w:val="none" w:sz="0" w:space="0" w:color="auto"/>
        <w:right w:val="none" w:sz="0" w:space="0" w:color="auto"/>
      </w:divBdr>
    </w:div>
    <w:div w:id="703334687">
      <w:bodyDiv w:val="1"/>
      <w:marLeft w:val="0"/>
      <w:marRight w:val="0"/>
      <w:marTop w:val="0"/>
      <w:marBottom w:val="0"/>
      <w:divBdr>
        <w:top w:val="none" w:sz="0" w:space="0" w:color="auto"/>
        <w:left w:val="none" w:sz="0" w:space="0" w:color="auto"/>
        <w:bottom w:val="none" w:sz="0" w:space="0" w:color="auto"/>
        <w:right w:val="none" w:sz="0" w:space="0" w:color="auto"/>
      </w:divBdr>
    </w:div>
    <w:div w:id="707491919">
      <w:bodyDiv w:val="1"/>
      <w:marLeft w:val="0"/>
      <w:marRight w:val="0"/>
      <w:marTop w:val="0"/>
      <w:marBottom w:val="0"/>
      <w:divBdr>
        <w:top w:val="none" w:sz="0" w:space="0" w:color="auto"/>
        <w:left w:val="none" w:sz="0" w:space="0" w:color="auto"/>
        <w:bottom w:val="none" w:sz="0" w:space="0" w:color="auto"/>
        <w:right w:val="none" w:sz="0" w:space="0" w:color="auto"/>
      </w:divBdr>
    </w:div>
    <w:div w:id="709107044">
      <w:bodyDiv w:val="1"/>
      <w:marLeft w:val="0"/>
      <w:marRight w:val="0"/>
      <w:marTop w:val="0"/>
      <w:marBottom w:val="0"/>
      <w:divBdr>
        <w:top w:val="none" w:sz="0" w:space="0" w:color="auto"/>
        <w:left w:val="none" w:sz="0" w:space="0" w:color="auto"/>
        <w:bottom w:val="none" w:sz="0" w:space="0" w:color="auto"/>
        <w:right w:val="none" w:sz="0" w:space="0" w:color="auto"/>
      </w:divBdr>
    </w:div>
    <w:div w:id="712460715">
      <w:bodyDiv w:val="1"/>
      <w:marLeft w:val="0"/>
      <w:marRight w:val="0"/>
      <w:marTop w:val="0"/>
      <w:marBottom w:val="0"/>
      <w:divBdr>
        <w:top w:val="none" w:sz="0" w:space="0" w:color="auto"/>
        <w:left w:val="none" w:sz="0" w:space="0" w:color="auto"/>
        <w:bottom w:val="none" w:sz="0" w:space="0" w:color="auto"/>
        <w:right w:val="none" w:sz="0" w:space="0" w:color="auto"/>
      </w:divBdr>
    </w:div>
    <w:div w:id="713194033">
      <w:bodyDiv w:val="1"/>
      <w:marLeft w:val="0"/>
      <w:marRight w:val="0"/>
      <w:marTop w:val="0"/>
      <w:marBottom w:val="0"/>
      <w:divBdr>
        <w:top w:val="none" w:sz="0" w:space="0" w:color="auto"/>
        <w:left w:val="none" w:sz="0" w:space="0" w:color="auto"/>
        <w:bottom w:val="none" w:sz="0" w:space="0" w:color="auto"/>
        <w:right w:val="none" w:sz="0" w:space="0" w:color="auto"/>
      </w:divBdr>
    </w:div>
    <w:div w:id="716317220">
      <w:bodyDiv w:val="1"/>
      <w:marLeft w:val="0"/>
      <w:marRight w:val="0"/>
      <w:marTop w:val="0"/>
      <w:marBottom w:val="0"/>
      <w:divBdr>
        <w:top w:val="none" w:sz="0" w:space="0" w:color="auto"/>
        <w:left w:val="none" w:sz="0" w:space="0" w:color="auto"/>
        <w:bottom w:val="none" w:sz="0" w:space="0" w:color="auto"/>
        <w:right w:val="none" w:sz="0" w:space="0" w:color="auto"/>
      </w:divBdr>
    </w:div>
    <w:div w:id="716854142">
      <w:bodyDiv w:val="1"/>
      <w:marLeft w:val="0"/>
      <w:marRight w:val="0"/>
      <w:marTop w:val="0"/>
      <w:marBottom w:val="0"/>
      <w:divBdr>
        <w:top w:val="none" w:sz="0" w:space="0" w:color="auto"/>
        <w:left w:val="none" w:sz="0" w:space="0" w:color="auto"/>
        <w:bottom w:val="none" w:sz="0" w:space="0" w:color="auto"/>
        <w:right w:val="none" w:sz="0" w:space="0" w:color="auto"/>
      </w:divBdr>
    </w:div>
    <w:div w:id="717976458">
      <w:bodyDiv w:val="1"/>
      <w:marLeft w:val="0"/>
      <w:marRight w:val="0"/>
      <w:marTop w:val="0"/>
      <w:marBottom w:val="0"/>
      <w:divBdr>
        <w:top w:val="none" w:sz="0" w:space="0" w:color="auto"/>
        <w:left w:val="none" w:sz="0" w:space="0" w:color="auto"/>
        <w:bottom w:val="none" w:sz="0" w:space="0" w:color="auto"/>
        <w:right w:val="none" w:sz="0" w:space="0" w:color="auto"/>
      </w:divBdr>
    </w:div>
    <w:div w:id="719549009">
      <w:bodyDiv w:val="1"/>
      <w:marLeft w:val="0"/>
      <w:marRight w:val="0"/>
      <w:marTop w:val="0"/>
      <w:marBottom w:val="0"/>
      <w:divBdr>
        <w:top w:val="none" w:sz="0" w:space="0" w:color="auto"/>
        <w:left w:val="none" w:sz="0" w:space="0" w:color="auto"/>
        <w:bottom w:val="none" w:sz="0" w:space="0" w:color="auto"/>
        <w:right w:val="none" w:sz="0" w:space="0" w:color="auto"/>
      </w:divBdr>
    </w:div>
    <w:div w:id="724988124">
      <w:bodyDiv w:val="1"/>
      <w:marLeft w:val="0"/>
      <w:marRight w:val="0"/>
      <w:marTop w:val="0"/>
      <w:marBottom w:val="0"/>
      <w:divBdr>
        <w:top w:val="none" w:sz="0" w:space="0" w:color="auto"/>
        <w:left w:val="none" w:sz="0" w:space="0" w:color="auto"/>
        <w:bottom w:val="none" w:sz="0" w:space="0" w:color="auto"/>
        <w:right w:val="none" w:sz="0" w:space="0" w:color="auto"/>
      </w:divBdr>
    </w:div>
    <w:div w:id="733240530">
      <w:bodyDiv w:val="1"/>
      <w:marLeft w:val="0"/>
      <w:marRight w:val="0"/>
      <w:marTop w:val="0"/>
      <w:marBottom w:val="0"/>
      <w:divBdr>
        <w:top w:val="none" w:sz="0" w:space="0" w:color="auto"/>
        <w:left w:val="none" w:sz="0" w:space="0" w:color="auto"/>
        <w:bottom w:val="none" w:sz="0" w:space="0" w:color="auto"/>
        <w:right w:val="none" w:sz="0" w:space="0" w:color="auto"/>
      </w:divBdr>
    </w:div>
    <w:div w:id="733773298">
      <w:bodyDiv w:val="1"/>
      <w:marLeft w:val="0"/>
      <w:marRight w:val="0"/>
      <w:marTop w:val="0"/>
      <w:marBottom w:val="0"/>
      <w:divBdr>
        <w:top w:val="none" w:sz="0" w:space="0" w:color="auto"/>
        <w:left w:val="none" w:sz="0" w:space="0" w:color="auto"/>
        <w:bottom w:val="none" w:sz="0" w:space="0" w:color="auto"/>
        <w:right w:val="none" w:sz="0" w:space="0" w:color="auto"/>
      </w:divBdr>
    </w:div>
    <w:div w:id="735586311">
      <w:bodyDiv w:val="1"/>
      <w:marLeft w:val="0"/>
      <w:marRight w:val="0"/>
      <w:marTop w:val="0"/>
      <w:marBottom w:val="0"/>
      <w:divBdr>
        <w:top w:val="none" w:sz="0" w:space="0" w:color="auto"/>
        <w:left w:val="none" w:sz="0" w:space="0" w:color="auto"/>
        <w:bottom w:val="none" w:sz="0" w:space="0" w:color="auto"/>
        <w:right w:val="none" w:sz="0" w:space="0" w:color="auto"/>
      </w:divBdr>
    </w:div>
    <w:div w:id="738819986">
      <w:bodyDiv w:val="1"/>
      <w:marLeft w:val="0"/>
      <w:marRight w:val="0"/>
      <w:marTop w:val="0"/>
      <w:marBottom w:val="0"/>
      <w:divBdr>
        <w:top w:val="none" w:sz="0" w:space="0" w:color="auto"/>
        <w:left w:val="none" w:sz="0" w:space="0" w:color="auto"/>
        <w:bottom w:val="none" w:sz="0" w:space="0" w:color="auto"/>
        <w:right w:val="none" w:sz="0" w:space="0" w:color="auto"/>
      </w:divBdr>
    </w:div>
    <w:div w:id="746029019">
      <w:bodyDiv w:val="1"/>
      <w:marLeft w:val="0"/>
      <w:marRight w:val="0"/>
      <w:marTop w:val="0"/>
      <w:marBottom w:val="0"/>
      <w:divBdr>
        <w:top w:val="none" w:sz="0" w:space="0" w:color="auto"/>
        <w:left w:val="none" w:sz="0" w:space="0" w:color="auto"/>
        <w:bottom w:val="none" w:sz="0" w:space="0" w:color="auto"/>
        <w:right w:val="none" w:sz="0" w:space="0" w:color="auto"/>
      </w:divBdr>
    </w:div>
    <w:div w:id="746848378">
      <w:bodyDiv w:val="1"/>
      <w:marLeft w:val="0"/>
      <w:marRight w:val="0"/>
      <w:marTop w:val="0"/>
      <w:marBottom w:val="0"/>
      <w:divBdr>
        <w:top w:val="none" w:sz="0" w:space="0" w:color="auto"/>
        <w:left w:val="none" w:sz="0" w:space="0" w:color="auto"/>
        <w:bottom w:val="none" w:sz="0" w:space="0" w:color="auto"/>
        <w:right w:val="none" w:sz="0" w:space="0" w:color="auto"/>
      </w:divBdr>
    </w:div>
    <w:div w:id="747390314">
      <w:bodyDiv w:val="1"/>
      <w:marLeft w:val="0"/>
      <w:marRight w:val="0"/>
      <w:marTop w:val="0"/>
      <w:marBottom w:val="0"/>
      <w:divBdr>
        <w:top w:val="none" w:sz="0" w:space="0" w:color="auto"/>
        <w:left w:val="none" w:sz="0" w:space="0" w:color="auto"/>
        <w:bottom w:val="none" w:sz="0" w:space="0" w:color="auto"/>
        <w:right w:val="none" w:sz="0" w:space="0" w:color="auto"/>
      </w:divBdr>
    </w:div>
    <w:div w:id="750783125">
      <w:bodyDiv w:val="1"/>
      <w:marLeft w:val="0"/>
      <w:marRight w:val="0"/>
      <w:marTop w:val="0"/>
      <w:marBottom w:val="0"/>
      <w:divBdr>
        <w:top w:val="none" w:sz="0" w:space="0" w:color="auto"/>
        <w:left w:val="none" w:sz="0" w:space="0" w:color="auto"/>
        <w:bottom w:val="none" w:sz="0" w:space="0" w:color="auto"/>
        <w:right w:val="none" w:sz="0" w:space="0" w:color="auto"/>
      </w:divBdr>
    </w:div>
    <w:div w:id="751389844">
      <w:bodyDiv w:val="1"/>
      <w:marLeft w:val="0"/>
      <w:marRight w:val="0"/>
      <w:marTop w:val="0"/>
      <w:marBottom w:val="0"/>
      <w:divBdr>
        <w:top w:val="none" w:sz="0" w:space="0" w:color="auto"/>
        <w:left w:val="none" w:sz="0" w:space="0" w:color="auto"/>
        <w:bottom w:val="none" w:sz="0" w:space="0" w:color="auto"/>
        <w:right w:val="none" w:sz="0" w:space="0" w:color="auto"/>
      </w:divBdr>
    </w:div>
    <w:div w:id="753939636">
      <w:bodyDiv w:val="1"/>
      <w:marLeft w:val="0"/>
      <w:marRight w:val="0"/>
      <w:marTop w:val="0"/>
      <w:marBottom w:val="0"/>
      <w:divBdr>
        <w:top w:val="none" w:sz="0" w:space="0" w:color="auto"/>
        <w:left w:val="none" w:sz="0" w:space="0" w:color="auto"/>
        <w:bottom w:val="none" w:sz="0" w:space="0" w:color="auto"/>
        <w:right w:val="none" w:sz="0" w:space="0" w:color="auto"/>
      </w:divBdr>
    </w:div>
    <w:div w:id="754741602">
      <w:bodyDiv w:val="1"/>
      <w:marLeft w:val="0"/>
      <w:marRight w:val="0"/>
      <w:marTop w:val="0"/>
      <w:marBottom w:val="0"/>
      <w:divBdr>
        <w:top w:val="none" w:sz="0" w:space="0" w:color="auto"/>
        <w:left w:val="none" w:sz="0" w:space="0" w:color="auto"/>
        <w:bottom w:val="none" w:sz="0" w:space="0" w:color="auto"/>
        <w:right w:val="none" w:sz="0" w:space="0" w:color="auto"/>
      </w:divBdr>
    </w:div>
    <w:div w:id="764498276">
      <w:bodyDiv w:val="1"/>
      <w:marLeft w:val="0"/>
      <w:marRight w:val="0"/>
      <w:marTop w:val="0"/>
      <w:marBottom w:val="0"/>
      <w:divBdr>
        <w:top w:val="none" w:sz="0" w:space="0" w:color="auto"/>
        <w:left w:val="none" w:sz="0" w:space="0" w:color="auto"/>
        <w:bottom w:val="none" w:sz="0" w:space="0" w:color="auto"/>
        <w:right w:val="none" w:sz="0" w:space="0" w:color="auto"/>
      </w:divBdr>
    </w:div>
    <w:div w:id="771166509">
      <w:bodyDiv w:val="1"/>
      <w:marLeft w:val="0"/>
      <w:marRight w:val="0"/>
      <w:marTop w:val="0"/>
      <w:marBottom w:val="0"/>
      <w:divBdr>
        <w:top w:val="none" w:sz="0" w:space="0" w:color="auto"/>
        <w:left w:val="none" w:sz="0" w:space="0" w:color="auto"/>
        <w:bottom w:val="none" w:sz="0" w:space="0" w:color="auto"/>
        <w:right w:val="none" w:sz="0" w:space="0" w:color="auto"/>
      </w:divBdr>
    </w:div>
    <w:div w:id="777480604">
      <w:bodyDiv w:val="1"/>
      <w:marLeft w:val="0"/>
      <w:marRight w:val="0"/>
      <w:marTop w:val="0"/>
      <w:marBottom w:val="0"/>
      <w:divBdr>
        <w:top w:val="none" w:sz="0" w:space="0" w:color="auto"/>
        <w:left w:val="none" w:sz="0" w:space="0" w:color="auto"/>
        <w:bottom w:val="none" w:sz="0" w:space="0" w:color="auto"/>
        <w:right w:val="none" w:sz="0" w:space="0" w:color="auto"/>
      </w:divBdr>
    </w:div>
    <w:div w:id="779763083">
      <w:bodyDiv w:val="1"/>
      <w:marLeft w:val="0"/>
      <w:marRight w:val="0"/>
      <w:marTop w:val="0"/>
      <w:marBottom w:val="0"/>
      <w:divBdr>
        <w:top w:val="none" w:sz="0" w:space="0" w:color="auto"/>
        <w:left w:val="none" w:sz="0" w:space="0" w:color="auto"/>
        <w:bottom w:val="none" w:sz="0" w:space="0" w:color="auto"/>
        <w:right w:val="none" w:sz="0" w:space="0" w:color="auto"/>
      </w:divBdr>
    </w:div>
    <w:div w:id="787891478">
      <w:bodyDiv w:val="1"/>
      <w:marLeft w:val="0"/>
      <w:marRight w:val="0"/>
      <w:marTop w:val="0"/>
      <w:marBottom w:val="0"/>
      <w:divBdr>
        <w:top w:val="none" w:sz="0" w:space="0" w:color="auto"/>
        <w:left w:val="none" w:sz="0" w:space="0" w:color="auto"/>
        <w:bottom w:val="none" w:sz="0" w:space="0" w:color="auto"/>
        <w:right w:val="none" w:sz="0" w:space="0" w:color="auto"/>
      </w:divBdr>
    </w:div>
    <w:div w:id="792021129">
      <w:bodyDiv w:val="1"/>
      <w:marLeft w:val="0"/>
      <w:marRight w:val="0"/>
      <w:marTop w:val="0"/>
      <w:marBottom w:val="0"/>
      <w:divBdr>
        <w:top w:val="none" w:sz="0" w:space="0" w:color="auto"/>
        <w:left w:val="none" w:sz="0" w:space="0" w:color="auto"/>
        <w:bottom w:val="none" w:sz="0" w:space="0" w:color="auto"/>
        <w:right w:val="none" w:sz="0" w:space="0" w:color="auto"/>
      </w:divBdr>
    </w:div>
    <w:div w:id="793064715">
      <w:bodyDiv w:val="1"/>
      <w:marLeft w:val="0"/>
      <w:marRight w:val="0"/>
      <w:marTop w:val="0"/>
      <w:marBottom w:val="0"/>
      <w:divBdr>
        <w:top w:val="none" w:sz="0" w:space="0" w:color="auto"/>
        <w:left w:val="none" w:sz="0" w:space="0" w:color="auto"/>
        <w:bottom w:val="none" w:sz="0" w:space="0" w:color="auto"/>
        <w:right w:val="none" w:sz="0" w:space="0" w:color="auto"/>
      </w:divBdr>
    </w:div>
    <w:div w:id="795442956">
      <w:bodyDiv w:val="1"/>
      <w:marLeft w:val="0"/>
      <w:marRight w:val="0"/>
      <w:marTop w:val="0"/>
      <w:marBottom w:val="0"/>
      <w:divBdr>
        <w:top w:val="none" w:sz="0" w:space="0" w:color="auto"/>
        <w:left w:val="none" w:sz="0" w:space="0" w:color="auto"/>
        <w:bottom w:val="none" w:sz="0" w:space="0" w:color="auto"/>
        <w:right w:val="none" w:sz="0" w:space="0" w:color="auto"/>
      </w:divBdr>
    </w:div>
    <w:div w:id="797257245">
      <w:bodyDiv w:val="1"/>
      <w:marLeft w:val="0"/>
      <w:marRight w:val="0"/>
      <w:marTop w:val="0"/>
      <w:marBottom w:val="0"/>
      <w:divBdr>
        <w:top w:val="none" w:sz="0" w:space="0" w:color="auto"/>
        <w:left w:val="none" w:sz="0" w:space="0" w:color="auto"/>
        <w:bottom w:val="none" w:sz="0" w:space="0" w:color="auto"/>
        <w:right w:val="none" w:sz="0" w:space="0" w:color="auto"/>
      </w:divBdr>
    </w:div>
    <w:div w:id="801727061">
      <w:bodyDiv w:val="1"/>
      <w:marLeft w:val="0"/>
      <w:marRight w:val="0"/>
      <w:marTop w:val="0"/>
      <w:marBottom w:val="0"/>
      <w:divBdr>
        <w:top w:val="none" w:sz="0" w:space="0" w:color="auto"/>
        <w:left w:val="none" w:sz="0" w:space="0" w:color="auto"/>
        <w:bottom w:val="none" w:sz="0" w:space="0" w:color="auto"/>
        <w:right w:val="none" w:sz="0" w:space="0" w:color="auto"/>
      </w:divBdr>
    </w:div>
    <w:div w:id="803038997">
      <w:bodyDiv w:val="1"/>
      <w:marLeft w:val="0"/>
      <w:marRight w:val="0"/>
      <w:marTop w:val="0"/>
      <w:marBottom w:val="0"/>
      <w:divBdr>
        <w:top w:val="none" w:sz="0" w:space="0" w:color="auto"/>
        <w:left w:val="none" w:sz="0" w:space="0" w:color="auto"/>
        <w:bottom w:val="none" w:sz="0" w:space="0" w:color="auto"/>
        <w:right w:val="none" w:sz="0" w:space="0" w:color="auto"/>
      </w:divBdr>
    </w:div>
    <w:div w:id="805662238">
      <w:bodyDiv w:val="1"/>
      <w:marLeft w:val="0"/>
      <w:marRight w:val="0"/>
      <w:marTop w:val="0"/>
      <w:marBottom w:val="0"/>
      <w:divBdr>
        <w:top w:val="none" w:sz="0" w:space="0" w:color="auto"/>
        <w:left w:val="none" w:sz="0" w:space="0" w:color="auto"/>
        <w:bottom w:val="none" w:sz="0" w:space="0" w:color="auto"/>
        <w:right w:val="none" w:sz="0" w:space="0" w:color="auto"/>
      </w:divBdr>
    </w:div>
    <w:div w:id="805896582">
      <w:bodyDiv w:val="1"/>
      <w:marLeft w:val="0"/>
      <w:marRight w:val="0"/>
      <w:marTop w:val="0"/>
      <w:marBottom w:val="0"/>
      <w:divBdr>
        <w:top w:val="none" w:sz="0" w:space="0" w:color="auto"/>
        <w:left w:val="none" w:sz="0" w:space="0" w:color="auto"/>
        <w:bottom w:val="none" w:sz="0" w:space="0" w:color="auto"/>
        <w:right w:val="none" w:sz="0" w:space="0" w:color="auto"/>
      </w:divBdr>
    </w:div>
    <w:div w:id="807866653">
      <w:bodyDiv w:val="1"/>
      <w:marLeft w:val="0"/>
      <w:marRight w:val="0"/>
      <w:marTop w:val="0"/>
      <w:marBottom w:val="0"/>
      <w:divBdr>
        <w:top w:val="none" w:sz="0" w:space="0" w:color="auto"/>
        <w:left w:val="none" w:sz="0" w:space="0" w:color="auto"/>
        <w:bottom w:val="none" w:sz="0" w:space="0" w:color="auto"/>
        <w:right w:val="none" w:sz="0" w:space="0" w:color="auto"/>
      </w:divBdr>
    </w:div>
    <w:div w:id="809401296">
      <w:bodyDiv w:val="1"/>
      <w:marLeft w:val="0"/>
      <w:marRight w:val="0"/>
      <w:marTop w:val="0"/>
      <w:marBottom w:val="0"/>
      <w:divBdr>
        <w:top w:val="none" w:sz="0" w:space="0" w:color="auto"/>
        <w:left w:val="none" w:sz="0" w:space="0" w:color="auto"/>
        <w:bottom w:val="none" w:sz="0" w:space="0" w:color="auto"/>
        <w:right w:val="none" w:sz="0" w:space="0" w:color="auto"/>
      </w:divBdr>
    </w:div>
    <w:div w:id="810367176">
      <w:bodyDiv w:val="1"/>
      <w:marLeft w:val="0"/>
      <w:marRight w:val="0"/>
      <w:marTop w:val="0"/>
      <w:marBottom w:val="0"/>
      <w:divBdr>
        <w:top w:val="none" w:sz="0" w:space="0" w:color="auto"/>
        <w:left w:val="none" w:sz="0" w:space="0" w:color="auto"/>
        <w:bottom w:val="none" w:sz="0" w:space="0" w:color="auto"/>
        <w:right w:val="none" w:sz="0" w:space="0" w:color="auto"/>
      </w:divBdr>
    </w:div>
    <w:div w:id="816461122">
      <w:bodyDiv w:val="1"/>
      <w:marLeft w:val="0"/>
      <w:marRight w:val="0"/>
      <w:marTop w:val="0"/>
      <w:marBottom w:val="0"/>
      <w:divBdr>
        <w:top w:val="none" w:sz="0" w:space="0" w:color="auto"/>
        <w:left w:val="none" w:sz="0" w:space="0" w:color="auto"/>
        <w:bottom w:val="none" w:sz="0" w:space="0" w:color="auto"/>
        <w:right w:val="none" w:sz="0" w:space="0" w:color="auto"/>
      </w:divBdr>
    </w:div>
    <w:div w:id="816532164">
      <w:bodyDiv w:val="1"/>
      <w:marLeft w:val="0"/>
      <w:marRight w:val="0"/>
      <w:marTop w:val="0"/>
      <w:marBottom w:val="0"/>
      <w:divBdr>
        <w:top w:val="none" w:sz="0" w:space="0" w:color="auto"/>
        <w:left w:val="none" w:sz="0" w:space="0" w:color="auto"/>
        <w:bottom w:val="none" w:sz="0" w:space="0" w:color="auto"/>
        <w:right w:val="none" w:sz="0" w:space="0" w:color="auto"/>
      </w:divBdr>
    </w:div>
    <w:div w:id="818032197">
      <w:bodyDiv w:val="1"/>
      <w:marLeft w:val="0"/>
      <w:marRight w:val="0"/>
      <w:marTop w:val="0"/>
      <w:marBottom w:val="0"/>
      <w:divBdr>
        <w:top w:val="none" w:sz="0" w:space="0" w:color="auto"/>
        <w:left w:val="none" w:sz="0" w:space="0" w:color="auto"/>
        <w:bottom w:val="none" w:sz="0" w:space="0" w:color="auto"/>
        <w:right w:val="none" w:sz="0" w:space="0" w:color="auto"/>
      </w:divBdr>
    </w:div>
    <w:div w:id="829906601">
      <w:bodyDiv w:val="1"/>
      <w:marLeft w:val="0"/>
      <w:marRight w:val="0"/>
      <w:marTop w:val="0"/>
      <w:marBottom w:val="0"/>
      <w:divBdr>
        <w:top w:val="none" w:sz="0" w:space="0" w:color="auto"/>
        <w:left w:val="none" w:sz="0" w:space="0" w:color="auto"/>
        <w:bottom w:val="none" w:sz="0" w:space="0" w:color="auto"/>
        <w:right w:val="none" w:sz="0" w:space="0" w:color="auto"/>
      </w:divBdr>
    </w:div>
    <w:div w:id="831138572">
      <w:bodyDiv w:val="1"/>
      <w:marLeft w:val="0"/>
      <w:marRight w:val="0"/>
      <w:marTop w:val="0"/>
      <w:marBottom w:val="0"/>
      <w:divBdr>
        <w:top w:val="none" w:sz="0" w:space="0" w:color="auto"/>
        <w:left w:val="none" w:sz="0" w:space="0" w:color="auto"/>
        <w:bottom w:val="none" w:sz="0" w:space="0" w:color="auto"/>
        <w:right w:val="none" w:sz="0" w:space="0" w:color="auto"/>
      </w:divBdr>
    </w:div>
    <w:div w:id="832257331">
      <w:bodyDiv w:val="1"/>
      <w:marLeft w:val="0"/>
      <w:marRight w:val="0"/>
      <w:marTop w:val="0"/>
      <w:marBottom w:val="0"/>
      <w:divBdr>
        <w:top w:val="none" w:sz="0" w:space="0" w:color="auto"/>
        <w:left w:val="none" w:sz="0" w:space="0" w:color="auto"/>
        <w:bottom w:val="none" w:sz="0" w:space="0" w:color="auto"/>
        <w:right w:val="none" w:sz="0" w:space="0" w:color="auto"/>
      </w:divBdr>
    </w:div>
    <w:div w:id="834417572">
      <w:bodyDiv w:val="1"/>
      <w:marLeft w:val="0"/>
      <w:marRight w:val="0"/>
      <w:marTop w:val="0"/>
      <w:marBottom w:val="0"/>
      <w:divBdr>
        <w:top w:val="none" w:sz="0" w:space="0" w:color="auto"/>
        <w:left w:val="none" w:sz="0" w:space="0" w:color="auto"/>
        <w:bottom w:val="none" w:sz="0" w:space="0" w:color="auto"/>
        <w:right w:val="none" w:sz="0" w:space="0" w:color="auto"/>
      </w:divBdr>
    </w:div>
    <w:div w:id="836118944">
      <w:bodyDiv w:val="1"/>
      <w:marLeft w:val="0"/>
      <w:marRight w:val="0"/>
      <w:marTop w:val="0"/>
      <w:marBottom w:val="0"/>
      <w:divBdr>
        <w:top w:val="none" w:sz="0" w:space="0" w:color="auto"/>
        <w:left w:val="none" w:sz="0" w:space="0" w:color="auto"/>
        <w:bottom w:val="none" w:sz="0" w:space="0" w:color="auto"/>
        <w:right w:val="none" w:sz="0" w:space="0" w:color="auto"/>
      </w:divBdr>
    </w:div>
    <w:div w:id="839933679">
      <w:bodyDiv w:val="1"/>
      <w:marLeft w:val="0"/>
      <w:marRight w:val="0"/>
      <w:marTop w:val="0"/>
      <w:marBottom w:val="0"/>
      <w:divBdr>
        <w:top w:val="none" w:sz="0" w:space="0" w:color="auto"/>
        <w:left w:val="none" w:sz="0" w:space="0" w:color="auto"/>
        <w:bottom w:val="none" w:sz="0" w:space="0" w:color="auto"/>
        <w:right w:val="none" w:sz="0" w:space="0" w:color="auto"/>
      </w:divBdr>
    </w:div>
    <w:div w:id="841579223">
      <w:bodyDiv w:val="1"/>
      <w:marLeft w:val="0"/>
      <w:marRight w:val="0"/>
      <w:marTop w:val="0"/>
      <w:marBottom w:val="0"/>
      <w:divBdr>
        <w:top w:val="none" w:sz="0" w:space="0" w:color="auto"/>
        <w:left w:val="none" w:sz="0" w:space="0" w:color="auto"/>
        <w:bottom w:val="none" w:sz="0" w:space="0" w:color="auto"/>
        <w:right w:val="none" w:sz="0" w:space="0" w:color="auto"/>
      </w:divBdr>
    </w:div>
    <w:div w:id="843251867">
      <w:bodyDiv w:val="1"/>
      <w:marLeft w:val="0"/>
      <w:marRight w:val="0"/>
      <w:marTop w:val="0"/>
      <w:marBottom w:val="0"/>
      <w:divBdr>
        <w:top w:val="none" w:sz="0" w:space="0" w:color="auto"/>
        <w:left w:val="none" w:sz="0" w:space="0" w:color="auto"/>
        <w:bottom w:val="none" w:sz="0" w:space="0" w:color="auto"/>
        <w:right w:val="none" w:sz="0" w:space="0" w:color="auto"/>
      </w:divBdr>
    </w:div>
    <w:div w:id="843473006">
      <w:bodyDiv w:val="1"/>
      <w:marLeft w:val="0"/>
      <w:marRight w:val="0"/>
      <w:marTop w:val="0"/>
      <w:marBottom w:val="0"/>
      <w:divBdr>
        <w:top w:val="none" w:sz="0" w:space="0" w:color="auto"/>
        <w:left w:val="none" w:sz="0" w:space="0" w:color="auto"/>
        <w:bottom w:val="none" w:sz="0" w:space="0" w:color="auto"/>
        <w:right w:val="none" w:sz="0" w:space="0" w:color="auto"/>
      </w:divBdr>
    </w:div>
    <w:div w:id="843713298">
      <w:bodyDiv w:val="1"/>
      <w:marLeft w:val="0"/>
      <w:marRight w:val="0"/>
      <w:marTop w:val="0"/>
      <w:marBottom w:val="0"/>
      <w:divBdr>
        <w:top w:val="none" w:sz="0" w:space="0" w:color="auto"/>
        <w:left w:val="none" w:sz="0" w:space="0" w:color="auto"/>
        <w:bottom w:val="none" w:sz="0" w:space="0" w:color="auto"/>
        <w:right w:val="none" w:sz="0" w:space="0" w:color="auto"/>
      </w:divBdr>
    </w:div>
    <w:div w:id="845823519">
      <w:bodyDiv w:val="1"/>
      <w:marLeft w:val="0"/>
      <w:marRight w:val="0"/>
      <w:marTop w:val="0"/>
      <w:marBottom w:val="0"/>
      <w:divBdr>
        <w:top w:val="none" w:sz="0" w:space="0" w:color="auto"/>
        <w:left w:val="none" w:sz="0" w:space="0" w:color="auto"/>
        <w:bottom w:val="none" w:sz="0" w:space="0" w:color="auto"/>
        <w:right w:val="none" w:sz="0" w:space="0" w:color="auto"/>
      </w:divBdr>
    </w:div>
    <w:div w:id="848451941">
      <w:bodyDiv w:val="1"/>
      <w:marLeft w:val="0"/>
      <w:marRight w:val="0"/>
      <w:marTop w:val="0"/>
      <w:marBottom w:val="0"/>
      <w:divBdr>
        <w:top w:val="none" w:sz="0" w:space="0" w:color="auto"/>
        <w:left w:val="none" w:sz="0" w:space="0" w:color="auto"/>
        <w:bottom w:val="none" w:sz="0" w:space="0" w:color="auto"/>
        <w:right w:val="none" w:sz="0" w:space="0" w:color="auto"/>
      </w:divBdr>
    </w:div>
    <w:div w:id="849566745">
      <w:bodyDiv w:val="1"/>
      <w:marLeft w:val="0"/>
      <w:marRight w:val="0"/>
      <w:marTop w:val="0"/>
      <w:marBottom w:val="0"/>
      <w:divBdr>
        <w:top w:val="none" w:sz="0" w:space="0" w:color="auto"/>
        <w:left w:val="none" w:sz="0" w:space="0" w:color="auto"/>
        <w:bottom w:val="none" w:sz="0" w:space="0" w:color="auto"/>
        <w:right w:val="none" w:sz="0" w:space="0" w:color="auto"/>
      </w:divBdr>
    </w:div>
    <w:div w:id="850723272">
      <w:bodyDiv w:val="1"/>
      <w:marLeft w:val="0"/>
      <w:marRight w:val="0"/>
      <w:marTop w:val="0"/>
      <w:marBottom w:val="0"/>
      <w:divBdr>
        <w:top w:val="none" w:sz="0" w:space="0" w:color="auto"/>
        <w:left w:val="none" w:sz="0" w:space="0" w:color="auto"/>
        <w:bottom w:val="none" w:sz="0" w:space="0" w:color="auto"/>
        <w:right w:val="none" w:sz="0" w:space="0" w:color="auto"/>
      </w:divBdr>
    </w:div>
    <w:div w:id="856044841">
      <w:bodyDiv w:val="1"/>
      <w:marLeft w:val="0"/>
      <w:marRight w:val="0"/>
      <w:marTop w:val="0"/>
      <w:marBottom w:val="0"/>
      <w:divBdr>
        <w:top w:val="none" w:sz="0" w:space="0" w:color="auto"/>
        <w:left w:val="none" w:sz="0" w:space="0" w:color="auto"/>
        <w:bottom w:val="none" w:sz="0" w:space="0" w:color="auto"/>
        <w:right w:val="none" w:sz="0" w:space="0" w:color="auto"/>
      </w:divBdr>
    </w:div>
    <w:div w:id="857306852">
      <w:bodyDiv w:val="1"/>
      <w:marLeft w:val="0"/>
      <w:marRight w:val="0"/>
      <w:marTop w:val="0"/>
      <w:marBottom w:val="0"/>
      <w:divBdr>
        <w:top w:val="none" w:sz="0" w:space="0" w:color="auto"/>
        <w:left w:val="none" w:sz="0" w:space="0" w:color="auto"/>
        <w:bottom w:val="none" w:sz="0" w:space="0" w:color="auto"/>
        <w:right w:val="none" w:sz="0" w:space="0" w:color="auto"/>
      </w:divBdr>
    </w:div>
    <w:div w:id="859392352">
      <w:bodyDiv w:val="1"/>
      <w:marLeft w:val="0"/>
      <w:marRight w:val="0"/>
      <w:marTop w:val="0"/>
      <w:marBottom w:val="0"/>
      <w:divBdr>
        <w:top w:val="none" w:sz="0" w:space="0" w:color="auto"/>
        <w:left w:val="none" w:sz="0" w:space="0" w:color="auto"/>
        <w:bottom w:val="none" w:sz="0" w:space="0" w:color="auto"/>
        <w:right w:val="none" w:sz="0" w:space="0" w:color="auto"/>
      </w:divBdr>
    </w:div>
    <w:div w:id="865019926">
      <w:bodyDiv w:val="1"/>
      <w:marLeft w:val="0"/>
      <w:marRight w:val="0"/>
      <w:marTop w:val="0"/>
      <w:marBottom w:val="0"/>
      <w:divBdr>
        <w:top w:val="none" w:sz="0" w:space="0" w:color="auto"/>
        <w:left w:val="none" w:sz="0" w:space="0" w:color="auto"/>
        <w:bottom w:val="none" w:sz="0" w:space="0" w:color="auto"/>
        <w:right w:val="none" w:sz="0" w:space="0" w:color="auto"/>
      </w:divBdr>
    </w:div>
    <w:div w:id="868489853">
      <w:bodyDiv w:val="1"/>
      <w:marLeft w:val="0"/>
      <w:marRight w:val="0"/>
      <w:marTop w:val="0"/>
      <w:marBottom w:val="0"/>
      <w:divBdr>
        <w:top w:val="none" w:sz="0" w:space="0" w:color="auto"/>
        <w:left w:val="none" w:sz="0" w:space="0" w:color="auto"/>
        <w:bottom w:val="none" w:sz="0" w:space="0" w:color="auto"/>
        <w:right w:val="none" w:sz="0" w:space="0" w:color="auto"/>
      </w:divBdr>
    </w:div>
    <w:div w:id="870412773">
      <w:bodyDiv w:val="1"/>
      <w:marLeft w:val="0"/>
      <w:marRight w:val="0"/>
      <w:marTop w:val="0"/>
      <w:marBottom w:val="0"/>
      <w:divBdr>
        <w:top w:val="none" w:sz="0" w:space="0" w:color="auto"/>
        <w:left w:val="none" w:sz="0" w:space="0" w:color="auto"/>
        <w:bottom w:val="none" w:sz="0" w:space="0" w:color="auto"/>
        <w:right w:val="none" w:sz="0" w:space="0" w:color="auto"/>
      </w:divBdr>
    </w:div>
    <w:div w:id="872691727">
      <w:bodyDiv w:val="1"/>
      <w:marLeft w:val="0"/>
      <w:marRight w:val="0"/>
      <w:marTop w:val="0"/>
      <w:marBottom w:val="0"/>
      <w:divBdr>
        <w:top w:val="none" w:sz="0" w:space="0" w:color="auto"/>
        <w:left w:val="none" w:sz="0" w:space="0" w:color="auto"/>
        <w:bottom w:val="none" w:sz="0" w:space="0" w:color="auto"/>
        <w:right w:val="none" w:sz="0" w:space="0" w:color="auto"/>
      </w:divBdr>
    </w:div>
    <w:div w:id="872696555">
      <w:bodyDiv w:val="1"/>
      <w:marLeft w:val="0"/>
      <w:marRight w:val="0"/>
      <w:marTop w:val="0"/>
      <w:marBottom w:val="0"/>
      <w:divBdr>
        <w:top w:val="none" w:sz="0" w:space="0" w:color="auto"/>
        <w:left w:val="none" w:sz="0" w:space="0" w:color="auto"/>
        <w:bottom w:val="none" w:sz="0" w:space="0" w:color="auto"/>
        <w:right w:val="none" w:sz="0" w:space="0" w:color="auto"/>
      </w:divBdr>
    </w:div>
    <w:div w:id="873495410">
      <w:bodyDiv w:val="1"/>
      <w:marLeft w:val="0"/>
      <w:marRight w:val="0"/>
      <w:marTop w:val="0"/>
      <w:marBottom w:val="0"/>
      <w:divBdr>
        <w:top w:val="none" w:sz="0" w:space="0" w:color="auto"/>
        <w:left w:val="none" w:sz="0" w:space="0" w:color="auto"/>
        <w:bottom w:val="none" w:sz="0" w:space="0" w:color="auto"/>
        <w:right w:val="none" w:sz="0" w:space="0" w:color="auto"/>
      </w:divBdr>
    </w:div>
    <w:div w:id="893350078">
      <w:bodyDiv w:val="1"/>
      <w:marLeft w:val="0"/>
      <w:marRight w:val="0"/>
      <w:marTop w:val="0"/>
      <w:marBottom w:val="0"/>
      <w:divBdr>
        <w:top w:val="none" w:sz="0" w:space="0" w:color="auto"/>
        <w:left w:val="none" w:sz="0" w:space="0" w:color="auto"/>
        <w:bottom w:val="none" w:sz="0" w:space="0" w:color="auto"/>
        <w:right w:val="none" w:sz="0" w:space="0" w:color="auto"/>
      </w:divBdr>
    </w:div>
    <w:div w:id="893463297">
      <w:bodyDiv w:val="1"/>
      <w:marLeft w:val="0"/>
      <w:marRight w:val="0"/>
      <w:marTop w:val="0"/>
      <w:marBottom w:val="0"/>
      <w:divBdr>
        <w:top w:val="none" w:sz="0" w:space="0" w:color="auto"/>
        <w:left w:val="none" w:sz="0" w:space="0" w:color="auto"/>
        <w:bottom w:val="none" w:sz="0" w:space="0" w:color="auto"/>
        <w:right w:val="none" w:sz="0" w:space="0" w:color="auto"/>
      </w:divBdr>
    </w:div>
    <w:div w:id="893739407">
      <w:bodyDiv w:val="1"/>
      <w:marLeft w:val="0"/>
      <w:marRight w:val="0"/>
      <w:marTop w:val="0"/>
      <w:marBottom w:val="0"/>
      <w:divBdr>
        <w:top w:val="none" w:sz="0" w:space="0" w:color="auto"/>
        <w:left w:val="none" w:sz="0" w:space="0" w:color="auto"/>
        <w:bottom w:val="none" w:sz="0" w:space="0" w:color="auto"/>
        <w:right w:val="none" w:sz="0" w:space="0" w:color="auto"/>
      </w:divBdr>
    </w:div>
    <w:div w:id="896860708">
      <w:bodyDiv w:val="1"/>
      <w:marLeft w:val="0"/>
      <w:marRight w:val="0"/>
      <w:marTop w:val="0"/>
      <w:marBottom w:val="0"/>
      <w:divBdr>
        <w:top w:val="none" w:sz="0" w:space="0" w:color="auto"/>
        <w:left w:val="none" w:sz="0" w:space="0" w:color="auto"/>
        <w:bottom w:val="none" w:sz="0" w:space="0" w:color="auto"/>
        <w:right w:val="none" w:sz="0" w:space="0" w:color="auto"/>
      </w:divBdr>
    </w:div>
    <w:div w:id="897285763">
      <w:bodyDiv w:val="1"/>
      <w:marLeft w:val="0"/>
      <w:marRight w:val="0"/>
      <w:marTop w:val="0"/>
      <w:marBottom w:val="0"/>
      <w:divBdr>
        <w:top w:val="none" w:sz="0" w:space="0" w:color="auto"/>
        <w:left w:val="none" w:sz="0" w:space="0" w:color="auto"/>
        <w:bottom w:val="none" w:sz="0" w:space="0" w:color="auto"/>
        <w:right w:val="none" w:sz="0" w:space="0" w:color="auto"/>
      </w:divBdr>
    </w:div>
    <w:div w:id="900402759">
      <w:bodyDiv w:val="1"/>
      <w:marLeft w:val="0"/>
      <w:marRight w:val="0"/>
      <w:marTop w:val="0"/>
      <w:marBottom w:val="0"/>
      <w:divBdr>
        <w:top w:val="none" w:sz="0" w:space="0" w:color="auto"/>
        <w:left w:val="none" w:sz="0" w:space="0" w:color="auto"/>
        <w:bottom w:val="none" w:sz="0" w:space="0" w:color="auto"/>
        <w:right w:val="none" w:sz="0" w:space="0" w:color="auto"/>
      </w:divBdr>
    </w:div>
    <w:div w:id="902714000">
      <w:bodyDiv w:val="1"/>
      <w:marLeft w:val="0"/>
      <w:marRight w:val="0"/>
      <w:marTop w:val="0"/>
      <w:marBottom w:val="0"/>
      <w:divBdr>
        <w:top w:val="none" w:sz="0" w:space="0" w:color="auto"/>
        <w:left w:val="none" w:sz="0" w:space="0" w:color="auto"/>
        <w:bottom w:val="none" w:sz="0" w:space="0" w:color="auto"/>
        <w:right w:val="none" w:sz="0" w:space="0" w:color="auto"/>
      </w:divBdr>
    </w:div>
    <w:div w:id="904293658">
      <w:bodyDiv w:val="1"/>
      <w:marLeft w:val="0"/>
      <w:marRight w:val="0"/>
      <w:marTop w:val="0"/>
      <w:marBottom w:val="0"/>
      <w:divBdr>
        <w:top w:val="none" w:sz="0" w:space="0" w:color="auto"/>
        <w:left w:val="none" w:sz="0" w:space="0" w:color="auto"/>
        <w:bottom w:val="none" w:sz="0" w:space="0" w:color="auto"/>
        <w:right w:val="none" w:sz="0" w:space="0" w:color="auto"/>
      </w:divBdr>
    </w:div>
    <w:div w:id="905533138">
      <w:bodyDiv w:val="1"/>
      <w:marLeft w:val="0"/>
      <w:marRight w:val="0"/>
      <w:marTop w:val="0"/>
      <w:marBottom w:val="0"/>
      <w:divBdr>
        <w:top w:val="none" w:sz="0" w:space="0" w:color="auto"/>
        <w:left w:val="none" w:sz="0" w:space="0" w:color="auto"/>
        <w:bottom w:val="none" w:sz="0" w:space="0" w:color="auto"/>
        <w:right w:val="none" w:sz="0" w:space="0" w:color="auto"/>
      </w:divBdr>
    </w:div>
    <w:div w:id="905727968">
      <w:bodyDiv w:val="1"/>
      <w:marLeft w:val="0"/>
      <w:marRight w:val="0"/>
      <w:marTop w:val="0"/>
      <w:marBottom w:val="0"/>
      <w:divBdr>
        <w:top w:val="none" w:sz="0" w:space="0" w:color="auto"/>
        <w:left w:val="none" w:sz="0" w:space="0" w:color="auto"/>
        <w:bottom w:val="none" w:sz="0" w:space="0" w:color="auto"/>
        <w:right w:val="none" w:sz="0" w:space="0" w:color="auto"/>
      </w:divBdr>
    </w:div>
    <w:div w:id="906305554">
      <w:bodyDiv w:val="1"/>
      <w:marLeft w:val="0"/>
      <w:marRight w:val="0"/>
      <w:marTop w:val="0"/>
      <w:marBottom w:val="0"/>
      <w:divBdr>
        <w:top w:val="none" w:sz="0" w:space="0" w:color="auto"/>
        <w:left w:val="none" w:sz="0" w:space="0" w:color="auto"/>
        <w:bottom w:val="none" w:sz="0" w:space="0" w:color="auto"/>
        <w:right w:val="none" w:sz="0" w:space="0" w:color="auto"/>
      </w:divBdr>
    </w:div>
    <w:div w:id="910189694">
      <w:bodyDiv w:val="1"/>
      <w:marLeft w:val="0"/>
      <w:marRight w:val="0"/>
      <w:marTop w:val="0"/>
      <w:marBottom w:val="0"/>
      <w:divBdr>
        <w:top w:val="none" w:sz="0" w:space="0" w:color="auto"/>
        <w:left w:val="none" w:sz="0" w:space="0" w:color="auto"/>
        <w:bottom w:val="none" w:sz="0" w:space="0" w:color="auto"/>
        <w:right w:val="none" w:sz="0" w:space="0" w:color="auto"/>
      </w:divBdr>
    </w:div>
    <w:div w:id="910966323">
      <w:bodyDiv w:val="1"/>
      <w:marLeft w:val="0"/>
      <w:marRight w:val="0"/>
      <w:marTop w:val="0"/>
      <w:marBottom w:val="0"/>
      <w:divBdr>
        <w:top w:val="none" w:sz="0" w:space="0" w:color="auto"/>
        <w:left w:val="none" w:sz="0" w:space="0" w:color="auto"/>
        <w:bottom w:val="none" w:sz="0" w:space="0" w:color="auto"/>
        <w:right w:val="none" w:sz="0" w:space="0" w:color="auto"/>
      </w:divBdr>
    </w:div>
    <w:div w:id="911234843">
      <w:bodyDiv w:val="1"/>
      <w:marLeft w:val="0"/>
      <w:marRight w:val="0"/>
      <w:marTop w:val="0"/>
      <w:marBottom w:val="0"/>
      <w:divBdr>
        <w:top w:val="none" w:sz="0" w:space="0" w:color="auto"/>
        <w:left w:val="none" w:sz="0" w:space="0" w:color="auto"/>
        <w:bottom w:val="none" w:sz="0" w:space="0" w:color="auto"/>
        <w:right w:val="none" w:sz="0" w:space="0" w:color="auto"/>
      </w:divBdr>
    </w:div>
    <w:div w:id="921061607">
      <w:bodyDiv w:val="1"/>
      <w:marLeft w:val="0"/>
      <w:marRight w:val="0"/>
      <w:marTop w:val="0"/>
      <w:marBottom w:val="0"/>
      <w:divBdr>
        <w:top w:val="none" w:sz="0" w:space="0" w:color="auto"/>
        <w:left w:val="none" w:sz="0" w:space="0" w:color="auto"/>
        <w:bottom w:val="none" w:sz="0" w:space="0" w:color="auto"/>
        <w:right w:val="none" w:sz="0" w:space="0" w:color="auto"/>
      </w:divBdr>
    </w:div>
    <w:div w:id="924067868">
      <w:bodyDiv w:val="1"/>
      <w:marLeft w:val="0"/>
      <w:marRight w:val="0"/>
      <w:marTop w:val="0"/>
      <w:marBottom w:val="0"/>
      <w:divBdr>
        <w:top w:val="none" w:sz="0" w:space="0" w:color="auto"/>
        <w:left w:val="none" w:sz="0" w:space="0" w:color="auto"/>
        <w:bottom w:val="none" w:sz="0" w:space="0" w:color="auto"/>
        <w:right w:val="none" w:sz="0" w:space="0" w:color="auto"/>
      </w:divBdr>
    </w:div>
    <w:div w:id="927468166">
      <w:bodyDiv w:val="1"/>
      <w:marLeft w:val="0"/>
      <w:marRight w:val="0"/>
      <w:marTop w:val="0"/>
      <w:marBottom w:val="0"/>
      <w:divBdr>
        <w:top w:val="none" w:sz="0" w:space="0" w:color="auto"/>
        <w:left w:val="none" w:sz="0" w:space="0" w:color="auto"/>
        <w:bottom w:val="none" w:sz="0" w:space="0" w:color="auto"/>
        <w:right w:val="none" w:sz="0" w:space="0" w:color="auto"/>
      </w:divBdr>
    </w:div>
    <w:div w:id="940913710">
      <w:bodyDiv w:val="1"/>
      <w:marLeft w:val="0"/>
      <w:marRight w:val="0"/>
      <w:marTop w:val="0"/>
      <w:marBottom w:val="0"/>
      <w:divBdr>
        <w:top w:val="none" w:sz="0" w:space="0" w:color="auto"/>
        <w:left w:val="none" w:sz="0" w:space="0" w:color="auto"/>
        <w:bottom w:val="none" w:sz="0" w:space="0" w:color="auto"/>
        <w:right w:val="none" w:sz="0" w:space="0" w:color="auto"/>
      </w:divBdr>
    </w:div>
    <w:div w:id="941839896">
      <w:bodyDiv w:val="1"/>
      <w:marLeft w:val="0"/>
      <w:marRight w:val="0"/>
      <w:marTop w:val="0"/>
      <w:marBottom w:val="0"/>
      <w:divBdr>
        <w:top w:val="none" w:sz="0" w:space="0" w:color="auto"/>
        <w:left w:val="none" w:sz="0" w:space="0" w:color="auto"/>
        <w:bottom w:val="none" w:sz="0" w:space="0" w:color="auto"/>
        <w:right w:val="none" w:sz="0" w:space="0" w:color="auto"/>
      </w:divBdr>
    </w:div>
    <w:div w:id="942080316">
      <w:bodyDiv w:val="1"/>
      <w:marLeft w:val="0"/>
      <w:marRight w:val="0"/>
      <w:marTop w:val="0"/>
      <w:marBottom w:val="0"/>
      <w:divBdr>
        <w:top w:val="none" w:sz="0" w:space="0" w:color="auto"/>
        <w:left w:val="none" w:sz="0" w:space="0" w:color="auto"/>
        <w:bottom w:val="none" w:sz="0" w:space="0" w:color="auto"/>
        <w:right w:val="none" w:sz="0" w:space="0" w:color="auto"/>
      </w:divBdr>
    </w:div>
    <w:div w:id="942224690">
      <w:bodyDiv w:val="1"/>
      <w:marLeft w:val="0"/>
      <w:marRight w:val="0"/>
      <w:marTop w:val="0"/>
      <w:marBottom w:val="0"/>
      <w:divBdr>
        <w:top w:val="none" w:sz="0" w:space="0" w:color="auto"/>
        <w:left w:val="none" w:sz="0" w:space="0" w:color="auto"/>
        <w:bottom w:val="none" w:sz="0" w:space="0" w:color="auto"/>
        <w:right w:val="none" w:sz="0" w:space="0" w:color="auto"/>
      </w:divBdr>
    </w:div>
    <w:div w:id="943268391">
      <w:bodyDiv w:val="1"/>
      <w:marLeft w:val="0"/>
      <w:marRight w:val="0"/>
      <w:marTop w:val="0"/>
      <w:marBottom w:val="0"/>
      <w:divBdr>
        <w:top w:val="none" w:sz="0" w:space="0" w:color="auto"/>
        <w:left w:val="none" w:sz="0" w:space="0" w:color="auto"/>
        <w:bottom w:val="none" w:sz="0" w:space="0" w:color="auto"/>
        <w:right w:val="none" w:sz="0" w:space="0" w:color="auto"/>
      </w:divBdr>
    </w:div>
    <w:div w:id="944187614">
      <w:bodyDiv w:val="1"/>
      <w:marLeft w:val="0"/>
      <w:marRight w:val="0"/>
      <w:marTop w:val="0"/>
      <w:marBottom w:val="0"/>
      <w:divBdr>
        <w:top w:val="none" w:sz="0" w:space="0" w:color="auto"/>
        <w:left w:val="none" w:sz="0" w:space="0" w:color="auto"/>
        <w:bottom w:val="none" w:sz="0" w:space="0" w:color="auto"/>
        <w:right w:val="none" w:sz="0" w:space="0" w:color="auto"/>
      </w:divBdr>
    </w:div>
    <w:div w:id="951403358">
      <w:bodyDiv w:val="1"/>
      <w:marLeft w:val="0"/>
      <w:marRight w:val="0"/>
      <w:marTop w:val="0"/>
      <w:marBottom w:val="0"/>
      <w:divBdr>
        <w:top w:val="none" w:sz="0" w:space="0" w:color="auto"/>
        <w:left w:val="none" w:sz="0" w:space="0" w:color="auto"/>
        <w:bottom w:val="none" w:sz="0" w:space="0" w:color="auto"/>
        <w:right w:val="none" w:sz="0" w:space="0" w:color="auto"/>
      </w:divBdr>
    </w:div>
    <w:div w:id="964193362">
      <w:bodyDiv w:val="1"/>
      <w:marLeft w:val="0"/>
      <w:marRight w:val="0"/>
      <w:marTop w:val="0"/>
      <w:marBottom w:val="0"/>
      <w:divBdr>
        <w:top w:val="none" w:sz="0" w:space="0" w:color="auto"/>
        <w:left w:val="none" w:sz="0" w:space="0" w:color="auto"/>
        <w:bottom w:val="none" w:sz="0" w:space="0" w:color="auto"/>
        <w:right w:val="none" w:sz="0" w:space="0" w:color="auto"/>
      </w:divBdr>
    </w:div>
    <w:div w:id="964578381">
      <w:bodyDiv w:val="1"/>
      <w:marLeft w:val="0"/>
      <w:marRight w:val="0"/>
      <w:marTop w:val="0"/>
      <w:marBottom w:val="0"/>
      <w:divBdr>
        <w:top w:val="none" w:sz="0" w:space="0" w:color="auto"/>
        <w:left w:val="none" w:sz="0" w:space="0" w:color="auto"/>
        <w:bottom w:val="none" w:sz="0" w:space="0" w:color="auto"/>
        <w:right w:val="none" w:sz="0" w:space="0" w:color="auto"/>
      </w:divBdr>
    </w:div>
    <w:div w:id="965820310">
      <w:bodyDiv w:val="1"/>
      <w:marLeft w:val="0"/>
      <w:marRight w:val="0"/>
      <w:marTop w:val="0"/>
      <w:marBottom w:val="0"/>
      <w:divBdr>
        <w:top w:val="none" w:sz="0" w:space="0" w:color="auto"/>
        <w:left w:val="none" w:sz="0" w:space="0" w:color="auto"/>
        <w:bottom w:val="none" w:sz="0" w:space="0" w:color="auto"/>
        <w:right w:val="none" w:sz="0" w:space="0" w:color="auto"/>
      </w:divBdr>
    </w:div>
    <w:div w:id="967978943">
      <w:bodyDiv w:val="1"/>
      <w:marLeft w:val="0"/>
      <w:marRight w:val="0"/>
      <w:marTop w:val="0"/>
      <w:marBottom w:val="0"/>
      <w:divBdr>
        <w:top w:val="none" w:sz="0" w:space="0" w:color="auto"/>
        <w:left w:val="none" w:sz="0" w:space="0" w:color="auto"/>
        <w:bottom w:val="none" w:sz="0" w:space="0" w:color="auto"/>
        <w:right w:val="none" w:sz="0" w:space="0" w:color="auto"/>
      </w:divBdr>
    </w:div>
    <w:div w:id="970986498">
      <w:bodyDiv w:val="1"/>
      <w:marLeft w:val="0"/>
      <w:marRight w:val="0"/>
      <w:marTop w:val="0"/>
      <w:marBottom w:val="0"/>
      <w:divBdr>
        <w:top w:val="none" w:sz="0" w:space="0" w:color="auto"/>
        <w:left w:val="none" w:sz="0" w:space="0" w:color="auto"/>
        <w:bottom w:val="none" w:sz="0" w:space="0" w:color="auto"/>
        <w:right w:val="none" w:sz="0" w:space="0" w:color="auto"/>
      </w:divBdr>
    </w:div>
    <w:div w:id="973752442">
      <w:bodyDiv w:val="1"/>
      <w:marLeft w:val="0"/>
      <w:marRight w:val="0"/>
      <w:marTop w:val="0"/>
      <w:marBottom w:val="0"/>
      <w:divBdr>
        <w:top w:val="none" w:sz="0" w:space="0" w:color="auto"/>
        <w:left w:val="none" w:sz="0" w:space="0" w:color="auto"/>
        <w:bottom w:val="none" w:sz="0" w:space="0" w:color="auto"/>
        <w:right w:val="none" w:sz="0" w:space="0" w:color="auto"/>
      </w:divBdr>
    </w:div>
    <w:div w:id="973944185">
      <w:bodyDiv w:val="1"/>
      <w:marLeft w:val="0"/>
      <w:marRight w:val="0"/>
      <w:marTop w:val="0"/>
      <w:marBottom w:val="0"/>
      <w:divBdr>
        <w:top w:val="none" w:sz="0" w:space="0" w:color="auto"/>
        <w:left w:val="none" w:sz="0" w:space="0" w:color="auto"/>
        <w:bottom w:val="none" w:sz="0" w:space="0" w:color="auto"/>
        <w:right w:val="none" w:sz="0" w:space="0" w:color="auto"/>
      </w:divBdr>
    </w:div>
    <w:div w:id="977418875">
      <w:bodyDiv w:val="1"/>
      <w:marLeft w:val="0"/>
      <w:marRight w:val="0"/>
      <w:marTop w:val="0"/>
      <w:marBottom w:val="0"/>
      <w:divBdr>
        <w:top w:val="none" w:sz="0" w:space="0" w:color="auto"/>
        <w:left w:val="none" w:sz="0" w:space="0" w:color="auto"/>
        <w:bottom w:val="none" w:sz="0" w:space="0" w:color="auto"/>
        <w:right w:val="none" w:sz="0" w:space="0" w:color="auto"/>
      </w:divBdr>
    </w:div>
    <w:div w:id="981009474">
      <w:bodyDiv w:val="1"/>
      <w:marLeft w:val="0"/>
      <w:marRight w:val="0"/>
      <w:marTop w:val="0"/>
      <w:marBottom w:val="0"/>
      <w:divBdr>
        <w:top w:val="none" w:sz="0" w:space="0" w:color="auto"/>
        <w:left w:val="none" w:sz="0" w:space="0" w:color="auto"/>
        <w:bottom w:val="none" w:sz="0" w:space="0" w:color="auto"/>
        <w:right w:val="none" w:sz="0" w:space="0" w:color="auto"/>
      </w:divBdr>
    </w:div>
    <w:div w:id="981231759">
      <w:bodyDiv w:val="1"/>
      <w:marLeft w:val="0"/>
      <w:marRight w:val="0"/>
      <w:marTop w:val="0"/>
      <w:marBottom w:val="0"/>
      <w:divBdr>
        <w:top w:val="none" w:sz="0" w:space="0" w:color="auto"/>
        <w:left w:val="none" w:sz="0" w:space="0" w:color="auto"/>
        <w:bottom w:val="none" w:sz="0" w:space="0" w:color="auto"/>
        <w:right w:val="none" w:sz="0" w:space="0" w:color="auto"/>
      </w:divBdr>
    </w:div>
    <w:div w:id="985548817">
      <w:bodyDiv w:val="1"/>
      <w:marLeft w:val="0"/>
      <w:marRight w:val="0"/>
      <w:marTop w:val="0"/>
      <w:marBottom w:val="0"/>
      <w:divBdr>
        <w:top w:val="none" w:sz="0" w:space="0" w:color="auto"/>
        <w:left w:val="none" w:sz="0" w:space="0" w:color="auto"/>
        <w:bottom w:val="none" w:sz="0" w:space="0" w:color="auto"/>
        <w:right w:val="none" w:sz="0" w:space="0" w:color="auto"/>
      </w:divBdr>
    </w:div>
    <w:div w:id="986470908">
      <w:bodyDiv w:val="1"/>
      <w:marLeft w:val="0"/>
      <w:marRight w:val="0"/>
      <w:marTop w:val="0"/>
      <w:marBottom w:val="0"/>
      <w:divBdr>
        <w:top w:val="none" w:sz="0" w:space="0" w:color="auto"/>
        <w:left w:val="none" w:sz="0" w:space="0" w:color="auto"/>
        <w:bottom w:val="none" w:sz="0" w:space="0" w:color="auto"/>
        <w:right w:val="none" w:sz="0" w:space="0" w:color="auto"/>
      </w:divBdr>
    </w:div>
    <w:div w:id="992372457">
      <w:bodyDiv w:val="1"/>
      <w:marLeft w:val="0"/>
      <w:marRight w:val="0"/>
      <w:marTop w:val="0"/>
      <w:marBottom w:val="0"/>
      <w:divBdr>
        <w:top w:val="none" w:sz="0" w:space="0" w:color="auto"/>
        <w:left w:val="none" w:sz="0" w:space="0" w:color="auto"/>
        <w:bottom w:val="none" w:sz="0" w:space="0" w:color="auto"/>
        <w:right w:val="none" w:sz="0" w:space="0" w:color="auto"/>
      </w:divBdr>
    </w:div>
    <w:div w:id="993677351">
      <w:bodyDiv w:val="1"/>
      <w:marLeft w:val="0"/>
      <w:marRight w:val="0"/>
      <w:marTop w:val="0"/>
      <w:marBottom w:val="0"/>
      <w:divBdr>
        <w:top w:val="none" w:sz="0" w:space="0" w:color="auto"/>
        <w:left w:val="none" w:sz="0" w:space="0" w:color="auto"/>
        <w:bottom w:val="none" w:sz="0" w:space="0" w:color="auto"/>
        <w:right w:val="none" w:sz="0" w:space="0" w:color="auto"/>
      </w:divBdr>
    </w:div>
    <w:div w:id="998270447">
      <w:bodyDiv w:val="1"/>
      <w:marLeft w:val="0"/>
      <w:marRight w:val="0"/>
      <w:marTop w:val="0"/>
      <w:marBottom w:val="0"/>
      <w:divBdr>
        <w:top w:val="none" w:sz="0" w:space="0" w:color="auto"/>
        <w:left w:val="none" w:sz="0" w:space="0" w:color="auto"/>
        <w:bottom w:val="none" w:sz="0" w:space="0" w:color="auto"/>
        <w:right w:val="none" w:sz="0" w:space="0" w:color="auto"/>
      </w:divBdr>
    </w:div>
    <w:div w:id="998582986">
      <w:bodyDiv w:val="1"/>
      <w:marLeft w:val="0"/>
      <w:marRight w:val="0"/>
      <w:marTop w:val="0"/>
      <w:marBottom w:val="0"/>
      <w:divBdr>
        <w:top w:val="none" w:sz="0" w:space="0" w:color="auto"/>
        <w:left w:val="none" w:sz="0" w:space="0" w:color="auto"/>
        <w:bottom w:val="none" w:sz="0" w:space="0" w:color="auto"/>
        <w:right w:val="none" w:sz="0" w:space="0" w:color="auto"/>
      </w:divBdr>
    </w:div>
    <w:div w:id="999043261">
      <w:bodyDiv w:val="1"/>
      <w:marLeft w:val="0"/>
      <w:marRight w:val="0"/>
      <w:marTop w:val="0"/>
      <w:marBottom w:val="0"/>
      <w:divBdr>
        <w:top w:val="none" w:sz="0" w:space="0" w:color="auto"/>
        <w:left w:val="none" w:sz="0" w:space="0" w:color="auto"/>
        <w:bottom w:val="none" w:sz="0" w:space="0" w:color="auto"/>
        <w:right w:val="none" w:sz="0" w:space="0" w:color="auto"/>
      </w:divBdr>
    </w:div>
    <w:div w:id="1002196889">
      <w:bodyDiv w:val="1"/>
      <w:marLeft w:val="0"/>
      <w:marRight w:val="0"/>
      <w:marTop w:val="0"/>
      <w:marBottom w:val="0"/>
      <w:divBdr>
        <w:top w:val="none" w:sz="0" w:space="0" w:color="auto"/>
        <w:left w:val="none" w:sz="0" w:space="0" w:color="auto"/>
        <w:bottom w:val="none" w:sz="0" w:space="0" w:color="auto"/>
        <w:right w:val="none" w:sz="0" w:space="0" w:color="auto"/>
      </w:divBdr>
    </w:div>
    <w:div w:id="1005014424">
      <w:bodyDiv w:val="1"/>
      <w:marLeft w:val="0"/>
      <w:marRight w:val="0"/>
      <w:marTop w:val="0"/>
      <w:marBottom w:val="0"/>
      <w:divBdr>
        <w:top w:val="none" w:sz="0" w:space="0" w:color="auto"/>
        <w:left w:val="none" w:sz="0" w:space="0" w:color="auto"/>
        <w:bottom w:val="none" w:sz="0" w:space="0" w:color="auto"/>
        <w:right w:val="none" w:sz="0" w:space="0" w:color="auto"/>
      </w:divBdr>
    </w:div>
    <w:div w:id="1009717120">
      <w:bodyDiv w:val="1"/>
      <w:marLeft w:val="0"/>
      <w:marRight w:val="0"/>
      <w:marTop w:val="0"/>
      <w:marBottom w:val="0"/>
      <w:divBdr>
        <w:top w:val="none" w:sz="0" w:space="0" w:color="auto"/>
        <w:left w:val="none" w:sz="0" w:space="0" w:color="auto"/>
        <w:bottom w:val="none" w:sz="0" w:space="0" w:color="auto"/>
        <w:right w:val="none" w:sz="0" w:space="0" w:color="auto"/>
      </w:divBdr>
    </w:div>
    <w:div w:id="1013337344">
      <w:bodyDiv w:val="1"/>
      <w:marLeft w:val="0"/>
      <w:marRight w:val="0"/>
      <w:marTop w:val="0"/>
      <w:marBottom w:val="0"/>
      <w:divBdr>
        <w:top w:val="none" w:sz="0" w:space="0" w:color="auto"/>
        <w:left w:val="none" w:sz="0" w:space="0" w:color="auto"/>
        <w:bottom w:val="none" w:sz="0" w:space="0" w:color="auto"/>
        <w:right w:val="none" w:sz="0" w:space="0" w:color="auto"/>
      </w:divBdr>
    </w:div>
    <w:div w:id="1017268740">
      <w:bodyDiv w:val="1"/>
      <w:marLeft w:val="0"/>
      <w:marRight w:val="0"/>
      <w:marTop w:val="0"/>
      <w:marBottom w:val="0"/>
      <w:divBdr>
        <w:top w:val="none" w:sz="0" w:space="0" w:color="auto"/>
        <w:left w:val="none" w:sz="0" w:space="0" w:color="auto"/>
        <w:bottom w:val="none" w:sz="0" w:space="0" w:color="auto"/>
        <w:right w:val="none" w:sz="0" w:space="0" w:color="auto"/>
      </w:divBdr>
    </w:div>
    <w:div w:id="1019428859">
      <w:bodyDiv w:val="1"/>
      <w:marLeft w:val="0"/>
      <w:marRight w:val="0"/>
      <w:marTop w:val="0"/>
      <w:marBottom w:val="0"/>
      <w:divBdr>
        <w:top w:val="none" w:sz="0" w:space="0" w:color="auto"/>
        <w:left w:val="none" w:sz="0" w:space="0" w:color="auto"/>
        <w:bottom w:val="none" w:sz="0" w:space="0" w:color="auto"/>
        <w:right w:val="none" w:sz="0" w:space="0" w:color="auto"/>
      </w:divBdr>
    </w:div>
    <w:div w:id="1022197129">
      <w:bodyDiv w:val="1"/>
      <w:marLeft w:val="0"/>
      <w:marRight w:val="0"/>
      <w:marTop w:val="0"/>
      <w:marBottom w:val="0"/>
      <w:divBdr>
        <w:top w:val="none" w:sz="0" w:space="0" w:color="auto"/>
        <w:left w:val="none" w:sz="0" w:space="0" w:color="auto"/>
        <w:bottom w:val="none" w:sz="0" w:space="0" w:color="auto"/>
        <w:right w:val="none" w:sz="0" w:space="0" w:color="auto"/>
      </w:divBdr>
    </w:div>
    <w:div w:id="1025643292">
      <w:bodyDiv w:val="1"/>
      <w:marLeft w:val="0"/>
      <w:marRight w:val="0"/>
      <w:marTop w:val="0"/>
      <w:marBottom w:val="0"/>
      <w:divBdr>
        <w:top w:val="none" w:sz="0" w:space="0" w:color="auto"/>
        <w:left w:val="none" w:sz="0" w:space="0" w:color="auto"/>
        <w:bottom w:val="none" w:sz="0" w:space="0" w:color="auto"/>
        <w:right w:val="none" w:sz="0" w:space="0" w:color="auto"/>
      </w:divBdr>
    </w:div>
    <w:div w:id="1033573237">
      <w:bodyDiv w:val="1"/>
      <w:marLeft w:val="0"/>
      <w:marRight w:val="0"/>
      <w:marTop w:val="0"/>
      <w:marBottom w:val="0"/>
      <w:divBdr>
        <w:top w:val="none" w:sz="0" w:space="0" w:color="auto"/>
        <w:left w:val="none" w:sz="0" w:space="0" w:color="auto"/>
        <w:bottom w:val="none" w:sz="0" w:space="0" w:color="auto"/>
        <w:right w:val="none" w:sz="0" w:space="0" w:color="auto"/>
      </w:divBdr>
    </w:div>
    <w:div w:id="1033654311">
      <w:bodyDiv w:val="1"/>
      <w:marLeft w:val="0"/>
      <w:marRight w:val="0"/>
      <w:marTop w:val="0"/>
      <w:marBottom w:val="0"/>
      <w:divBdr>
        <w:top w:val="none" w:sz="0" w:space="0" w:color="auto"/>
        <w:left w:val="none" w:sz="0" w:space="0" w:color="auto"/>
        <w:bottom w:val="none" w:sz="0" w:space="0" w:color="auto"/>
        <w:right w:val="none" w:sz="0" w:space="0" w:color="auto"/>
      </w:divBdr>
    </w:div>
    <w:div w:id="1036545054">
      <w:bodyDiv w:val="1"/>
      <w:marLeft w:val="0"/>
      <w:marRight w:val="0"/>
      <w:marTop w:val="0"/>
      <w:marBottom w:val="0"/>
      <w:divBdr>
        <w:top w:val="none" w:sz="0" w:space="0" w:color="auto"/>
        <w:left w:val="none" w:sz="0" w:space="0" w:color="auto"/>
        <w:bottom w:val="none" w:sz="0" w:space="0" w:color="auto"/>
        <w:right w:val="none" w:sz="0" w:space="0" w:color="auto"/>
      </w:divBdr>
    </w:div>
    <w:div w:id="1039209324">
      <w:bodyDiv w:val="1"/>
      <w:marLeft w:val="0"/>
      <w:marRight w:val="0"/>
      <w:marTop w:val="0"/>
      <w:marBottom w:val="0"/>
      <w:divBdr>
        <w:top w:val="none" w:sz="0" w:space="0" w:color="auto"/>
        <w:left w:val="none" w:sz="0" w:space="0" w:color="auto"/>
        <w:bottom w:val="none" w:sz="0" w:space="0" w:color="auto"/>
        <w:right w:val="none" w:sz="0" w:space="0" w:color="auto"/>
      </w:divBdr>
    </w:div>
    <w:div w:id="1042679042">
      <w:bodyDiv w:val="1"/>
      <w:marLeft w:val="0"/>
      <w:marRight w:val="0"/>
      <w:marTop w:val="0"/>
      <w:marBottom w:val="0"/>
      <w:divBdr>
        <w:top w:val="none" w:sz="0" w:space="0" w:color="auto"/>
        <w:left w:val="none" w:sz="0" w:space="0" w:color="auto"/>
        <w:bottom w:val="none" w:sz="0" w:space="0" w:color="auto"/>
        <w:right w:val="none" w:sz="0" w:space="0" w:color="auto"/>
      </w:divBdr>
    </w:div>
    <w:div w:id="1043334202">
      <w:bodyDiv w:val="1"/>
      <w:marLeft w:val="0"/>
      <w:marRight w:val="0"/>
      <w:marTop w:val="0"/>
      <w:marBottom w:val="0"/>
      <w:divBdr>
        <w:top w:val="none" w:sz="0" w:space="0" w:color="auto"/>
        <w:left w:val="none" w:sz="0" w:space="0" w:color="auto"/>
        <w:bottom w:val="none" w:sz="0" w:space="0" w:color="auto"/>
        <w:right w:val="none" w:sz="0" w:space="0" w:color="auto"/>
      </w:divBdr>
    </w:div>
    <w:div w:id="1056784010">
      <w:bodyDiv w:val="1"/>
      <w:marLeft w:val="0"/>
      <w:marRight w:val="0"/>
      <w:marTop w:val="0"/>
      <w:marBottom w:val="0"/>
      <w:divBdr>
        <w:top w:val="none" w:sz="0" w:space="0" w:color="auto"/>
        <w:left w:val="none" w:sz="0" w:space="0" w:color="auto"/>
        <w:bottom w:val="none" w:sz="0" w:space="0" w:color="auto"/>
        <w:right w:val="none" w:sz="0" w:space="0" w:color="auto"/>
      </w:divBdr>
    </w:div>
    <w:div w:id="1063869467">
      <w:bodyDiv w:val="1"/>
      <w:marLeft w:val="0"/>
      <w:marRight w:val="0"/>
      <w:marTop w:val="0"/>
      <w:marBottom w:val="0"/>
      <w:divBdr>
        <w:top w:val="none" w:sz="0" w:space="0" w:color="auto"/>
        <w:left w:val="none" w:sz="0" w:space="0" w:color="auto"/>
        <w:bottom w:val="none" w:sz="0" w:space="0" w:color="auto"/>
        <w:right w:val="none" w:sz="0" w:space="0" w:color="auto"/>
      </w:divBdr>
    </w:div>
    <w:div w:id="1064983318">
      <w:bodyDiv w:val="1"/>
      <w:marLeft w:val="0"/>
      <w:marRight w:val="0"/>
      <w:marTop w:val="0"/>
      <w:marBottom w:val="0"/>
      <w:divBdr>
        <w:top w:val="none" w:sz="0" w:space="0" w:color="auto"/>
        <w:left w:val="none" w:sz="0" w:space="0" w:color="auto"/>
        <w:bottom w:val="none" w:sz="0" w:space="0" w:color="auto"/>
        <w:right w:val="none" w:sz="0" w:space="0" w:color="auto"/>
      </w:divBdr>
    </w:div>
    <w:div w:id="1065639499">
      <w:bodyDiv w:val="1"/>
      <w:marLeft w:val="0"/>
      <w:marRight w:val="0"/>
      <w:marTop w:val="0"/>
      <w:marBottom w:val="0"/>
      <w:divBdr>
        <w:top w:val="none" w:sz="0" w:space="0" w:color="auto"/>
        <w:left w:val="none" w:sz="0" w:space="0" w:color="auto"/>
        <w:bottom w:val="none" w:sz="0" w:space="0" w:color="auto"/>
        <w:right w:val="none" w:sz="0" w:space="0" w:color="auto"/>
      </w:divBdr>
    </w:div>
    <w:div w:id="1069184614">
      <w:bodyDiv w:val="1"/>
      <w:marLeft w:val="0"/>
      <w:marRight w:val="0"/>
      <w:marTop w:val="0"/>
      <w:marBottom w:val="0"/>
      <w:divBdr>
        <w:top w:val="none" w:sz="0" w:space="0" w:color="auto"/>
        <w:left w:val="none" w:sz="0" w:space="0" w:color="auto"/>
        <w:bottom w:val="none" w:sz="0" w:space="0" w:color="auto"/>
        <w:right w:val="none" w:sz="0" w:space="0" w:color="auto"/>
      </w:divBdr>
    </w:div>
    <w:div w:id="1074400515">
      <w:bodyDiv w:val="1"/>
      <w:marLeft w:val="0"/>
      <w:marRight w:val="0"/>
      <w:marTop w:val="0"/>
      <w:marBottom w:val="0"/>
      <w:divBdr>
        <w:top w:val="none" w:sz="0" w:space="0" w:color="auto"/>
        <w:left w:val="none" w:sz="0" w:space="0" w:color="auto"/>
        <w:bottom w:val="none" w:sz="0" w:space="0" w:color="auto"/>
        <w:right w:val="none" w:sz="0" w:space="0" w:color="auto"/>
      </w:divBdr>
    </w:div>
    <w:div w:id="1076785912">
      <w:bodyDiv w:val="1"/>
      <w:marLeft w:val="0"/>
      <w:marRight w:val="0"/>
      <w:marTop w:val="0"/>
      <w:marBottom w:val="0"/>
      <w:divBdr>
        <w:top w:val="none" w:sz="0" w:space="0" w:color="auto"/>
        <w:left w:val="none" w:sz="0" w:space="0" w:color="auto"/>
        <w:bottom w:val="none" w:sz="0" w:space="0" w:color="auto"/>
        <w:right w:val="none" w:sz="0" w:space="0" w:color="auto"/>
      </w:divBdr>
    </w:div>
    <w:div w:id="1078552683">
      <w:bodyDiv w:val="1"/>
      <w:marLeft w:val="0"/>
      <w:marRight w:val="0"/>
      <w:marTop w:val="0"/>
      <w:marBottom w:val="0"/>
      <w:divBdr>
        <w:top w:val="none" w:sz="0" w:space="0" w:color="auto"/>
        <w:left w:val="none" w:sz="0" w:space="0" w:color="auto"/>
        <w:bottom w:val="none" w:sz="0" w:space="0" w:color="auto"/>
        <w:right w:val="none" w:sz="0" w:space="0" w:color="auto"/>
      </w:divBdr>
    </w:div>
    <w:div w:id="1082025016">
      <w:bodyDiv w:val="1"/>
      <w:marLeft w:val="0"/>
      <w:marRight w:val="0"/>
      <w:marTop w:val="0"/>
      <w:marBottom w:val="0"/>
      <w:divBdr>
        <w:top w:val="none" w:sz="0" w:space="0" w:color="auto"/>
        <w:left w:val="none" w:sz="0" w:space="0" w:color="auto"/>
        <w:bottom w:val="none" w:sz="0" w:space="0" w:color="auto"/>
        <w:right w:val="none" w:sz="0" w:space="0" w:color="auto"/>
      </w:divBdr>
    </w:div>
    <w:div w:id="1082262800">
      <w:bodyDiv w:val="1"/>
      <w:marLeft w:val="0"/>
      <w:marRight w:val="0"/>
      <w:marTop w:val="0"/>
      <w:marBottom w:val="0"/>
      <w:divBdr>
        <w:top w:val="none" w:sz="0" w:space="0" w:color="auto"/>
        <w:left w:val="none" w:sz="0" w:space="0" w:color="auto"/>
        <w:bottom w:val="none" w:sz="0" w:space="0" w:color="auto"/>
        <w:right w:val="none" w:sz="0" w:space="0" w:color="auto"/>
      </w:divBdr>
    </w:div>
    <w:div w:id="1085800917">
      <w:bodyDiv w:val="1"/>
      <w:marLeft w:val="0"/>
      <w:marRight w:val="0"/>
      <w:marTop w:val="0"/>
      <w:marBottom w:val="0"/>
      <w:divBdr>
        <w:top w:val="none" w:sz="0" w:space="0" w:color="auto"/>
        <w:left w:val="none" w:sz="0" w:space="0" w:color="auto"/>
        <w:bottom w:val="none" w:sz="0" w:space="0" w:color="auto"/>
        <w:right w:val="none" w:sz="0" w:space="0" w:color="auto"/>
      </w:divBdr>
    </w:div>
    <w:div w:id="1089691955">
      <w:bodyDiv w:val="1"/>
      <w:marLeft w:val="0"/>
      <w:marRight w:val="0"/>
      <w:marTop w:val="0"/>
      <w:marBottom w:val="0"/>
      <w:divBdr>
        <w:top w:val="none" w:sz="0" w:space="0" w:color="auto"/>
        <w:left w:val="none" w:sz="0" w:space="0" w:color="auto"/>
        <w:bottom w:val="none" w:sz="0" w:space="0" w:color="auto"/>
        <w:right w:val="none" w:sz="0" w:space="0" w:color="auto"/>
      </w:divBdr>
    </w:div>
    <w:div w:id="1092697953">
      <w:bodyDiv w:val="1"/>
      <w:marLeft w:val="0"/>
      <w:marRight w:val="0"/>
      <w:marTop w:val="0"/>
      <w:marBottom w:val="0"/>
      <w:divBdr>
        <w:top w:val="none" w:sz="0" w:space="0" w:color="auto"/>
        <w:left w:val="none" w:sz="0" w:space="0" w:color="auto"/>
        <w:bottom w:val="none" w:sz="0" w:space="0" w:color="auto"/>
        <w:right w:val="none" w:sz="0" w:space="0" w:color="auto"/>
      </w:divBdr>
    </w:div>
    <w:div w:id="1094745248">
      <w:bodyDiv w:val="1"/>
      <w:marLeft w:val="0"/>
      <w:marRight w:val="0"/>
      <w:marTop w:val="0"/>
      <w:marBottom w:val="0"/>
      <w:divBdr>
        <w:top w:val="none" w:sz="0" w:space="0" w:color="auto"/>
        <w:left w:val="none" w:sz="0" w:space="0" w:color="auto"/>
        <w:bottom w:val="none" w:sz="0" w:space="0" w:color="auto"/>
        <w:right w:val="none" w:sz="0" w:space="0" w:color="auto"/>
      </w:divBdr>
    </w:div>
    <w:div w:id="1096942590">
      <w:bodyDiv w:val="1"/>
      <w:marLeft w:val="0"/>
      <w:marRight w:val="0"/>
      <w:marTop w:val="0"/>
      <w:marBottom w:val="0"/>
      <w:divBdr>
        <w:top w:val="none" w:sz="0" w:space="0" w:color="auto"/>
        <w:left w:val="none" w:sz="0" w:space="0" w:color="auto"/>
        <w:bottom w:val="none" w:sz="0" w:space="0" w:color="auto"/>
        <w:right w:val="none" w:sz="0" w:space="0" w:color="auto"/>
      </w:divBdr>
    </w:div>
    <w:div w:id="1098411391">
      <w:bodyDiv w:val="1"/>
      <w:marLeft w:val="0"/>
      <w:marRight w:val="0"/>
      <w:marTop w:val="0"/>
      <w:marBottom w:val="0"/>
      <w:divBdr>
        <w:top w:val="none" w:sz="0" w:space="0" w:color="auto"/>
        <w:left w:val="none" w:sz="0" w:space="0" w:color="auto"/>
        <w:bottom w:val="none" w:sz="0" w:space="0" w:color="auto"/>
        <w:right w:val="none" w:sz="0" w:space="0" w:color="auto"/>
      </w:divBdr>
    </w:div>
    <w:div w:id="1098676999">
      <w:bodyDiv w:val="1"/>
      <w:marLeft w:val="0"/>
      <w:marRight w:val="0"/>
      <w:marTop w:val="0"/>
      <w:marBottom w:val="0"/>
      <w:divBdr>
        <w:top w:val="none" w:sz="0" w:space="0" w:color="auto"/>
        <w:left w:val="none" w:sz="0" w:space="0" w:color="auto"/>
        <w:bottom w:val="none" w:sz="0" w:space="0" w:color="auto"/>
        <w:right w:val="none" w:sz="0" w:space="0" w:color="auto"/>
      </w:divBdr>
    </w:div>
    <w:div w:id="1105273175">
      <w:bodyDiv w:val="1"/>
      <w:marLeft w:val="0"/>
      <w:marRight w:val="0"/>
      <w:marTop w:val="0"/>
      <w:marBottom w:val="0"/>
      <w:divBdr>
        <w:top w:val="none" w:sz="0" w:space="0" w:color="auto"/>
        <w:left w:val="none" w:sz="0" w:space="0" w:color="auto"/>
        <w:bottom w:val="none" w:sz="0" w:space="0" w:color="auto"/>
        <w:right w:val="none" w:sz="0" w:space="0" w:color="auto"/>
      </w:divBdr>
    </w:div>
    <w:div w:id="1108046166">
      <w:bodyDiv w:val="1"/>
      <w:marLeft w:val="0"/>
      <w:marRight w:val="0"/>
      <w:marTop w:val="0"/>
      <w:marBottom w:val="0"/>
      <w:divBdr>
        <w:top w:val="none" w:sz="0" w:space="0" w:color="auto"/>
        <w:left w:val="none" w:sz="0" w:space="0" w:color="auto"/>
        <w:bottom w:val="none" w:sz="0" w:space="0" w:color="auto"/>
        <w:right w:val="none" w:sz="0" w:space="0" w:color="auto"/>
      </w:divBdr>
    </w:div>
    <w:div w:id="1108429925">
      <w:bodyDiv w:val="1"/>
      <w:marLeft w:val="0"/>
      <w:marRight w:val="0"/>
      <w:marTop w:val="0"/>
      <w:marBottom w:val="0"/>
      <w:divBdr>
        <w:top w:val="none" w:sz="0" w:space="0" w:color="auto"/>
        <w:left w:val="none" w:sz="0" w:space="0" w:color="auto"/>
        <w:bottom w:val="none" w:sz="0" w:space="0" w:color="auto"/>
        <w:right w:val="none" w:sz="0" w:space="0" w:color="auto"/>
      </w:divBdr>
    </w:div>
    <w:div w:id="1108744586">
      <w:bodyDiv w:val="1"/>
      <w:marLeft w:val="0"/>
      <w:marRight w:val="0"/>
      <w:marTop w:val="0"/>
      <w:marBottom w:val="0"/>
      <w:divBdr>
        <w:top w:val="none" w:sz="0" w:space="0" w:color="auto"/>
        <w:left w:val="none" w:sz="0" w:space="0" w:color="auto"/>
        <w:bottom w:val="none" w:sz="0" w:space="0" w:color="auto"/>
        <w:right w:val="none" w:sz="0" w:space="0" w:color="auto"/>
      </w:divBdr>
    </w:div>
    <w:div w:id="1120148402">
      <w:bodyDiv w:val="1"/>
      <w:marLeft w:val="0"/>
      <w:marRight w:val="0"/>
      <w:marTop w:val="0"/>
      <w:marBottom w:val="0"/>
      <w:divBdr>
        <w:top w:val="none" w:sz="0" w:space="0" w:color="auto"/>
        <w:left w:val="none" w:sz="0" w:space="0" w:color="auto"/>
        <w:bottom w:val="none" w:sz="0" w:space="0" w:color="auto"/>
        <w:right w:val="none" w:sz="0" w:space="0" w:color="auto"/>
      </w:divBdr>
    </w:div>
    <w:div w:id="1125125238">
      <w:bodyDiv w:val="1"/>
      <w:marLeft w:val="0"/>
      <w:marRight w:val="0"/>
      <w:marTop w:val="0"/>
      <w:marBottom w:val="0"/>
      <w:divBdr>
        <w:top w:val="none" w:sz="0" w:space="0" w:color="auto"/>
        <w:left w:val="none" w:sz="0" w:space="0" w:color="auto"/>
        <w:bottom w:val="none" w:sz="0" w:space="0" w:color="auto"/>
        <w:right w:val="none" w:sz="0" w:space="0" w:color="auto"/>
      </w:divBdr>
    </w:div>
    <w:div w:id="1127775107">
      <w:bodyDiv w:val="1"/>
      <w:marLeft w:val="0"/>
      <w:marRight w:val="0"/>
      <w:marTop w:val="0"/>
      <w:marBottom w:val="0"/>
      <w:divBdr>
        <w:top w:val="none" w:sz="0" w:space="0" w:color="auto"/>
        <w:left w:val="none" w:sz="0" w:space="0" w:color="auto"/>
        <w:bottom w:val="none" w:sz="0" w:space="0" w:color="auto"/>
        <w:right w:val="none" w:sz="0" w:space="0" w:color="auto"/>
      </w:divBdr>
    </w:div>
    <w:div w:id="1133402670">
      <w:bodyDiv w:val="1"/>
      <w:marLeft w:val="0"/>
      <w:marRight w:val="0"/>
      <w:marTop w:val="0"/>
      <w:marBottom w:val="0"/>
      <w:divBdr>
        <w:top w:val="none" w:sz="0" w:space="0" w:color="auto"/>
        <w:left w:val="none" w:sz="0" w:space="0" w:color="auto"/>
        <w:bottom w:val="none" w:sz="0" w:space="0" w:color="auto"/>
        <w:right w:val="none" w:sz="0" w:space="0" w:color="auto"/>
      </w:divBdr>
    </w:div>
    <w:div w:id="1136987900">
      <w:bodyDiv w:val="1"/>
      <w:marLeft w:val="0"/>
      <w:marRight w:val="0"/>
      <w:marTop w:val="0"/>
      <w:marBottom w:val="0"/>
      <w:divBdr>
        <w:top w:val="none" w:sz="0" w:space="0" w:color="auto"/>
        <w:left w:val="none" w:sz="0" w:space="0" w:color="auto"/>
        <w:bottom w:val="none" w:sz="0" w:space="0" w:color="auto"/>
        <w:right w:val="none" w:sz="0" w:space="0" w:color="auto"/>
      </w:divBdr>
    </w:div>
    <w:div w:id="1137796376">
      <w:bodyDiv w:val="1"/>
      <w:marLeft w:val="0"/>
      <w:marRight w:val="0"/>
      <w:marTop w:val="0"/>
      <w:marBottom w:val="0"/>
      <w:divBdr>
        <w:top w:val="none" w:sz="0" w:space="0" w:color="auto"/>
        <w:left w:val="none" w:sz="0" w:space="0" w:color="auto"/>
        <w:bottom w:val="none" w:sz="0" w:space="0" w:color="auto"/>
        <w:right w:val="none" w:sz="0" w:space="0" w:color="auto"/>
      </w:divBdr>
    </w:div>
    <w:div w:id="1138257023">
      <w:bodyDiv w:val="1"/>
      <w:marLeft w:val="0"/>
      <w:marRight w:val="0"/>
      <w:marTop w:val="0"/>
      <w:marBottom w:val="0"/>
      <w:divBdr>
        <w:top w:val="none" w:sz="0" w:space="0" w:color="auto"/>
        <w:left w:val="none" w:sz="0" w:space="0" w:color="auto"/>
        <w:bottom w:val="none" w:sz="0" w:space="0" w:color="auto"/>
        <w:right w:val="none" w:sz="0" w:space="0" w:color="auto"/>
      </w:divBdr>
    </w:div>
    <w:div w:id="1142432213">
      <w:bodyDiv w:val="1"/>
      <w:marLeft w:val="0"/>
      <w:marRight w:val="0"/>
      <w:marTop w:val="0"/>
      <w:marBottom w:val="0"/>
      <w:divBdr>
        <w:top w:val="none" w:sz="0" w:space="0" w:color="auto"/>
        <w:left w:val="none" w:sz="0" w:space="0" w:color="auto"/>
        <w:bottom w:val="none" w:sz="0" w:space="0" w:color="auto"/>
        <w:right w:val="none" w:sz="0" w:space="0" w:color="auto"/>
      </w:divBdr>
    </w:div>
    <w:div w:id="1148665032">
      <w:bodyDiv w:val="1"/>
      <w:marLeft w:val="0"/>
      <w:marRight w:val="0"/>
      <w:marTop w:val="0"/>
      <w:marBottom w:val="0"/>
      <w:divBdr>
        <w:top w:val="none" w:sz="0" w:space="0" w:color="auto"/>
        <w:left w:val="none" w:sz="0" w:space="0" w:color="auto"/>
        <w:bottom w:val="none" w:sz="0" w:space="0" w:color="auto"/>
        <w:right w:val="none" w:sz="0" w:space="0" w:color="auto"/>
      </w:divBdr>
    </w:div>
    <w:div w:id="1151020453">
      <w:bodyDiv w:val="1"/>
      <w:marLeft w:val="0"/>
      <w:marRight w:val="0"/>
      <w:marTop w:val="0"/>
      <w:marBottom w:val="0"/>
      <w:divBdr>
        <w:top w:val="none" w:sz="0" w:space="0" w:color="auto"/>
        <w:left w:val="none" w:sz="0" w:space="0" w:color="auto"/>
        <w:bottom w:val="none" w:sz="0" w:space="0" w:color="auto"/>
        <w:right w:val="none" w:sz="0" w:space="0" w:color="auto"/>
      </w:divBdr>
    </w:div>
    <w:div w:id="1151558310">
      <w:bodyDiv w:val="1"/>
      <w:marLeft w:val="0"/>
      <w:marRight w:val="0"/>
      <w:marTop w:val="0"/>
      <w:marBottom w:val="0"/>
      <w:divBdr>
        <w:top w:val="none" w:sz="0" w:space="0" w:color="auto"/>
        <w:left w:val="none" w:sz="0" w:space="0" w:color="auto"/>
        <w:bottom w:val="none" w:sz="0" w:space="0" w:color="auto"/>
        <w:right w:val="none" w:sz="0" w:space="0" w:color="auto"/>
      </w:divBdr>
    </w:div>
    <w:div w:id="1151825245">
      <w:bodyDiv w:val="1"/>
      <w:marLeft w:val="0"/>
      <w:marRight w:val="0"/>
      <w:marTop w:val="0"/>
      <w:marBottom w:val="0"/>
      <w:divBdr>
        <w:top w:val="none" w:sz="0" w:space="0" w:color="auto"/>
        <w:left w:val="none" w:sz="0" w:space="0" w:color="auto"/>
        <w:bottom w:val="none" w:sz="0" w:space="0" w:color="auto"/>
        <w:right w:val="none" w:sz="0" w:space="0" w:color="auto"/>
      </w:divBdr>
    </w:div>
    <w:div w:id="1154838698">
      <w:bodyDiv w:val="1"/>
      <w:marLeft w:val="0"/>
      <w:marRight w:val="0"/>
      <w:marTop w:val="0"/>
      <w:marBottom w:val="0"/>
      <w:divBdr>
        <w:top w:val="none" w:sz="0" w:space="0" w:color="auto"/>
        <w:left w:val="none" w:sz="0" w:space="0" w:color="auto"/>
        <w:bottom w:val="none" w:sz="0" w:space="0" w:color="auto"/>
        <w:right w:val="none" w:sz="0" w:space="0" w:color="auto"/>
      </w:divBdr>
    </w:div>
    <w:div w:id="1156797101">
      <w:bodyDiv w:val="1"/>
      <w:marLeft w:val="0"/>
      <w:marRight w:val="0"/>
      <w:marTop w:val="0"/>
      <w:marBottom w:val="0"/>
      <w:divBdr>
        <w:top w:val="none" w:sz="0" w:space="0" w:color="auto"/>
        <w:left w:val="none" w:sz="0" w:space="0" w:color="auto"/>
        <w:bottom w:val="none" w:sz="0" w:space="0" w:color="auto"/>
        <w:right w:val="none" w:sz="0" w:space="0" w:color="auto"/>
      </w:divBdr>
    </w:div>
    <w:div w:id="1156992354">
      <w:bodyDiv w:val="1"/>
      <w:marLeft w:val="0"/>
      <w:marRight w:val="0"/>
      <w:marTop w:val="0"/>
      <w:marBottom w:val="0"/>
      <w:divBdr>
        <w:top w:val="none" w:sz="0" w:space="0" w:color="auto"/>
        <w:left w:val="none" w:sz="0" w:space="0" w:color="auto"/>
        <w:bottom w:val="none" w:sz="0" w:space="0" w:color="auto"/>
        <w:right w:val="none" w:sz="0" w:space="0" w:color="auto"/>
      </w:divBdr>
    </w:div>
    <w:div w:id="1159535177">
      <w:bodyDiv w:val="1"/>
      <w:marLeft w:val="0"/>
      <w:marRight w:val="0"/>
      <w:marTop w:val="0"/>
      <w:marBottom w:val="0"/>
      <w:divBdr>
        <w:top w:val="none" w:sz="0" w:space="0" w:color="auto"/>
        <w:left w:val="none" w:sz="0" w:space="0" w:color="auto"/>
        <w:bottom w:val="none" w:sz="0" w:space="0" w:color="auto"/>
        <w:right w:val="none" w:sz="0" w:space="0" w:color="auto"/>
      </w:divBdr>
    </w:div>
    <w:div w:id="1160922909">
      <w:bodyDiv w:val="1"/>
      <w:marLeft w:val="0"/>
      <w:marRight w:val="0"/>
      <w:marTop w:val="0"/>
      <w:marBottom w:val="0"/>
      <w:divBdr>
        <w:top w:val="none" w:sz="0" w:space="0" w:color="auto"/>
        <w:left w:val="none" w:sz="0" w:space="0" w:color="auto"/>
        <w:bottom w:val="none" w:sz="0" w:space="0" w:color="auto"/>
        <w:right w:val="none" w:sz="0" w:space="0" w:color="auto"/>
      </w:divBdr>
    </w:div>
    <w:div w:id="1163006628">
      <w:bodyDiv w:val="1"/>
      <w:marLeft w:val="0"/>
      <w:marRight w:val="0"/>
      <w:marTop w:val="0"/>
      <w:marBottom w:val="0"/>
      <w:divBdr>
        <w:top w:val="none" w:sz="0" w:space="0" w:color="auto"/>
        <w:left w:val="none" w:sz="0" w:space="0" w:color="auto"/>
        <w:bottom w:val="none" w:sz="0" w:space="0" w:color="auto"/>
        <w:right w:val="none" w:sz="0" w:space="0" w:color="auto"/>
      </w:divBdr>
    </w:div>
    <w:div w:id="1163742166">
      <w:bodyDiv w:val="1"/>
      <w:marLeft w:val="0"/>
      <w:marRight w:val="0"/>
      <w:marTop w:val="0"/>
      <w:marBottom w:val="0"/>
      <w:divBdr>
        <w:top w:val="none" w:sz="0" w:space="0" w:color="auto"/>
        <w:left w:val="none" w:sz="0" w:space="0" w:color="auto"/>
        <w:bottom w:val="none" w:sz="0" w:space="0" w:color="auto"/>
        <w:right w:val="none" w:sz="0" w:space="0" w:color="auto"/>
      </w:divBdr>
    </w:div>
    <w:div w:id="1164590126">
      <w:bodyDiv w:val="1"/>
      <w:marLeft w:val="0"/>
      <w:marRight w:val="0"/>
      <w:marTop w:val="0"/>
      <w:marBottom w:val="0"/>
      <w:divBdr>
        <w:top w:val="none" w:sz="0" w:space="0" w:color="auto"/>
        <w:left w:val="none" w:sz="0" w:space="0" w:color="auto"/>
        <w:bottom w:val="none" w:sz="0" w:space="0" w:color="auto"/>
        <w:right w:val="none" w:sz="0" w:space="0" w:color="auto"/>
      </w:divBdr>
    </w:div>
    <w:div w:id="1171531969">
      <w:bodyDiv w:val="1"/>
      <w:marLeft w:val="0"/>
      <w:marRight w:val="0"/>
      <w:marTop w:val="0"/>
      <w:marBottom w:val="0"/>
      <w:divBdr>
        <w:top w:val="none" w:sz="0" w:space="0" w:color="auto"/>
        <w:left w:val="none" w:sz="0" w:space="0" w:color="auto"/>
        <w:bottom w:val="none" w:sz="0" w:space="0" w:color="auto"/>
        <w:right w:val="none" w:sz="0" w:space="0" w:color="auto"/>
      </w:divBdr>
    </w:div>
    <w:div w:id="1173185383">
      <w:bodyDiv w:val="1"/>
      <w:marLeft w:val="0"/>
      <w:marRight w:val="0"/>
      <w:marTop w:val="0"/>
      <w:marBottom w:val="0"/>
      <w:divBdr>
        <w:top w:val="none" w:sz="0" w:space="0" w:color="auto"/>
        <w:left w:val="none" w:sz="0" w:space="0" w:color="auto"/>
        <w:bottom w:val="none" w:sz="0" w:space="0" w:color="auto"/>
        <w:right w:val="none" w:sz="0" w:space="0" w:color="auto"/>
      </w:divBdr>
    </w:div>
    <w:div w:id="1174346552">
      <w:bodyDiv w:val="1"/>
      <w:marLeft w:val="0"/>
      <w:marRight w:val="0"/>
      <w:marTop w:val="0"/>
      <w:marBottom w:val="0"/>
      <w:divBdr>
        <w:top w:val="none" w:sz="0" w:space="0" w:color="auto"/>
        <w:left w:val="none" w:sz="0" w:space="0" w:color="auto"/>
        <w:bottom w:val="none" w:sz="0" w:space="0" w:color="auto"/>
        <w:right w:val="none" w:sz="0" w:space="0" w:color="auto"/>
      </w:divBdr>
    </w:div>
    <w:div w:id="1179271368">
      <w:bodyDiv w:val="1"/>
      <w:marLeft w:val="0"/>
      <w:marRight w:val="0"/>
      <w:marTop w:val="0"/>
      <w:marBottom w:val="0"/>
      <w:divBdr>
        <w:top w:val="none" w:sz="0" w:space="0" w:color="auto"/>
        <w:left w:val="none" w:sz="0" w:space="0" w:color="auto"/>
        <w:bottom w:val="none" w:sz="0" w:space="0" w:color="auto"/>
        <w:right w:val="none" w:sz="0" w:space="0" w:color="auto"/>
      </w:divBdr>
    </w:div>
    <w:div w:id="1181433352">
      <w:bodyDiv w:val="1"/>
      <w:marLeft w:val="0"/>
      <w:marRight w:val="0"/>
      <w:marTop w:val="0"/>
      <w:marBottom w:val="0"/>
      <w:divBdr>
        <w:top w:val="none" w:sz="0" w:space="0" w:color="auto"/>
        <w:left w:val="none" w:sz="0" w:space="0" w:color="auto"/>
        <w:bottom w:val="none" w:sz="0" w:space="0" w:color="auto"/>
        <w:right w:val="none" w:sz="0" w:space="0" w:color="auto"/>
      </w:divBdr>
    </w:div>
    <w:div w:id="1187864096">
      <w:bodyDiv w:val="1"/>
      <w:marLeft w:val="0"/>
      <w:marRight w:val="0"/>
      <w:marTop w:val="0"/>
      <w:marBottom w:val="0"/>
      <w:divBdr>
        <w:top w:val="none" w:sz="0" w:space="0" w:color="auto"/>
        <w:left w:val="none" w:sz="0" w:space="0" w:color="auto"/>
        <w:bottom w:val="none" w:sz="0" w:space="0" w:color="auto"/>
        <w:right w:val="none" w:sz="0" w:space="0" w:color="auto"/>
      </w:divBdr>
    </w:div>
    <w:div w:id="1188906341">
      <w:bodyDiv w:val="1"/>
      <w:marLeft w:val="0"/>
      <w:marRight w:val="0"/>
      <w:marTop w:val="0"/>
      <w:marBottom w:val="0"/>
      <w:divBdr>
        <w:top w:val="none" w:sz="0" w:space="0" w:color="auto"/>
        <w:left w:val="none" w:sz="0" w:space="0" w:color="auto"/>
        <w:bottom w:val="none" w:sz="0" w:space="0" w:color="auto"/>
        <w:right w:val="none" w:sz="0" w:space="0" w:color="auto"/>
      </w:divBdr>
    </w:div>
    <w:div w:id="1189413674">
      <w:bodyDiv w:val="1"/>
      <w:marLeft w:val="0"/>
      <w:marRight w:val="0"/>
      <w:marTop w:val="0"/>
      <w:marBottom w:val="0"/>
      <w:divBdr>
        <w:top w:val="none" w:sz="0" w:space="0" w:color="auto"/>
        <w:left w:val="none" w:sz="0" w:space="0" w:color="auto"/>
        <w:bottom w:val="none" w:sz="0" w:space="0" w:color="auto"/>
        <w:right w:val="none" w:sz="0" w:space="0" w:color="auto"/>
      </w:divBdr>
    </w:div>
    <w:div w:id="1189442044">
      <w:bodyDiv w:val="1"/>
      <w:marLeft w:val="0"/>
      <w:marRight w:val="0"/>
      <w:marTop w:val="0"/>
      <w:marBottom w:val="0"/>
      <w:divBdr>
        <w:top w:val="none" w:sz="0" w:space="0" w:color="auto"/>
        <w:left w:val="none" w:sz="0" w:space="0" w:color="auto"/>
        <w:bottom w:val="none" w:sz="0" w:space="0" w:color="auto"/>
        <w:right w:val="none" w:sz="0" w:space="0" w:color="auto"/>
      </w:divBdr>
    </w:div>
    <w:div w:id="1192913848">
      <w:bodyDiv w:val="1"/>
      <w:marLeft w:val="0"/>
      <w:marRight w:val="0"/>
      <w:marTop w:val="0"/>
      <w:marBottom w:val="0"/>
      <w:divBdr>
        <w:top w:val="none" w:sz="0" w:space="0" w:color="auto"/>
        <w:left w:val="none" w:sz="0" w:space="0" w:color="auto"/>
        <w:bottom w:val="none" w:sz="0" w:space="0" w:color="auto"/>
        <w:right w:val="none" w:sz="0" w:space="0" w:color="auto"/>
      </w:divBdr>
    </w:div>
    <w:div w:id="1193879470">
      <w:bodyDiv w:val="1"/>
      <w:marLeft w:val="0"/>
      <w:marRight w:val="0"/>
      <w:marTop w:val="0"/>
      <w:marBottom w:val="0"/>
      <w:divBdr>
        <w:top w:val="none" w:sz="0" w:space="0" w:color="auto"/>
        <w:left w:val="none" w:sz="0" w:space="0" w:color="auto"/>
        <w:bottom w:val="none" w:sz="0" w:space="0" w:color="auto"/>
        <w:right w:val="none" w:sz="0" w:space="0" w:color="auto"/>
      </w:divBdr>
    </w:div>
    <w:div w:id="1197695216">
      <w:bodyDiv w:val="1"/>
      <w:marLeft w:val="0"/>
      <w:marRight w:val="0"/>
      <w:marTop w:val="0"/>
      <w:marBottom w:val="0"/>
      <w:divBdr>
        <w:top w:val="none" w:sz="0" w:space="0" w:color="auto"/>
        <w:left w:val="none" w:sz="0" w:space="0" w:color="auto"/>
        <w:bottom w:val="none" w:sz="0" w:space="0" w:color="auto"/>
        <w:right w:val="none" w:sz="0" w:space="0" w:color="auto"/>
      </w:divBdr>
    </w:div>
    <w:div w:id="1200245981">
      <w:bodyDiv w:val="1"/>
      <w:marLeft w:val="0"/>
      <w:marRight w:val="0"/>
      <w:marTop w:val="0"/>
      <w:marBottom w:val="0"/>
      <w:divBdr>
        <w:top w:val="none" w:sz="0" w:space="0" w:color="auto"/>
        <w:left w:val="none" w:sz="0" w:space="0" w:color="auto"/>
        <w:bottom w:val="none" w:sz="0" w:space="0" w:color="auto"/>
        <w:right w:val="none" w:sz="0" w:space="0" w:color="auto"/>
      </w:divBdr>
    </w:div>
    <w:div w:id="1204561191">
      <w:bodyDiv w:val="1"/>
      <w:marLeft w:val="0"/>
      <w:marRight w:val="0"/>
      <w:marTop w:val="0"/>
      <w:marBottom w:val="0"/>
      <w:divBdr>
        <w:top w:val="none" w:sz="0" w:space="0" w:color="auto"/>
        <w:left w:val="none" w:sz="0" w:space="0" w:color="auto"/>
        <w:bottom w:val="none" w:sz="0" w:space="0" w:color="auto"/>
        <w:right w:val="none" w:sz="0" w:space="0" w:color="auto"/>
      </w:divBdr>
    </w:div>
    <w:div w:id="1206023996">
      <w:bodyDiv w:val="1"/>
      <w:marLeft w:val="0"/>
      <w:marRight w:val="0"/>
      <w:marTop w:val="0"/>
      <w:marBottom w:val="0"/>
      <w:divBdr>
        <w:top w:val="none" w:sz="0" w:space="0" w:color="auto"/>
        <w:left w:val="none" w:sz="0" w:space="0" w:color="auto"/>
        <w:bottom w:val="none" w:sz="0" w:space="0" w:color="auto"/>
        <w:right w:val="none" w:sz="0" w:space="0" w:color="auto"/>
      </w:divBdr>
    </w:div>
    <w:div w:id="1209342254">
      <w:bodyDiv w:val="1"/>
      <w:marLeft w:val="0"/>
      <w:marRight w:val="0"/>
      <w:marTop w:val="0"/>
      <w:marBottom w:val="0"/>
      <w:divBdr>
        <w:top w:val="none" w:sz="0" w:space="0" w:color="auto"/>
        <w:left w:val="none" w:sz="0" w:space="0" w:color="auto"/>
        <w:bottom w:val="none" w:sz="0" w:space="0" w:color="auto"/>
        <w:right w:val="none" w:sz="0" w:space="0" w:color="auto"/>
      </w:divBdr>
    </w:div>
    <w:div w:id="1211921731">
      <w:bodyDiv w:val="1"/>
      <w:marLeft w:val="0"/>
      <w:marRight w:val="0"/>
      <w:marTop w:val="0"/>
      <w:marBottom w:val="0"/>
      <w:divBdr>
        <w:top w:val="none" w:sz="0" w:space="0" w:color="auto"/>
        <w:left w:val="none" w:sz="0" w:space="0" w:color="auto"/>
        <w:bottom w:val="none" w:sz="0" w:space="0" w:color="auto"/>
        <w:right w:val="none" w:sz="0" w:space="0" w:color="auto"/>
      </w:divBdr>
    </w:div>
    <w:div w:id="1213268352">
      <w:bodyDiv w:val="1"/>
      <w:marLeft w:val="0"/>
      <w:marRight w:val="0"/>
      <w:marTop w:val="0"/>
      <w:marBottom w:val="0"/>
      <w:divBdr>
        <w:top w:val="none" w:sz="0" w:space="0" w:color="auto"/>
        <w:left w:val="none" w:sz="0" w:space="0" w:color="auto"/>
        <w:bottom w:val="none" w:sz="0" w:space="0" w:color="auto"/>
        <w:right w:val="none" w:sz="0" w:space="0" w:color="auto"/>
      </w:divBdr>
    </w:div>
    <w:div w:id="1214930610">
      <w:bodyDiv w:val="1"/>
      <w:marLeft w:val="0"/>
      <w:marRight w:val="0"/>
      <w:marTop w:val="0"/>
      <w:marBottom w:val="0"/>
      <w:divBdr>
        <w:top w:val="none" w:sz="0" w:space="0" w:color="auto"/>
        <w:left w:val="none" w:sz="0" w:space="0" w:color="auto"/>
        <w:bottom w:val="none" w:sz="0" w:space="0" w:color="auto"/>
        <w:right w:val="none" w:sz="0" w:space="0" w:color="auto"/>
      </w:divBdr>
    </w:div>
    <w:div w:id="1215892006">
      <w:bodyDiv w:val="1"/>
      <w:marLeft w:val="0"/>
      <w:marRight w:val="0"/>
      <w:marTop w:val="0"/>
      <w:marBottom w:val="0"/>
      <w:divBdr>
        <w:top w:val="none" w:sz="0" w:space="0" w:color="auto"/>
        <w:left w:val="none" w:sz="0" w:space="0" w:color="auto"/>
        <w:bottom w:val="none" w:sz="0" w:space="0" w:color="auto"/>
        <w:right w:val="none" w:sz="0" w:space="0" w:color="auto"/>
      </w:divBdr>
    </w:div>
    <w:div w:id="1217232256">
      <w:bodyDiv w:val="1"/>
      <w:marLeft w:val="0"/>
      <w:marRight w:val="0"/>
      <w:marTop w:val="0"/>
      <w:marBottom w:val="0"/>
      <w:divBdr>
        <w:top w:val="none" w:sz="0" w:space="0" w:color="auto"/>
        <w:left w:val="none" w:sz="0" w:space="0" w:color="auto"/>
        <w:bottom w:val="none" w:sz="0" w:space="0" w:color="auto"/>
        <w:right w:val="none" w:sz="0" w:space="0" w:color="auto"/>
      </w:divBdr>
    </w:div>
    <w:div w:id="1217276665">
      <w:bodyDiv w:val="1"/>
      <w:marLeft w:val="0"/>
      <w:marRight w:val="0"/>
      <w:marTop w:val="0"/>
      <w:marBottom w:val="0"/>
      <w:divBdr>
        <w:top w:val="none" w:sz="0" w:space="0" w:color="auto"/>
        <w:left w:val="none" w:sz="0" w:space="0" w:color="auto"/>
        <w:bottom w:val="none" w:sz="0" w:space="0" w:color="auto"/>
        <w:right w:val="none" w:sz="0" w:space="0" w:color="auto"/>
      </w:divBdr>
    </w:div>
    <w:div w:id="1217358251">
      <w:bodyDiv w:val="1"/>
      <w:marLeft w:val="0"/>
      <w:marRight w:val="0"/>
      <w:marTop w:val="0"/>
      <w:marBottom w:val="0"/>
      <w:divBdr>
        <w:top w:val="none" w:sz="0" w:space="0" w:color="auto"/>
        <w:left w:val="none" w:sz="0" w:space="0" w:color="auto"/>
        <w:bottom w:val="none" w:sz="0" w:space="0" w:color="auto"/>
        <w:right w:val="none" w:sz="0" w:space="0" w:color="auto"/>
      </w:divBdr>
    </w:div>
    <w:div w:id="1220048505">
      <w:bodyDiv w:val="1"/>
      <w:marLeft w:val="0"/>
      <w:marRight w:val="0"/>
      <w:marTop w:val="0"/>
      <w:marBottom w:val="0"/>
      <w:divBdr>
        <w:top w:val="none" w:sz="0" w:space="0" w:color="auto"/>
        <w:left w:val="none" w:sz="0" w:space="0" w:color="auto"/>
        <w:bottom w:val="none" w:sz="0" w:space="0" w:color="auto"/>
        <w:right w:val="none" w:sz="0" w:space="0" w:color="auto"/>
      </w:divBdr>
    </w:div>
    <w:div w:id="1223492223">
      <w:bodyDiv w:val="1"/>
      <w:marLeft w:val="0"/>
      <w:marRight w:val="0"/>
      <w:marTop w:val="0"/>
      <w:marBottom w:val="0"/>
      <w:divBdr>
        <w:top w:val="none" w:sz="0" w:space="0" w:color="auto"/>
        <w:left w:val="none" w:sz="0" w:space="0" w:color="auto"/>
        <w:bottom w:val="none" w:sz="0" w:space="0" w:color="auto"/>
        <w:right w:val="none" w:sz="0" w:space="0" w:color="auto"/>
      </w:divBdr>
    </w:div>
    <w:div w:id="1226180906">
      <w:bodyDiv w:val="1"/>
      <w:marLeft w:val="0"/>
      <w:marRight w:val="0"/>
      <w:marTop w:val="0"/>
      <w:marBottom w:val="0"/>
      <w:divBdr>
        <w:top w:val="none" w:sz="0" w:space="0" w:color="auto"/>
        <w:left w:val="none" w:sz="0" w:space="0" w:color="auto"/>
        <w:bottom w:val="none" w:sz="0" w:space="0" w:color="auto"/>
        <w:right w:val="none" w:sz="0" w:space="0" w:color="auto"/>
      </w:divBdr>
    </w:div>
    <w:div w:id="1226526494">
      <w:bodyDiv w:val="1"/>
      <w:marLeft w:val="0"/>
      <w:marRight w:val="0"/>
      <w:marTop w:val="0"/>
      <w:marBottom w:val="0"/>
      <w:divBdr>
        <w:top w:val="none" w:sz="0" w:space="0" w:color="auto"/>
        <w:left w:val="none" w:sz="0" w:space="0" w:color="auto"/>
        <w:bottom w:val="none" w:sz="0" w:space="0" w:color="auto"/>
        <w:right w:val="none" w:sz="0" w:space="0" w:color="auto"/>
      </w:divBdr>
    </w:div>
    <w:div w:id="1231497358">
      <w:bodyDiv w:val="1"/>
      <w:marLeft w:val="0"/>
      <w:marRight w:val="0"/>
      <w:marTop w:val="0"/>
      <w:marBottom w:val="0"/>
      <w:divBdr>
        <w:top w:val="none" w:sz="0" w:space="0" w:color="auto"/>
        <w:left w:val="none" w:sz="0" w:space="0" w:color="auto"/>
        <w:bottom w:val="none" w:sz="0" w:space="0" w:color="auto"/>
        <w:right w:val="none" w:sz="0" w:space="0" w:color="auto"/>
      </w:divBdr>
    </w:div>
    <w:div w:id="1233007509">
      <w:bodyDiv w:val="1"/>
      <w:marLeft w:val="0"/>
      <w:marRight w:val="0"/>
      <w:marTop w:val="0"/>
      <w:marBottom w:val="0"/>
      <w:divBdr>
        <w:top w:val="none" w:sz="0" w:space="0" w:color="auto"/>
        <w:left w:val="none" w:sz="0" w:space="0" w:color="auto"/>
        <w:bottom w:val="none" w:sz="0" w:space="0" w:color="auto"/>
        <w:right w:val="none" w:sz="0" w:space="0" w:color="auto"/>
      </w:divBdr>
    </w:div>
    <w:div w:id="1234900427">
      <w:bodyDiv w:val="1"/>
      <w:marLeft w:val="0"/>
      <w:marRight w:val="0"/>
      <w:marTop w:val="0"/>
      <w:marBottom w:val="0"/>
      <w:divBdr>
        <w:top w:val="none" w:sz="0" w:space="0" w:color="auto"/>
        <w:left w:val="none" w:sz="0" w:space="0" w:color="auto"/>
        <w:bottom w:val="none" w:sz="0" w:space="0" w:color="auto"/>
        <w:right w:val="none" w:sz="0" w:space="0" w:color="auto"/>
      </w:divBdr>
    </w:div>
    <w:div w:id="1236820041">
      <w:bodyDiv w:val="1"/>
      <w:marLeft w:val="0"/>
      <w:marRight w:val="0"/>
      <w:marTop w:val="0"/>
      <w:marBottom w:val="0"/>
      <w:divBdr>
        <w:top w:val="none" w:sz="0" w:space="0" w:color="auto"/>
        <w:left w:val="none" w:sz="0" w:space="0" w:color="auto"/>
        <w:bottom w:val="none" w:sz="0" w:space="0" w:color="auto"/>
        <w:right w:val="none" w:sz="0" w:space="0" w:color="auto"/>
      </w:divBdr>
    </w:div>
    <w:div w:id="1240092600">
      <w:bodyDiv w:val="1"/>
      <w:marLeft w:val="0"/>
      <w:marRight w:val="0"/>
      <w:marTop w:val="0"/>
      <w:marBottom w:val="0"/>
      <w:divBdr>
        <w:top w:val="none" w:sz="0" w:space="0" w:color="auto"/>
        <w:left w:val="none" w:sz="0" w:space="0" w:color="auto"/>
        <w:bottom w:val="none" w:sz="0" w:space="0" w:color="auto"/>
        <w:right w:val="none" w:sz="0" w:space="0" w:color="auto"/>
      </w:divBdr>
    </w:div>
    <w:div w:id="1241796132">
      <w:bodyDiv w:val="1"/>
      <w:marLeft w:val="0"/>
      <w:marRight w:val="0"/>
      <w:marTop w:val="0"/>
      <w:marBottom w:val="0"/>
      <w:divBdr>
        <w:top w:val="none" w:sz="0" w:space="0" w:color="auto"/>
        <w:left w:val="none" w:sz="0" w:space="0" w:color="auto"/>
        <w:bottom w:val="none" w:sz="0" w:space="0" w:color="auto"/>
        <w:right w:val="none" w:sz="0" w:space="0" w:color="auto"/>
      </w:divBdr>
    </w:div>
    <w:div w:id="1243367789">
      <w:bodyDiv w:val="1"/>
      <w:marLeft w:val="0"/>
      <w:marRight w:val="0"/>
      <w:marTop w:val="0"/>
      <w:marBottom w:val="0"/>
      <w:divBdr>
        <w:top w:val="none" w:sz="0" w:space="0" w:color="auto"/>
        <w:left w:val="none" w:sz="0" w:space="0" w:color="auto"/>
        <w:bottom w:val="none" w:sz="0" w:space="0" w:color="auto"/>
        <w:right w:val="none" w:sz="0" w:space="0" w:color="auto"/>
      </w:divBdr>
    </w:div>
    <w:div w:id="1247689527">
      <w:bodyDiv w:val="1"/>
      <w:marLeft w:val="0"/>
      <w:marRight w:val="0"/>
      <w:marTop w:val="0"/>
      <w:marBottom w:val="0"/>
      <w:divBdr>
        <w:top w:val="none" w:sz="0" w:space="0" w:color="auto"/>
        <w:left w:val="none" w:sz="0" w:space="0" w:color="auto"/>
        <w:bottom w:val="none" w:sz="0" w:space="0" w:color="auto"/>
        <w:right w:val="none" w:sz="0" w:space="0" w:color="auto"/>
      </w:divBdr>
    </w:div>
    <w:div w:id="1250313309">
      <w:bodyDiv w:val="1"/>
      <w:marLeft w:val="0"/>
      <w:marRight w:val="0"/>
      <w:marTop w:val="0"/>
      <w:marBottom w:val="0"/>
      <w:divBdr>
        <w:top w:val="none" w:sz="0" w:space="0" w:color="auto"/>
        <w:left w:val="none" w:sz="0" w:space="0" w:color="auto"/>
        <w:bottom w:val="none" w:sz="0" w:space="0" w:color="auto"/>
        <w:right w:val="none" w:sz="0" w:space="0" w:color="auto"/>
      </w:divBdr>
    </w:div>
    <w:div w:id="1256205237">
      <w:bodyDiv w:val="1"/>
      <w:marLeft w:val="0"/>
      <w:marRight w:val="0"/>
      <w:marTop w:val="0"/>
      <w:marBottom w:val="0"/>
      <w:divBdr>
        <w:top w:val="none" w:sz="0" w:space="0" w:color="auto"/>
        <w:left w:val="none" w:sz="0" w:space="0" w:color="auto"/>
        <w:bottom w:val="none" w:sz="0" w:space="0" w:color="auto"/>
        <w:right w:val="none" w:sz="0" w:space="0" w:color="auto"/>
      </w:divBdr>
    </w:div>
    <w:div w:id="1257208437">
      <w:bodyDiv w:val="1"/>
      <w:marLeft w:val="0"/>
      <w:marRight w:val="0"/>
      <w:marTop w:val="0"/>
      <w:marBottom w:val="0"/>
      <w:divBdr>
        <w:top w:val="none" w:sz="0" w:space="0" w:color="auto"/>
        <w:left w:val="none" w:sz="0" w:space="0" w:color="auto"/>
        <w:bottom w:val="none" w:sz="0" w:space="0" w:color="auto"/>
        <w:right w:val="none" w:sz="0" w:space="0" w:color="auto"/>
      </w:divBdr>
    </w:div>
    <w:div w:id="1258749965">
      <w:bodyDiv w:val="1"/>
      <w:marLeft w:val="0"/>
      <w:marRight w:val="0"/>
      <w:marTop w:val="0"/>
      <w:marBottom w:val="0"/>
      <w:divBdr>
        <w:top w:val="none" w:sz="0" w:space="0" w:color="auto"/>
        <w:left w:val="none" w:sz="0" w:space="0" w:color="auto"/>
        <w:bottom w:val="none" w:sz="0" w:space="0" w:color="auto"/>
        <w:right w:val="none" w:sz="0" w:space="0" w:color="auto"/>
      </w:divBdr>
    </w:div>
    <w:div w:id="1259679020">
      <w:bodyDiv w:val="1"/>
      <w:marLeft w:val="0"/>
      <w:marRight w:val="0"/>
      <w:marTop w:val="0"/>
      <w:marBottom w:val="0"/>
      <w:divBdr>
        <w:top w:val="none" w:sz="0" w:space="0" w:color="auto"/>
        <w:left w:val="none" w:sz="0" w:space="0" w:color="auto"/>
        <w:bottom w:val="none" w:sz="0" w:space="0" w:color="auto"/>
        <w:right w:val="none" w:sz="0" w:space="0" w:color="auto"/>
      </w:divBdr>
      <w:divsChild>
        <w:div w:id="1223558443">
          <w:marLeft w:val="0"/>
          <w:marRight w:val="0"/>
          <w:marTop w:val="0"/>
          <w:marBottom w:val="0"/>
          <w:divBdr>
            <w:top w:val="none" w:sz="0" w:space="0" w:color="auto"/>
            <w:left w:val="none" w:sz="0" w:space="0" w:color="auto"/>
            <w:bottom w:val="none" w:sz="0" w:space="0" w:color="auto"/>
            <w:right w:val="none" w:sz="0" w:space="0" w:color="auto"/>
          </w:divBdr>
        </w:div>
      </w:divsChild>
    </w:div>
    <w:div w:id="1259951541">
      <w:bodyDiv w:val="1"/>
      <w:marLeft w:val="0"/>
      <w:marRight w:val="0"/>
      <w:marTop w:val="0"/>
      <w:marBottom w:val="0"/>
      <w:divBdr>
        <w:top w:val="none" w:sz="0" w:space="0" w:color="auto"/>
        <w:left w:val="none" w:sz="0" w:space="0" w:color="auto"/>
        <w:bottom w:val="none" w:sz="0" w:space="0" w:color="auto"/>
        <w:right w:val="none" w:sz="0" w:space="0" w:color="auto"/>
      </w:divBdr>
    </w:div>
    <w:div w:id="1261064155">
      <w:bodyDiv w:val="1"/>
      <w:marLeft w:val="0"/>
      <w:marRight w:val="0"/>
      <w:marTop w:val="0"/>
      <w:marBottom w:val="0"/>
      <w:divBdr>
        <w:top w:val="none" w:sz="0" w:space="0" w:color="auto"/>
        <w:left w:val="none" w:sz="0" w:space="0" w:color="auto"/>
        <w:bottom w:val="none" w:sz="0" w:space="0" w:color="auto"/>
        <w:right w:val="none" w:sz="0" w:space="0" w:color="auto"/>
      </w:divBdr>
    </w:div>
    <w:div w:id="1261916935">
      <w:bodyDiv w:val="1"/>
      <w:marLeft w:val="0"/>
      <w:marRight w:val="0"/>
      <w:marTop w:val="0"/>
      <w:marBottom w:val="0"/>
      <w:divBdr>
        <w:top w:val="none" w:sz="0" w:space="0" w:color="auto"/>
        <w:left w:val="none" w:sz="0" w:space="0" w:color="auto"/>
        <w:bottom w:val="none" w:sz="0" w:space="0" w:color="auto"/>
        <w:right w:val="none" w:sz="0" w:space="0" w:color="auto"/>
      </w:divBdr>
    </w:div>
    <w:div w:id="1266573244">
      <w:bodyDiv w:val="1"/>
      <w:marLeft w:val="0"/>
      <w:marRight w:val="0"/>
      <w:marTop w:val="0"/>
      <w:marBottom w:val="0"/>
      <w:divBdr>
        <w:top w:val="none" w:sz="0" w:space="0" w:color="auto"/>
        <w:left w:val="none" w:sz="0" w:space="0" w:color="auto"/>
        <w:bottom w:val="none" w:sz="0" w:space="0" w:color="auto"/>
        <w:right w:val="none" w:sz="0" w:space="0" w:color="auto"/>
      </w:divBdr>
    </w:div>
    <w:div w:id="1270046806">
      <w:bodyDiv w:val="1"/>
      <w:marLeft w:val="0"/>
      <w:marRight w:val="0"/>
      <w:marTop w:val="0"/>
      <w:marBottom w:val="0"/>
      <w:divBdr>
        <w:top w:val="none" w:sz="0" w:space="0" w:color="auto"/>
        <w:left w:val="none" w:sz="0" w:space="0" w:color="auto"/>
        <w:bottom w:val="none" w:sz="0" w:space="0" w:color="auto"/>
        <w:right w:val="none" w:sz="0" w:space="0" w:color="auto"/>
      </w:divBdr>
    </w:div>
    <w:div w:id="1274753372">
      <w:bodyDiv w:val="1"/>
      <w:marLeft w:val="0"/>
      <w:marRight w:val="0"/>
      <w:marTop w:val="0"/>
      <w:marBottom w:val="0"/>
      <w:divBdr>
        <w:top w:val="none" w:sz="0" w:space="0" w:color="auto"/>
        <w:left w:val="none" w:sz="0" w:space="0" w:color="auto"/>
        <w:bottom w:val="none" w:sz="0" w:space="0" w:color="auto"/>
        <w:right w:val="none" w:sz="0" w:space="0" w:color="auto"/>
      </w:divBdr>
    </w:div>
    <w:div w:id="1276593170">
      <w:bodyDiv w:val="1"/>
      <w:marLeft w:val="0"/>
      <w:marRight w:val="0"/>
      <w:marTop w:val="0"/>
      <w:marBottom w:val="0"/>
      <w:divBdr>
        <w:top w:val="none" w:sz="0" w:space="0" w:color="auto"/>
        <w:left w:val="none" w:sz="0" w:space="0" w:color="auto"/>
        <w:bottom w:val="none" w:sz="0" w:space="0" w:color="auto"/>
        <w:right w:val="none" w:sz="0" w:space="0" w:color="auto"/>
      </w:divBdr>
    </w:div>
    <w:div w:id="1288123987">
      <w:bodyDiv w:val="1"/>
      <w:marLeft w:val="0"/>
      <w:marRight w:val="0"/>
      <w:marTop w:val="0"/>
      <w:marBottom w:val="0"/>
      <w:divBdr>
        <w:top w:val="none" w:sz="0" w:space="0" w:color="auto"/>
        <w:left w:val="none" w:sz="0" w:space="0" w:color="auto"/>
        <w:bottom w:val="none" w:sz="0" w:space="0" w:color="auto"/>
        <w:right w:val="none" w:sz="0" w:space="0" w:color="auto"/>
      </w:divBdr>
    </w:div>
    <w:div w:id="1293823796">
      <w:bodyDiv w:val="1"/>
      <w:marLeft w:val="0"/>
      <w:marRight w:val="0"/>
      <w:marTop w:val="0"/>
      <w:marBottom w:val="0"/>
      <w:divBdr>
        <w:top w:val="none" w:sz="0" w:space="0" w:color="auto"/>
        <w:left w:val="none" w:sz="0" w:space="0" w:color="auto"/>
        <w:bottom w:val="none" w:sz="0" w:space="0" w:color="auto"/>
        <w:right w:val="none" w:sz="0" w:space="0" w:color="auto"/>
      </w:divBdr>
    </w:div>
    <w:div w:id="1297678954">
      <w:bodyDiv w:val="1"/>
      <w:marLeft w:val="0"/>
      <w:marRight w:val="0"/>
      <w:marTop w:val="0"/>
      <w:marBottom w:val="0"/>
      <w:divBdr>
        <w:top w:val="none" w:sz="0" w:space="0" w:color="auto"/>
        <w:left w:val="none" w:sz="0" w:space="0" w:color="auto"/>
        <w:bottom w:val="none" w:sz="0" w:space="0" w:color="auto"/>
        <w:right w:val="none" w:sz="0" w:space="0" w:color="auto"/>
      </w:divBdr>
    </w:div>
    <w:div w:id="1298611334">
      <w:bodyDiv w:val="1"/>
      <w:marLeft w:val="0"/>
      <w:marRight w:val="0"/>
      <w:marTop w:val="0"/>
      <w:marBottom w:val="0"/>
      <w:divBdr>
        <w:top w:val="none" w:sz="0" w:space="0" w:color="auto"/>
        <w:left w:val="none" w:sz="0" w:space="0" w:color="auto"/>
        <w:bottom w:val="none" w:sz="0" w:space="0" w:color="auto"/>
        <w:right w:val="none" w:sz="0" w:space="0" w:color="auto"/>
      </w:divBdr>
    </w:div>
    <w:div w:id="1303197626">
      <w:bodyDiv w:val="1"/>
      <w:marLeft w:val="0"/>
      <w:marRight w:val="0"/>
      <w:marTop w:val="0"/>
      <w:marBottom w:val="0"/>
      <w:divBdr>
        <w:top w:val="none" w:sz="0" w:space="0" w:color="auto"/>
        <w:left w:val="none" w:sz="0" w:space="0" w:color="auto"/>
        <w:bottom w:val="none" w:sz="0" w:space="0" w:color="auto"/>
        <w:right w:val="none" w:sz="0" w:space="0" w:color="auto"/>
      </w:divBdr>
    </w:div>
    <w:div w:id="1308317170">
      <w:bodyDiv w:val="1"/>
      <w:marLeft w:val="0"/>
      <w:marRight w:val="0"/>
      <w:marTop w:val="0"/>
      <w:marBottom w:val="0"/>
      <w:divBdr>
        <w:top w:val="none" w:sz="0" w:space="0" w:color="auto"/>
        <w:left w:val="none" w:sz="0" w:space="0" w:color="auto"/>
        <w:bottom w:val="none" w:sz="0" w:space="0" w:color="auto"/>
        <w:right w:val="none" w:sz="0" w:space="0" w:color="auto"/>
      </w:divBdr>
    </w:div>
    <w:div w:id="1316835176">
      <w:bodyDiv w:val="1"/>
      <w:marLeft w:val="0"/>
      <w:marRight w:val="0"/>
      <w:marTop w:val="0"/>
      <w:marBottom w:val="0"/>
      <w:divBdr>
        <w:top w:val="none" w:sz="0" w:space="0" w:color="auto"/>
        <w:left w:val="none" w:sz="0" w:space="0" w:color="auto"/>
        <w:bottom w:val="none" w:sz="0" w:space="0" w:color="auto"/>
        <w:right w:val="none" w:sz="0" w:space="0" w:color="auto"/>
      </w:divBdr>
    </w:div>
    <w:div w:id="1318653943">
      <w:bodyDiv w:val="1"/>
      <w:marLeft w:val="0"/>
      <w:marRight w:val="0"/>
      <w:marTop w:val="0"/>
      <w:marBottom w:val="0"/>
      <w:divBdr>
        <w:top w:val="none" w:sz="0" w:space="0" w:color="auto"/>
        <w:left w:val="none" w:sz="0" w:space="0" w:color="auto"/>
        <w:bottom w:val="none" w:sz="0" w:space="0" w:color="auto"/>
        <w:right w:val="none" w:sz="0" w:space="0" w:color="auto"/>
      </w:divBdr>
    </w:div>
    <w:div w:id="1323124698">
      <w:bodyDiv w:val="1"/>
      <w:marLeft w:val="0"/>
      <w:marRight w:val="0"/>
      <w:marTop w:val="0"/>
      <w:marBottom w:val="0"/>
      <w:divBdr>
        <w:top w:val="none" w:sz="0" w:space="0" w:color="auto"/>
        <w:left w:val="none" w:sz="0" w:space="0" w:color="auto"/>
        <w:bottom w:val="none" w:sz="0" w:space="0" w:color="auto"/>
        <w:right w:val="none" w:sz="0" w:space="0" w:color="auto"/>
      </w:divBdr>
    </w:div>
    <w:div w:id="1325816301">
      <w:bodyDiv w:val="1"/>
      <w:marLeft w:val="0"/>
      <w:marRight w:val="0"/>
      <w:marTop w:val="0"/>
      <w:marBottom w:val="0"/>
      <w:divBdr>
        <w:top w:val="none" w:sz="0" w:space="0" w:color="auto"/>
        <w:left w:val="none" w:sz="0" w:space="0" w:color="auto"/>
        <w:bottom w:val="none" w:sz="0" w:space="0" w:color="auto"/>
        <w:right w:val="none" w:sz="0" w:space="0" w:color="auto"/>
      </w:divBdr>
    </w:div>
    <w:div w:id="1329867795">
      <w:bodyDiv w:val="1"/>
      <w:marLeft w:val="0"/>
      <w:marRight w:val="0"/>
      <w:marTop w:val="0"/>
      <w:marBottom w:val="0"/>
      <w:divBdr>
        <w:top w:val="none" w:sz="0" w:space="0" w:color="auto"/>
        <w:left w:val="none" w:sz="0" w:space="0" w:color="auto"/>
        <w:bottom w:val="none" w:sz="0" w:space="0" w:color="auto"/>
        <w:right w:val="none" w:sz="0" w:space="0" w:color="auto"/>
      </w:divBdr>
    </w:div>
    <w:div w:id="1329870913">
      <w:bodyDiv w:val="1"/>
      <w:marLeft w:val="0"/>
      <w:marRight w:val="0"/>
      <w:marTop w:val="0"/>
      <w:marBottom w:val="0"/>
      <w:divBdr>
        <w:top w:val="none" w:sz="0" w:space="0" w:color="auto"/>
        <w:left w:val="none" w:sz="0" w:space="0" w:color="auto"/>
        <w:bottom w:val="none" w:sz="0" w:space="0" w:color="auto"/>
        <w:right w:val="none" w:sz="0" w:space="0" w:color="auto"/>
      </w:divBdr>
    </w:div>
    <w:div w:id="1331642128">
      <w:bodyDiv w:val="1"/>
      <w:marLeft w:val="0"/>
      <w:marRight w:val="0"/>
      <w:marTop w:val="0"/>
      <w:marBottom w:val="0"/>
      <w:divBdr>
        <w:top w:val="none" w:sz="0" w:space="0" w:color="auto"/>
        <w:left w:val="none" w:sz="0" w:space="0" w:color="auto"/>
        <w:bottom w:val="none" w:sz="0" w:space="0" w:color="auto"/>
        <w:right w:val="none" w:sz="0" w:space="0" w:color="auto"/>
      </w:divBdr>
    </w:div>
    <w:div w:id="1336107073">
      <w:bodyDiv w:val="1"/>
      <w:marLeft w:val="0"/>
      <w:marRight w:val="0"/>
      <w:marTop w:val="0"/>
      <w:marBottom w:val="0"/>
      <w:divBdr>
        <w:top w:val="none" w:sz="0" w:space="0" w:color="auto"/>
        <w:left w:val="none" w:sz="0" w:space="0" w:color="auto"/>
        <w:bottom w:val="none" w:sz="0" w:space="0" w:color="auto"/>
        <w:right w:val="none" w:sz="0" w:space="0" w:color="auto"/>
      </w:divBdr>
    </w:div>
    <w:div w:id="1338849041">
      <w:bodyDiv w:val="1"/>
      <w:marLeft w:val="0"/>
      <w:marRight w:val="0"/>
      <w:marTop w:val="0"/>
      <w:marBottom w:val="0"/>
      <w:divBdr>
        <w:top w:val="none" w:sz="0" w:space="0" w:color="auto"/>
        <w:left w:val="none" w:sz="0" w:space="0" w:color="auto"/>
        <w:bottom w:val="none" w:sz="0" w:space="0" w:color="auto"/>
        <w:right w:val="none" w:sz="0" w:space="0" w:color="auto"/>
      </w:divBdr>
    </w:div>
    <w:div w:id="1342852486">
      <w:bodyDiv w:val="1"/>
      <w:marLeft w:val="0"/>
      <w:marRight w:val="0"/>
      <w:marTop w:val="0"/>
      <w:marBottom w:val="0"/>
      <w:divBdr>
        <w:top w:val="none" w:sz="0" w:space="0" w:color="auto"/>
        <w:left w:val="none" w:sz="0" w:space="0" w:color="auto"/>
        <w:bottom w:val="none" w:sz="0" w:space="0" w:color="auto"/>
        <w:right w:val="none" w:sz="0" w:space="0" w:color="auto"/>
      </w:divBdr>
    </w:div>
    <w:div w:id="1346176729">
      <w:bodyDiv w:val="1"/>
      <w:marLeft w:val="0"/>
      <w:marRight w:val="0"/>
      <w:marTop w:val="0"/>
      <w:marBottom w:val="0"/>
      <w:divBdr>
        <w:top w:val="none" w:sz="0" w:space="0" w:color="auto"/>
        <w:left w:val="none" w:sz="0" w:space="0" w:color="auto"/>
        <w:bottom w:val="none" w:sz="0" w:space="0" w:color="auto"/>
        <w:right w:val="none" w:sz="0" w:space="0" w:color="auto"/>
      </w:divBdr>
    </w:div>
    <w:div w:id="1346975013">
      <w:bodyDiv w:val="1"/>
      <w:marLeft w:val="0"/>
      <w:marRight w:val="0"/>
      <w:marTop w:val="0"/>
      <w:marBottom w:val="0"/>
      <w:divBdr>
        <w:top w:val="none" w:sz="0" w:space="0" w:color="auto"/>
        <w:left w:val="none" w:sz="0" w:space="0" w:color="auto"/>
        <w:bottom w:val="none" w:sz="0" w:space="0" w:color="auto"/>
        <w:right w:val="none" w:sz="0" w:space="0" w:color="auto"/>
      </w:divBdr>
    </w:div>
    <w:div w:id="1348630015">
      <w:bodyDiv w:val="1"/>
      <w:marLeft w:val="0"/>
      <w:marRight w:val="0"/>
      <w:marTop w:val="0"/>
      <w:marBottom w:val="0"/>
      <w:divBdr>
        <w:top w:val="none" w:sz="0" w:space="0" w:color="auto"/>
        <w:left w:val="none" w:sz="0" w:space="0" w:color="auto"/>
        <w:bottom w:val="none" w:sz="0" w:space="0" w:color="auto"/>
        <w:right w:val="none" w:sz="0" w:space="0" w:color="auto"/>
      </w:divBdr>
    </w:div>
    <w:div w:id="1353847196">
      <w:bodyDiv w:val="1"/>
      <w:marLeft w:val="0"/>
      <w:marRight w:val="0"/>
      <w:marTop w:val="0"/>
      <w:marBottom w:val="0"/>
      <w:divBdr>
        <w:top w:val="none" w:sz="0" w:space="0" w:color="auto"/>
        <w:left w:val="none" w:sz="0" w:space="0" w:color="auto"/>
        <w:bottom w:val="none" w:sz="0" w:space="0" w:color="auto"/>
        <w:right w:val="none" w:sz="0" w:space="0" w:color="auto"/>
      </w:divBdr>
    </w:div>
    <w:div w:id="1355234278">
      <w:bodyDiv w:val="1"/>
      <w:marLeft w:val="0"/>
      <w:marRight w:val="0"/>
      <w:marTop w:val="0"/>
      <w:marBottom w:val="0"/>
      <w:divBdr>
        <w:top w:val="none" w:sz="0" w:space="0" w:color="auto"/>
        <w:left w:val="none" w:sz="0" w:space="0" w:color="auto"/>
        <w:bottom w:val="none" w:sz="0" w:space="0" w:color="auto"/>
        <w:right w:val="none" w:sz="0" w:space="0" w:color="auto"/>
      </w:divBdr>
    </w:div>
    <w:div w:id="1358770148">
      <w:bodyDiv w:val="1"/>
      <w:marLeft w:val="0"/>
      <w:marRight w:val="0"/>
      <w:marTop w:val="0"/>
      <w:marBottom w:val="0"/>
      <w:divBdr>
        <w:top w:val="none" w:sz="0" w:space="0" w:color="auto"/>
        <w:left w:val="none" w:sz="0" w:space="0" w:color="auto"/>
        <w:bottom w:val="none" w:sz="0" w:space="0" w:color="auto"/>
        <w:right w:val="none" w:sz="0" w:space="0" w:color="auto"/>
      </w:divBdr>
    </w:div>
    <w:div w:id="1359969785">
      <w:bodyDiv w:val="1"/>
      <w:marLeft w:val="0"/>
      <w:marRight w:val="0"/>
      <w:marTop w:val="0"/>
      <w:marBottom w:val="0"/>
      <w:divBdr>
        <w:top w:val="none" w:sz="0" w:space="0" w:color="auto"/>
        <w:left w:val="none" w:sz="0" w:space="0" w:color="auto"/>
        <w:bottom w:val="none" w:sz="0" w:space="0" w:color="auto"/>
        <w:right w:val="none" w:sz="0" w:space="0" w:color="auto"/>
      </w:divBdr>
    </w:div>
    <w:div w:id="1367020939">
      <w:bodyDiv w:val="1"/>
      <w:marLeft w:val="0"/>
      <w:marRight w:val="0"/>
      <w:marTop w:val="0"/>
      <w:marBottom w:val="0"/>
      <w:divBdr>
        <w:top w:val="none" w:sz="0" w:space="0" w:color="auto"/>
        <w:left w:val="none" w:sz="0" w:space="0" w:color="auto"/>
        <w:bottom w:val="none" w:sz="0" w:space="0" w:color="auto"/>
        <w:right w:val="none" w:sz="0" w:space="0" w:color="auto"/>
      </w:divBdr>
    </w:div>
    <w:div w:id="1368414950">
      <w:bodyDiv w:val="1"/>
      <w:marLeft w:val="0"/>
      <w:marRight w:val="0"/>
      <w:marTop w:val="0"/>
      <w:marBottom w:val="0"/>
      <w:divBdr>
        <w:top w:val="none" w:sz="0" w:space="0" w:color="auto"/>
        <w:left w:val="none" w:sz="0" w:space="0" w:color="auto"/>
        <w:bottom w:val="none" w:sz="0" w:space="0" w:color="auto"/>
        <w:right w:val="none" w:sz="0" w:space="0" w:color="auto"/>
      </w:divBdr>
    </w:div>
    <w:div w:id="1371757053">
      <w:bodyDiv w:val="1"/>
      <w:marLeft w:val="0"/>
      <w:marRight w:val="0"/>
      <w:marTop w:val="0"/>
      <w:marBottom w:val="0"/>
      <w:divBdr>
        <w:top w:val="none" w:sz="0" w:space="0" w:color="auto"/>
        <w:left w:val="none" w:sz="0" w:space="0" w:color="auto"/>
        <w:bottom w:val="none" w:sz="0" w:space="0" w:color="auto"/>
        <w:right w:val="none" w:sz="0" w:space="0" w:color="auto"/>
      </w:divBdr>
    </w:div>
    <w:div w:id="1372799836">
      <w:bodyDiv w:val="1"/>
      <w:marLeft w:val="0"/>
      <w:marRight w:val="0"/>
      <w:marTop w:val="0"/>
      <w:marBottom w:val="0"/>
      <w:divBdr>
        <w:top w:val="none" w:sz="0" w:space="0" w:color="auto"/>
        <w:left w:val="none" w:sz="0" w:space="0" w:color="auto"/>
        <w:bottom w:val="none" w:sz="0" w:space="0" w:color="auto"/>
        <w:right w:val="none" w:sz="0" w:space="0" w:color="auto"/>
      </w:divBdr>
    </w:div>
    <w:div w:id="1377074533">
      <w:bodyDiv w:val="1"/>
      <w:marLeft w:val="0"/>
      <w:marRight w:val="0"/>
      <w:marTop w:val="0"/>
      <w:marBottom w:val="0"/>
      <w:divBdr>
        <w:top w:val="none" w:sz="0" w:space="0" w:color="auto"/>
        <w:left w:val="none" w:sz="0" w:space="0" w:color="auto"/>
        <w:bottom w:val="none" w:sz="0" w:space="0" w:color="auto"/>
        <w:right w:val="none" w:sz="0" w:space="0" w:color="auto"/>
      </w:divBdr>
    </w:div>
    <w:div w:id="1378243132">
      <w:bodyDiv w:val="1"/>
      <w:marLeft w:val="0"/>
      <w:marRight w:val="0"/>
      <w:marTop w:val="0"/>
      <w:marBottom w:val="0"/>
      <w:divBdr>
        <w:top w:val="none" w:sz="0" w:space="0" w:color="auto"/>
        <w:left w:val="none" w:sz="0" w:space="0" w:color="auto"/>
        <w:bottom w:val="none" w:sz="0" w:space="0" w:color="auto"/>
        <w:right w:val="none" w:sz="0" w:space="0" w:color="auto"/>
      </w:divBdr>
    </w:div>
    <w:div w:id="1379283531">
      <w:bodyDiv w:val="1"/>
      <w:marLeft w:val="0"/>
      <w:marRight w:val="0"/>
      <w:marTop w:val="0"/>
      <w:marBottom w:val="0"/>
      <w:divBdr>
        <w:top w:val="none" w:sz="0" w:space="0" w:color="auto"/>
        <w:left w:val="none" w:sz="0" w:space="0" w:color="auto"/>
        <w:bottom w:val="none" w:sz="0" w:space="0" w:color="auto"/>
        <w:right w:val="none" w:sz="0" w:space="0" w:color="auto"/>
      </w:divBdr>
    </w:div>
    <w:div w:id="1380396170">
      <w:bodyDiv w:val="1"/>
      <w:marLeft w:val="0"/>
      <w:marRight w:val="0"/>
      <w:marTop w:val="0"/>
      <w:marBottom w:val="0"/>
      <w:divBdr>
        <w:top w:val="none" w:sz="0" w:space="0" w:color="auto"/>
        <w:left w:val="none" w:sz="0" w:space="0" w:color="auto"/>
        <w:bottom w:val="none" w:sz="0" w:space="0" w:color="auto"/>
        <w:right w:val="none" w:sz="0" w:space="0" w:color="auto"/>
      </w:divBdr>
    </w:div>
    <w:div w:id="1384138998">
      <w:bodyDiv w:val="1"/>
      <w:marLeft w:val="0"/>
      <w:marRight w:val="0"/>
      <w:marTop w:val="0"/>
      <w:marBottom w:val="0"/>
      <w:divBdr>
        <w:top w:val="none" w:sz="0" w:space="0" w:color="auto"/>
        <w:left w:val="none" w:sz="0" w:space="0" w:color="auto"/>
        <w:bottom w:val="none" w:sz="0" w:space="0" w:color="auto"/>
        <w:right w:val="none" w:sz="0" w:space="0" w:color="auto"/>
      </w:divBdr>
    </w:div>
    <w:div w:id="1385759040">
      <w:bodyDiv w:val="1"/>
      <w:marLeft w:val="0"/>
      <w:marRight w:val="0"/>
      <w:marTop w:val="0"/>
      <w:marBottom w:val="0"/>
      <w:divBdr>
        <w:top w:val="none" w:sz="0" w:space="0" w:color="auto"/>
        <w:left w:val="none" w:sz="0" w:space="0" w:color="auto"/>
        <w:bottom w:val="none" w:sz="0" w:space="0" w:color="auto"/>
        <w:right w:val="none" w:sz="0" w:space="0" w:color="auto"/>
      </w:divBdr>
    </w:div>
    <w:div w:id="1386442800">
      <w:bodyDiv w:val="1"/>
      <w:marLeft w:val="0"/>
      <w:marRight w:val="0"/>
      <w:marTop w:val="0"/>
      <w:marBottom w:val="0"/>
      <w:divBdr>
        <w:top w:val="none" w:sz="0" w:space="0" w:color="auto"/>
        <w:left w:val="none" w:sz="0" w:space="0" w:color="auto"/>
        <w:bottom w:val="none" w:sz="0" w:space="0" w:color="auto"/>
        <w:right w:val="none" w:sz="0" w:space="0" w:color="auto"/>
      </w:divBdr>
    </w:div>
    <w:div w:id="1386880470">
      <w:bodyDiv w:val="1"/>
      <w:marLeft w:val="0"/>
      <w:marRight w:val="0"/>
      <w:marTop w:val="0"/>
      <w:marBottom w:val="0"/>
      <w:divBdr>
        <w:top w:val="none" w:sz="0" w:space="0" w:color="auto"/>
        <w:left w:val="none" w:sz="0" w:space="0" w:color="auto"/>
        <w:bottom w:val="none" w:sz="0" w:space="0" w:color="auto"/>
        <w:right w:val="none" w:sz="0" w:space="0" w:color="auto"/>
      </w:divBdr>
    </w:div>
    <w:div w:id="1387409900">
      <w:bodyDiv w:val="1"/>
      <w:marLeft w:val="0"/>
      <w:marRight w:val="0"/>
      <w:marTop w:val="0"/>
      <w:marBottom w:val="0"/>
      <w:divBdr>
        <w:top w:val="none" w:sz="0" w:space="0" w:color="auto"/>
        <w:left w:val="none" w:sz="0" w:space="0" w:color="auto"/>
        <w:bottom w:val="none" w:sz="0" w:space="0" w:color="auto"/>
        <w:right w:val="none" w:sz="0" w:space="0" w:color="auto"/>
      </w:divBdr>
    </w:div>
    <w:div w:id="1397238973">
      <w:bodyDiv w:val="1"/>
      <w:marLeft w:val="0"/>
      <w:marRight w:val="0"/>
      <w:marTop w:val="0"/>
      <w:marBottom w:val="0"/>
      <w:divBdr>
        <w:top w:val="none" w:sz="0" w:space="0" w:color="auto"/>
        <w:left w:val="none" w:sz="0" w:space="0" w:color="auto"/>
        <w:bottom w:val="none" w:sz="0" w:space="0" w:color="auto"/>
        <w:right w:val="none" w:sz="0" w:space="0" w:color="auto"/>
      </w:divBdr>
    </w:div>
    <w:div w:id="1399938229">
      <w:bodyDiv w:val="1"/>
      <w:marLeft w:val="0"/>
      <w:marRight w:val="0"/>
      <w:marTop w:val="0"/>
      <w:marBottom w:val="0"/>
      <w:divBdr>
        <w:top w:val="none" w:sz="0" w:space="0" w:color="auto"/>
        <w:left w:val="none" w:sz="0" w:space="0" w:color="auto"/>
        <w:bottom w:val="none" w:sz="0" w:space="0" w:color="auto"/>
        <w:right w:val="none" w:sz="0" w:space="0" w:color="auto"/>
      </w:divBdr>
    </w:div>
    <w:div w:id="1402941726">
      <w:bodyDiv w:val="1"/>
      <w:marLeft w:val="0"/>
      <w:marRight w:val="0"/>
      <w:marTop w:val="0"/>
      <w:marBottom w:val="0"/>
      <w:divBdr>
        <w:top w:val="none" w:sz="0" w:space="0" w:color="auto"/>
        <w:left w:val="none" w:sz="0" w:space="0" w:color="auto"/>
        <w:bottom w:val="none" w:sz="0" w:space="0" w:color="auto"/>
        <w:right w:val="none" w:sz="0" w:space="0" w:color="auto"/>
      </w:divBdr>
    </w:div>
    <w:div w:id="1405907948">
      <w:bodyDiv w:val="1"/>
      <w:marLeft w:val="0"/>
      <w:marRight w:val="0"/>
      <w:marTop w:val="0"/>
      <w:marBottom w:val="0"/>
      <w:divBdr>
        <w:top w:val="none" w:sz="0" w:space="0" w:color="auto"/>
        <w:left w:val="none" w:sz="0" w:space="0" w:color="auto"/>
        <w:bottom w:val="none" w:sz="0" w:space="0" w:color="auto"/>
        <w:right w:val="none" w:sz="0" w:space="0" w:color="auto"/>
      </w:divBdr>
    </w:div>
    <w:div w:id="1411082171">
      <w:bodyDiv w:val="1"/>
      <w:marLeft w:val="0"/>
      <w:marRight w:val="0"/>
      <w:marTop w:val="0"/>
      <w:marBottom w:val="0"/>
      <w:divBdr>
        <w:top w:val="none" w:sz="0" w:space="0" w:color="auto"/>
        <w:left w:val="none" w:sz="0" w:space="0" w:color="auto"/>
        <w:bottom w:val="none" w:sz="0" w:space="0" w:color="auto"/>
        <w:right w:val="none" w:sz="0" w:space="0" w:color="auto"/>
      </w:divBdr>
    </w:div>
    <w:div w:id="1412852305">
      <w:bodyDiv w:val="1"/>
      <w:marLeft w:val="0"/>
      <w:marRight w:val="0"/>
      <w:marTop w:val="0"/>
      <w:marBottom w:val="0"/>
      <w:divBdr>
        <w:top w:val="none" w:sz="0" w:space="0" w:color="auto"/>
        <w:left w:val="none" w:sz="0" w:space="0" w:color="auto"/>
        <w:bottom w:val="none" w:sz="0" w:space="0" w:color="auto"/>
        <w:right w:val="none" w:sz="0" w:space="0" w:color="auto"/>
      </w:divBdr>
    </w:div>
    <w:div w:id="1413164448">
      <w:bodyDiv w:val="1"/>
      <w:marLeft w:val="0"/>
      <w:marRight w:val="0"/>
      <w:marTop w:val="0"/>
      <w:marBottom w:val="0"/>
      <w:divBdr>
        <w:top w:val="none" w:sz="0" w:space="0" w:color="auto"/>
        <w:left w:val="none" w:sz="0" w:space="0" w:color="auto"/>
        <w:bottom w:val="none" w:sz="0" w:space="0" w:color="auto"/>
        <w:right w:val="none" w:sz="0" w:space="0" w:color="auto"/>
      </w:divBdr>
    </w:div>
    <w:div w:id="1413700240">
      <w:bodyDiv w:val="1"/>
      <w:marLeft w:val="0"/>
      <w:marRight w:val="0"/>
      <w:marTop w:val="0"/>
      <w:marBottom w:val="0"/>
      <w:divBdr>
        <w:top w:val="none" w:sz="0" w:space="0" w:color="auto"/>
        <w:left w:val="none" w:sz="0" w:space="0" w:color="auto"/>
        <w:bottom w:val="none" w:sz="0" w:space="0" w:color="auto"/>
        <w:right w:val="none" w:sz="0" w:space="0" w:color="auto"/>
      </w:divBdr>
    </w:div>
    <w:div w:id="1418164741">
      <w:bodyDiv w:val="1"/>
      <w:marLeft w:val="0"/>
      <w:marRight w:val="0"/>
      <w:marTop w:val="0"/>
      <w:marBottom w:val="0"/>
      <w:divBdr>
        <w:top w:val="none" w:sz="0" w:space="0" w:color="auto"/>
        <w:left w:val="none" w:sz="0" w:space="0" w:color="auto"/>
        <w:bottom w:val="none" w:sz="0" w:space="0" w:color="auto"/>
        <w:right w:val="none" w:sz="0" w:space="0" w:color="auto"/>
      </w:divBdr>
    </w:div>
    <w:div w:id="1421482164">
      <w:bodyDiv w:val="1"/>
      <w:marLeft w:val="0"/>
      <w:marRight w:val="0"/>
      <w:marTop w:val="0"/>
      <w:marBottom w:val="0"/>
      <w:divBdr>
        <w:top w:val="none" w:sz="0" w:space="0" w:color="auto"/>
        <w:left w:val="none" w:sz="0" w:space="0" w:color="auto"/>
        <w:bottom w:val="none" w:sz="0" w:space="0" w:color="auto"/>
        <w:right w:val="none" w:sz="0" w:space="0" w:color="auto"/>
      </w:divBdr>
    </w:div>
    <w:div w:id="1426465211">
      <w:bodyDiv w:val="1"/>
      <w:marLeft w:val="0"/>
      <w:marRight w:val="0"/>
      <w:marTop w:val="0"/>
      <w:marBottom w:val="0"/>
      <w:divBdr>
        <w:top w:val="none" w:sz="0" w:space="0" w:color="auto"/>
        <w:left w:val="none" w:sz="0" w:space="0" w:color="auto"/>
        <w:bottom w:val="none" w:sz="0" w:space="0" w:color="auto"/>
        <w:right w:val="none" w:sz="0" w:space="0" w:color="auto"/>
      </w:divBdr>
    </w:div>
    <w:div w:id="1429034798">
      <w:bodyDiv w:val="1"/>
      <w:marLeft w:val="0"/>
      <w:marRight w:val="0"/>
      <w:marTop w:val="0"/>
      <w:marBottom w:val="0"/>
      <w:divBdr>
        <w:top w:val="none" w:sz="0" w:space="0" w:color="auto"/>
        <w:left w:val="none" w:sz="0" w:space="0" w:color="auto"/>
        <w:bottom w:val="none" w:sz="0" w:space="0" w:color="auto"/>
        <w:right w:val="none" w:sz="0" w:space="0" w:color="auto"/>
      </w:divBdr>
    </w:div>
    <w:div w:id="1435712440">
      <w:bodyDiv w:val="1"/>
      <w:marLeft w:val="0"/>
      <w:marRight w:val="0"/>
      <w:marTop w:val="0"/>
      <w:marBottom w:val="0"/>
      <w:divBdr>
        <w:top w:val="none" w:sz="0" w:space="0" w:color="auto"/>
        <w:left w:val="none" w:sz="0" w:space="0" w:color="auto"/>
        <w:bottom w:val="none" w:sz="0" w:space="0" w:color="auto"/>
        <w:right w:val="none" w:sz="0" w:space="0" w:color="auto"/>
      </w:divBdr>
    </w:div>
    <w:div w:id="1440678405">
      <w:bodyDiv w:val="1"/>
      <w:marLeft w:val="0"/>
      <w:marRight w:val="0"/>
      <w:marTop w:val="0"/>
      <w:marBottom w:val="0"/>
      <w:divBdr>
        <w:top w:val="none" w:sz="0" w:space="0" w:color="auto"/>
        <w:left w:val="none" w:sz="0" w:space="0" w:color="auto"/>
        <w:bottom w:val="none" w:sz="0" w:space="0" w:color="auto"/>
        <w:right w:val="none" w:sz="0" w:space="0" w:color="auto"/>
      </w:divBdr>
    </w:div>
    <w:div w:id="1444232497">
      <w:bodyDiv w:val="1"/>
      <w:marLeft w:val="0"/>
      <w:marRight w:val="0"/>
      <w:marTop w:val="0"/>
      <w:marBottom w:val="0"/>
      <w:divBdr>
        <w:top w:val="none" w:sz="0" w:space="0" w:color="auto"/>
        <w:left w:val="none" w:sz="0" w:space="0" w:color="auto"/>
        <w:bottom w:val="none" w:sz="0" w:space="0" w:color="auto"/>
        <w:right w:val="none" w:sz="0" w:space="0" w:color="auto"/>
      </w:divBdr>
    </w:div>
    <w:div w:id="1448428588">
      <w:bodyDiv w:val="1"/>
      <w:marLeft w:val="0"/>
      <w:marRight w:val="0"/>
      <w:marTop w:val="0"/>
      <w:marBottom w:val="0"/>
      <w:divBdr>
        <w:top w:val="none" w:sz="0" w:space="0" w:color="auto"/>
        <w:left w:val="none" w:sz="0" w:space="0" w:color="auto"/>
        <w:bottom w:val="none" w:sz="0" w:space="0" w:color="auto"/>
        <w:right w:val="none" w:sz="0" w:space="0" w:color="auto"/>
      </w:divBdr>
    </w:div>
    <w:div w:id="1451585478">
      <w:bodyDiv w:val="1"/>
      <w:marLeft w:val="0"/>
      <w:marRight w:val="0"/>
      <w:marTop w:val="0"/>
      <w:marBottom w:val="0"/>
      <w:divBdr>
        <w:top w:val="none" w:sz="0" w:space="0" w:color="auto"/>
        <w:left w:val="none" w:sz="0" w:space="0" w:color="auto"/>
        <w:bottom w:val="none" w:sz="0" w:space="0" w:color="auto"/>
        <w:right w:val="none" w:sz="0" w:space="0" w:color="auto"/>
      </w:divBdr>
    </w:div>
    <w:div w:id="1452937792">
      <w:bodyDiv w:val="1"/>
      <w:marLeft w:val="0"/>
      <w:marRight w:val="0"/>
      <w:marTop w:val="0"/>
      <w:marBottom w:val="0"/>
      <w:divBdr>
        <w:top w:val="none" w:sz="0" w:space="0" w:color="auto"/>
        <w:left w:val="none" w:sz="0" w:space="0" w:color="auto"/>
        <w:bottom w:val="none" w:sz="0" w:space="0" w:color="auto"/>
        <w:right w:val="none" w:sz="0" w:space="0" w:color="auto"/>
      </w:divBdr>
    </w:div>
    <w:div w:id="1455102543">
      <w:bodyDiv w:val="1"/>
      <w:marLeft w:val="0"/>
      <w:marRight w:val="0"/>
      <w:marTop w:val="0"/>
      <w:marBottom w:val="0"/>
      <w:divBdr>
        <w:top w:val="none" w:sz="0" w:space="0" w:color="auto"/>
        <w:left w:val="none" w:sz="0" w:space="0" w:color="auto"/>
        <w:bottom w:val="none" w:sz="0" w:space="0" w:color="auto"/>
        <w:right w:val="none" w:sz="0" w:space="0" w:color="auto"/>
      </w:divBdr>
    </w:div>
    <w:div w:id="1457216909">
      <w:bodyDiv w:val="1"/>
      <w:marLeft w:val="0"/>
      <w:marRight w:val="0"/>
      <w:marTop w:val="0"/>
      <w:marBottom w:val="0"/>
      <w:divBdr>
        <w:top w:val="none" w:sz="0" w:space="0" w:color="auto"/>
        <w:left w:val="none" w:sz="0" w:space="0" w:color="auto"/>
        <w:bottom w:val="none" w:sz="0" w:space="0" w:color="auto"/>
        <w:right w:val="none" w:sz="0" w:space="0" w:color="auto"/>
      </w:divBdr>
    </w:div>
    <w:div w:id="1463889397">
      <w:bodyDiv w:val="1"/>
      <w:marLeft w:val="0"/>
      <w:marRight w:val="0"/>
      <w:marTop w:val="0"/>
      <w:marBottom w:val="0"/>
      <w:divBdr>
        <w:top w:val="none" w:sz="0" w:space="0" w:color="auto"/>
        <w:left w:val="none" w:sz="0" w:space="0" w:color="auto"/>
        <w:bottom w:val="none" w:sz="0" w:space="0" w:color="auto"/>
        <w:right w:val="none" w:sz="0" w:space="0" w:color="auto"/>
      </w:divBdr>
    </w:div>
    <w:div w:id="1464344357">
      <w:bodyDiv w:val="1"/>
      <w:marLeft w:val="0"/>
      <w:marRight w:val="0"/>
      <w:marTop w:val="0"/>
      <w:marBottom w:val="0"/>
      <w:divBdr>
        <w:top w:val="none" w:sz="0" w:space="0" w:color="auto"/>
        <w:left w:val="none" w:sz="0" w:space="0" w:color="auto"/>
        <w:bottom w:val="none" w:sz="0" w:space="0" w:color="auto"/>
        <w:right w:val="none" w:sz="0" w:space="0" w:color="auto"/>
      </w:divBdr>
    </w:div>
    <w:div w:id="1465002900">
      <w:bodyDiv w:val="1"/>
      <w:marLeft w:val="0"/>
      <w:marRight w:val="0"/>
      <w:marTop w:val="0"/>
      <w:marBottom w:val="0"/>
      <w:divBdr>
        <w:top w:val="none" w:sz="0" w:space="0" w:color="auto"/>
        <w:left w:val="none" w:sz="0" w:space="0" w:color="auto"/>
        <w:bottom w:val="none" w:sz="0" w:space="0" w:color="auto"/>
        <w:right w:val="none" w:sz="0" w:space="0" w:color="auto"/>
      </w:divBdr>
    </w:div>
    <w:div w:id="1489587557">
      <w:bodyDiv w:val="1"/>
      <w:marLeft w:val="0"/>
      <w:marRight w:val="0"/>
      <w:marTop w:val="0"/>
      <w:marBottom w:val="0"/>
      <w:divBdr>
        <w:top w:val="none" w:sz="0" w:space="0" w:color="auto"/>
        <w:left w:val="none" w:sz="0" w:space="0" w:color="auto"/>
        <w:bottom w:val="none" w:sz="0" w:space="0" w:color="auto"/>
        <w:right w:val="none" w:sz="0" w:space="0" w:color="auto"/>
      </w:divBdr>
    </w:div>
    <w:div w:id="1489860091">
      <w:bodyDiv w:val="1"/>
      <w:marLeft w:val="0"/>
      <w:marRight w:val="0"/>
      <w:marTop w:val="0"/>
      <w:marBottom w:val="0"/>
      <w:divBdr>
        <w:top w:val="none" w:sz="0" w:space="0" w:color="auto"/>
        <w:left w:val="none" w:sz="0" w:space="0" w:color="auto"/>
        <w:bottom w:val="none" w:sz="0" w:space="0" w:color="auto"/>
        <w:right w:val="none" w:sz="0" w:space="0" w:color="auto"/>
      </w:divBdr>
    </w:div>
    <w:div w:id="1496606663">
      <w:bodyDiv w:val="1"/>
      <w:marLeft w:val="0"/>
      <w:marRight w:val="0"/>
      <w:marTop w:val="0"/>
      <w:marBottom w:val="0"/>
      <w:divBdr>
        <w:top w:val="none" w:sz="0" w:space="0" w:color="auto"/>
        <w:left w:val="none" w:sz="0" w:space="0" w:color="auto"/>
        <w:bottom w:val="none" w:sz="0" w:space="0" w:color="auto"/>
        <w:right w:val="none" w:sz="0" w:space="0" w:color="auto"/>
      </w:divBdr>
    </w:div>
    <w:div w:id="1497106760">
      <w:bodyDiv w:val="1"/>
      <w:marLeft w:val="0"/>
      <w:marRight w:val="0"/>
      <w:marTop w:val="0"/>
      <w:marBottom w:val="0"/>
      <w:divBdr>
        <w:top w:val="none" w:sz="0" w:space="0" w:color="auto"/>
        <w:left w:val="none" w:sz="0" w:space="0" w:color="auto"/>
        <w:bottom w:val="none" w:sz="0" w:space="0" w:color="auto"/>
        <w:right w:val="none" w:sz="0" w:space="0" w:color="auto"/>
      </w:divBdr>
    </w:div>
    <w:div w:id="1498837750">
      <w:bodyDiv w:val="1"/>
      <w:marLeft w:val="0"/>
      <w:marRight w:val="0"/>
      <w:marTop w:val="0"/>
      <w:marBottom w:val="0"/>
      <w:divBdr>
        <w:top w:val="none" w:sz="0" w:space="0" w:color="auto"/>
        <w:left w:val="none" w:sz="0" w:space="0" w:color="auto"/>
        <w:bottom w:val="none" w:sz="0" w:space="0" w:color="auto"/>
        <w:right w:val="none" w:sz="0" w:space="0" w:color="auto"/>
      </w:divBdr>
    </w:div>
    <w:div w:id="1501702201">
      <w:bodyDiv w:val="1"/>
      <w:marLeft w:val="0"/>
      <w:marRight w:val="0"/>
      <w:marTop w:val="0"/>
      <w:marBottom w:val="0"/>
      <w:divBdr>
        <w:top w:val="none" w:sz="0" w:space="0" w:color="auto"/>
        <w:left w:val="none" w:sz="0" w:space="0" w:color="auto"/>
        <w:bottom w:val="none" w:sz="0" w:space="0" w:color="auto"/>
        <w:right w:val="none" w:sz="0" w:space="0" w:color="auto"/>
      </w:divBdr>
    </w:div>
    <w:div w:id="1501968179">
      <w:bodyDiv w:val="1"/>
      <w:marLeft w:val="0"/>
      <w:marRight w:val="0"/>
      <w:marTop w:val="0"/>
      <w:marBottom w:val="0"/>
      <w:divBdr>
        <w:top w:val="none" w:sz="0" w:space="0" w:color="auto"/>
        <w:left w:val="none" w:sz="0" w:space="0" w:color="auto"/>
        <w:bottom w:val="none" w:sz="0" w:space="0" w:color="auto"/>
        <w:right w:val="none" w:sz="0" w:space="0" w:color="auto"/>
      </w:divBdr>
    </w:div>
    <w:div w:id="1505515511">
      <w:bodyDiv w:val="1"/>
      <w:marLeft w:val="0"/>
      <w:marRight w:val="0"/>
      <w:marTop w:val="0"/>
      <w:marBottom w:val="0"/>
      <w:divBdr>
        <w:top w:val="none" w:sz="0" w:space="0" w:color="auto"/>
        <w:left w:val="none" w:sz="0" w:space="0" w:color="auto"/>
        <w:bottom w:val="none" w:sz="0" w:space="0" w:color="auto"/>
        <w:right w:val="none" w:sz="0" w:space="0" w:color="auto"/>
      </w:divBdr>
    </w:div>
    <w:div w:id="1506358893">
      <w:bodyDiv w:val="1"/>
      <w:marLeft w:val="0"/>
      <w:marRight w:val="0"/>
      <w:marTop w:val="0"/>
      <w:marBottom w:val="0"/>
      <w:divBdr>
        <w:top w:val="none" w:sz="0" w:space="0" w:color="auto"/>
        <w:left w:val="none" w:sz="0" w:space="0" w:color="auto"/>
        <w:bottom w:val="none" w:sz="0" w:space="0" w:color="auto"/>
        <w:right w:val="none" w:sz="0" w:space="0" w:color="auto"/>
      </w:divBdr>
    </w:div>
    <w:div w:id="1507093011">
      <w:bodyDiv w:val="1"/>
      <w:marLeft w:val="0"/>
      <w:marRight w:val="0"/>
      <w:marTop w:val="0"/>
      <w:marBottom w:val="0"/>
      <w:divBdr>
        <w:top w:val="none" w:sz="0" w:space="0" w:color="auto"/>
        <w:left w:val="none" w:sz="0" w:space="0" w:color="auto"/>
        <w:bottom w:val="none" w:sz="0" w:space="0" w:color="auto"/>
        <w:right w:val="none" w:sz="0" w:space="0" w:color="auto"/>
      </w:divBdr>
    </w:div>
    <w:div w:id="1510831206">
      <w:bodyDiv w:val="1"/>
      <w:marLeft w:val="0"/>
      <w:marRight w:val="0"/>
      <w:marTop w:val="0"/>
      <w:marBottom w:val="0"/>
      <w:divBdr>
        <w:top w:val="none" w:sz="0" w:space="0" w:color="auto"/>
        <w:left w:val="none" w:sz="0" w:space="0" w:color="auto"/>
        <w:bottom w:val="none" w:sz="0" w:space="0" w:color="auto"/>
        <w:right w:val="none" w:sz="0" w:space="0" w:color="auto"/>
      </w:divBdr>
    </w:div>
    <w:div w:id="1515457807">
      <w:bodyDiv w:val="1"/>
      <w:marLeft w:val="0"/>
      <w:marRight w:val="0"/>
      <w:marTop w:val="0"/>
      <w:marBottom w:val="0"/>
      <w:divBdr>
        <w:top w:val="none" w:sz="0" w:space="0" w:color="auto"/>
        <w:left w:val="none" w:sz="0" w:space="0" w:color="auto"/>
        <w:bottom w:val="none" w:sz="0" w:space="0" w:color="auto"/>
        <w:right w:val="none" w:sz="0" w:space="0" w:color="auto"/>
      </w:divBdr>
    </w:div>
    <w:div w:id="1515654187">
      <w:bodyDiv w:val="1"/>
      <w:marLeft w:val="0"/>
      <w:marRight w:val="0"/>
      <w:marTop w:val="0"/>
      <w:marBottom w:val="0"/>
      <w:divBdr>
        <w:top w:val="none" w:sz="0" w:space="0" w:color="auto"/>
        <w:left w:val="none" w:sz="0" w:space="0" w:color="auto"/>
        <w:bottom w:val="none" w:sz="0" w:space="0" w:color="auto"/>
        <w:right w:val="none" w:sz="0" w:space="0" w:color="auto"/>
      </w:divBdr>
    </w:div>
    <w:div w:id="1525440768">
      <w:bodyDiv w:val="1"/>
      <w:marLeft w:val="0"/>
      <w:marRight w:val="0"/>
      <w:marTop w:val="0"/>
      <w:marBottom w:val="0"/>
      <w:divBdr>
        <w:top w:val="none" w:sz="0" w:space="0" w:color="auto"/>
        <w:left w:val="none" w:sz="0" w:space="0" w:color="auto"/>
        <w:bottom w:val="none" w:sz="0" w:space="0" w:color="auto"/>
        <w:right w:val="none" w:sz="0" w:space="0" w:color="auto"/>
      </w:divBdr>
    </w:div>
    <w:div w:id="1534071215">
      <w:bodyDiv w:val="1"/>
      <w:marLeft w:val="0"/>
      <w:marRight w:val="0"/>
      <w:marTop w:val="0"/>
      <w:marBottom w:val="0"/>
      <w:divBdr>
        <w:top w:val="none" w:sz="0" w:space="0" w:color="auto"/>
        <w:left w:val="none" w:sz="0" w:space="0" w:color="auto"/>
        <w:bottom w:val="none" w:sz="0" w:space="0" w:color="auto"/>
        <w:right w:val="none" w:sz="0" w:space="0" w:color="auto"/>
      </w:divBdr>
    </w:div>
    <w:div w:id="1535313208">
      <w:bodyDiv w:val="1"/>
      <w:marLeft w:val="0"/>
      <w:marRight w:val="0"/>
      <w:marTop w:val="0"/>
      <w:marBottom w:val="0"/>
      <w:divBdr>
        <w:top w:val="none" w:sz="0" w:space="0" w:color="auto"/>
        <w:left w:val="none" w:sz="0" w:space="0" w:color="auto"/>
        <w:bottom w:val="none" w:sz="0" w:space="0" w:color="auto"/>
        <w:right w:val="none" w:sz="0" w:space="0" w:color="auto"/>
      </w:divBdr>
    </w:div>
    <w:div w:id="1535772853">
      <w:bodyDiv w:val="1"/>
      <w:marLeft w:val="0"/>
      <w:marRight w:val="0"/>
      <w:marTop w:val="0"/>
      <w:marBottom w:val="0"/>
      <w:divBdr>
        <w:top w:val="none" w:sz="0" w:space="0" w:color="auto"/>
        <w:left w:val="none" w:sz="0" w:space="0" w:color="auto"/>
        <w:bottom w:val="none" w:sz="0" w:space="0" w:color="auto"/>
        <w:right w:val="none" w:sz="0" w:space="0" w:color="auto"/>
      </w:divBdr>
    </w:div>
    <w:div w:id="1538617912">
      <w:bodyDiv w:val="1"/>
      <w:marLeft w:val="0"/>
      <w:marRight w:val="0"/>
      <w:marTop w:val="0"/>
      <w:marBottom w:val="0"/>
      <w:divBdr>
        <w:top w:val="none" w:sz="0" w:space="0" w:color="auto"/>
        <w:left w:val="none" w:sz="0" w:space="0" w:color="auto"/>
        <w:bottom w:val="none" w:sz="0" w:space="0" w:color="auto"/>
        <w:right w:val="none" w:sz="0" w:space="0" w:color="auto"/>
      </w:divBdr>
    </w:div>
    <w:div w:id="1538852660">
      <w:bodyDiv w:val="1"/>
      <w:marLeft w:val="0"/>
      <w:marRight w:val="0"/>
      <w:marTop w:val="0"/>
      <w:marBottom w:val="0"/>
      <w:divBdr>
        <w:top w:val="none" w:sz="0" w:space="0" w:color="auto"/>
        <w:left w:val="none" w:sz="0" w:space="0" w:color="auto"/>
        <w:bottom w:val="none" w:sz="0" w:space="0" w:color="auto"/>
        <w:right w:val="none" w:sz="0" w:space="0" w:color="auto"/>
      </w:divBdr>
    </w:div>
    <w:div w:id="1540048388">
      <w:bodyDiv w:val="1"/>
      <w:marLeft w:val="0"/>
      <w:marRight w:val="0"/>
      <w:marTop w:val="0"/>
      <w:marBottom w:val="0"/>
      <w:divBdr>
        <w:top w:val="none" w:sz="0" w:space="0" w:color="auto"/>
        <w:left w:val="none" w:sz="0" w:space="0" w:color="auto"/>
        <w:bottom w:val="none" w:sz="0" w:space="0" w:color="auto"/>
        <w:right w:val="none" w:sz="0" w:space="0" w:color="auto"/>
      </w:divBdr>
    </w:div>
    <w:div w:id="1542132191">
      <w:bodyDiv w:val="1"/>
      <w:marLeft w:val="0"/>
      <w:marRight w:val="0"/>
      <w:marTop w:val="0"/>
      <w:marBottom w:val="0"/>
      <w:divBdr>
        <w:top w:val="none" w:sz="0" w:space="0" w:color="auto"/>
        <w:left w:val="none" w:sz="0" w:space="0" w:color="auto"/>
        <w:bottom w:val="none" w:sz="0" w:space="0" w:color="auto"/>
        <w:right w:val="none" w:sz="0" w:space="0" w:color="auto"/>
      </w:divBdr>
    </w:div>
    <w:div w:id="1542136118">
      <w:bodyDiv w:val="1"/>
      <w:marLeft w:val="0"/>
      <w:marRight w:val="0"/>
      <w:marTop w:val="0"/>
      <w:marBottom w:val="0"/>
      <w:divBdr>
        <w:top w:val="none" w:sz="0" w:space="0" w:color="auto"/>
        <w:left w:val="none" w:sz="0" w:space="0" w:color="auto"/>
        <w:bottom w:val="none" w:sz="0" w:space="0" w:color="auto"/>
        <w:right w:val="none" w:sz="0" w:space="0" w:color="auto"/>
      </w:divBdr>
    </w:div>
    <w:div w:id="1554391679">
      <w:bodyDiv w:val="1"/>
      <w:marLeft w:val="0"/>
      <w:marRight w:val="0"/>
      <w:marTop w:val="0"/>
      <w:marBottom w:val="0"/>
      <w:divBdr>
        <w:top w:val="none" w:sz="0" w:space="0" w:color="auto"/>
        <w:left w:val="none" w:sz="0" w:space="0" w:color="auto"/>
        <w:bottom w:val="none" w:sz="0" w:space="0" w:color="auto"/>
        <w:right w:val="none" w:sz="0" w:space="0" w:color="auto"/>
      </w:divBdr>
    </w:div>
    <w:div w:id="1557011109">
      <w:bodyDiv w:val="1"/>
      <w:marLeft w:val="0"/>
      <w:marRight w:val="0"/>
      <w:marTop w:val="0"/>
      <w:marBottom w:val="0"/>
      <w:divBdr>
        <w:top w:val="none" w:sz="0" w:space="0" w:color="auto"/>
        <w:left w:val="none" w:sz="0" w:space="0" w:color="auto"/>
        <w:bottom w:val="none" w:sz="0" w:space="0" w:color="auto"/>
        <w:right w:val="none" w:sz="0" w:space="0" w:color="auto"/>
      </w:divBdr>
    </w:div>
    <w:div w:id="1557551228">
      <w:bodyDiv w:val="1"/>
      <w:marLeft w:val="0"/>
      <w:marRight w:val="0"/>
      <w:marTop w:val="0"/>
      <w:marBottom w:val="0"/>
      <w:divBdr>
        <w:top w:val="none" w:sz="0" w:space="0" w:color="auto"/>
        <w:left w:val="none" w:sz="0" w:space="0" w:color="auto"/>
        <w:bottom w:val="none" w:sz="0" w:space="0" w:color="auto"/>
        <w:right w:val="none" w:sz="0" w:space="0" w:color="auto"/>
      </w:divBdr>
    </w:div>
    <w:div w:id="1560245625">
      <w:bodyDiv w:val="1"/>
      <w:marLeft w:val="0"/>
      <w:marRight w:val="0"/>
      <w:marTop w:val="0"/>
      <w:marBottom w:val="0"/>
      <w:divBdr>
        <w:top w:val="none" w:sz="0" w:space="0" w:color="auto"/>
        <w:left w:val="none" w:sz="0" w:space="0" w:color="auto"/>
        <w:bottom w:val="none" w:sz="0" w:space="0" w:color="auto"/>
        <w:right w:val="none" w:sz="0" w:space="0" w:color="auto"/>
      </w:divBdr>
    </w:div>
    <w:div w:id="1566912992">
      <w:bodyDiv w:val="1"/>
      <w:marLeft w:val="0"/>
      <w:marRight w:val="0"/>
      <w:marTop w:val="0"/>
      <w:marBottom w:val="0"/>
      <w:divBdr>
        <w:top w:val="none" w:sz="0" w:space="0" w:color="auto"/>
        <w:left w:val="none" w:sz="0" w:space="0" w:color="auto"/>
        <w:bottom w:val="none" w:sz="0" w:space="0" w:color="auto"/>
        <w:right w:val="none" w:sz="0" w:space="0" w:color="auto"/>
      </w:divBdr>
    </w:div>
    <w:div w:id="1567766065">
      <w:bodyDiv w:val="1"/>
      <w:marLeft w:val="0"/>
      <w:marRight w:val="0"/>
      <w:marTop w:val="0"/>
      <w:marBottom w:val="0"/>
      <w:divBdr>
        <w:top w:val="none" w:sz="0" w:space="0" w:color="auto"/>
        <w:left w:val="none" w:sz="0" w:space="0" w:color="auto"/>
        <w:bottom w:val="none" w:sz="0" w:space="0" w:color="auto"/>
        <w:right w:val="none" w:sz="0" w:space="0" w:color="auto"/>
      </w:divBdr>
    </w:div>
    <w:div w:id="1572228757">
      <w:bodyDiv w:val="1"/>
      <w:marLeft w:val="0"/>
      <w:marRight w:val="0"/>
      <w:marTop w:val="0"/>
      <w:marBottom w:val="0"/>
      <w:divBdr>
        <w:top w:val="none" w:sz="0" w:space="0" w:color="auto"/>
        <w:left w:val="none" w:sz="0" w:space="0" w:color="auto"/>
        <w:bottom w:val="none" w:sz="0" w:space="0" w:color="auto"/>
        <w:right w:val="none" w:sz="0" w:space="0" w:color="auto"/>
      </w:divBdr>
    </w:div>
    <w:div w:id="1572500469">
      <w:bodyDiv w:val="1"/>
      <w:marLeft w:val="0"/>
      <w:marRight w:val="0"/>
      <w:marTop w:val="0"/>
      <w:marBottom w:val="0"/>
      <w:divBdr>
        <w:top w:val="none" w:sz="0" w:space="0" w:color="auto"/>
        <w:left w:val="none" w:sz="0" w:space="0" w:color="auto"/>
        <w:bottom w:val="none" w:sz="0" w:space="0" w:color="auto"/>
        <w:right w:val="none" w:sz="0" w:space="0" w:color="auto"/>
      </w:divBdr>
    </w:div>
    <w:div w:id="1575236276">
      <w:bodyDiv w:val="1"/>
      <w:marLeft w:val="0"/>
      <w:marRight w:val="0"/>
      <w:marTop w:val="0"/>
      <w:marBottom w:val="0"/>
      <w:divBdr>
        <w:top w:val="none" w:sz="0" w:space="0" w:color="auto"/>
        <w:left w:val="none" w:sz="0" w:space="0" w:color="auto"/>
        <w:bottom w:val="none" w:sz="0" w:space="0" w:color="auto"/>
        <w:right w:val="none" w:sz="0" w:space="0" w:color="auto"/>
      </w:divBdr>
    </w:div>
    <w:div w:id="1577589414">
      <w:bodyDiv w:val="1"/>
      <w:marLeft w:val="0"/>
      <w:marRight w:val="0"/>
      <w:marTop w:val="0"/>
      <w:marBottom w:val="0"/>
      <w:divBdr>
        <w:top w:val="none" w:sz="0" w:space="0" w:color="auto"/>
        <w:left w:val="none" w:sz="0" w:space="0" w:color="auto"/>
        <w:bottom w:val="none" w:sz="0" w:space="0" w:color="auto"/>
        <w:right w:val="none" w:sz="0" w:space="0" w:color="auto"/>
      </w:divBdr>
    </w:div>
    <w:div w:id="1578592113">
      <w:bodyDiv w:val="1"/>
      <w:marLeft w:val="0"/>
      <w:marRight w:val="0"/>
      <w:marTop w:val="0"/>
      <w:marBottom w:val="0"/>
      <w:divBdr>
        <w:top w:val="none" w:sz="0" w:space="0" w:color="auto"/>
        <w:left w:val="none" w:sz="0" w:space="0" w:color="auto"/>
        <w:bottom w:val="none" w:sz="0" w:space="0" w:color="auto"/>
        <w:right w:val="none" w:sz="0" w:space="0" w:color="auto"/>
      </w:divBdr>
    </w:div>
    <w:div w:id="1580097211">
      <w:bodyDiv w:val="1"/>
      <w:marLeft w:val="0"/>
      <w:marRight w:val="0"/>
      <w:marTop w:val="0"/>
      <w:marBottom w:val="0"/>
      <w:divBdr>
        <w:top w:val="none" w:sz="0" w:space="0" w:color="auto"/>
        <w:left w:val="none" w:sz="0" w:space="0" w:color="auto"/>
        <w:bottom w:val="none" w:sz="0" w:space="0" w:color="auto"/>
        <w:right w:val="none" w:sz="0" w:space="0" w:color="auto"/>
      </w:divBdr>
    </w:div>
    <w:div w:id="1584484671">
      <w:bodyDiv w:val="1"/>
      <w:marLeft w:val="0"/>
      <w:marRight w:val="0"/>
      <w:marTop w:val="0"/>
      <w:marBottom w:val="0"/>
      <w:divBdr>
        <w:top w:val="none" w:sz="0" w:space="0" w:color="auto"/>
        <w:left w:val="none" w:sz="0" w:space="0" w:color="auto"/>
        <w:bottom w:val="none" w:sz="0" w:space="0" w:color="auto"/>
        <w:right w:val="none" w:sz="0" w:space="0" w:color="auto"/>
      </w:divBdr>
    </w:div>
    <w:div w:id="1587181033">
      <w:bodyDiv w:val="1"/>
      <w:marLeft w:val="0"/>
      <w:marRight w:val="0"/>
      <w:marTop w:val="0"/>
      <w:marBottom w:val="0"/>
      <w:divBdr>
        <w:top w:val="none" w:sz="0" w:space="0" w:color="auto"/>
        <w:left w:val="none" w:sz="0" w:space="0" w:color="auto"/>
        <w:bottom w:val="none" w:sz="0" w:space="0" w:color="auto"/>
        <w:right w:val="none" w:sz="0" w:space="0" w:color="auto"/>
      </w:divBdr>
    </w:div>
    <w:div w:id="1589998191">
      <w:bodyDiv w:val="1"/>
      <w:marLeft w:val="0"/>
      <w:marRight w:val="0"/>
      <w:marTop w:val="0"/>
      <w:marBottom w:val="0"/>
      <w:divBdr>
        <w:top w:val="none" w:sz="0" w:space="0" w:color="auto"/>
        <w:left w:val="none" w:sz="0" w:space="0" w:color="auto"/>
        <w:bottom w:val="none" w:sz="0" w:space="0" w:color="auto"/>
        <w:right w:val="none" w:sz="0" w:space="0" w:color="auto"/>
      </w:divBdr>
    </w:div>
    <w:div w:id="1590238999">
      <w:bodyDiv w:val="1"/>
      <w:marLeft w:val="0"/>
      <w:marRight w:val="0"/>
      <w:marTop w:val="0"/>
      <w:marBottom w:val="0"/>
      <w:divBdr>
        <w:top w:val="none" w:sz="0" w:space="0" w:color="auto"/>
        <w:left w:val="none" w:sz="0" w:space="0" w:color="auto"/>
        <w:bottom w:val="none" w:sz="0" w:space="0" w:color="auto"/>
        <w:right w:val="none" w:sz="0" w:space="0" w:color="auto"/>
      </w:divBdr>
    </w:div>
    <w:div w:id="1593466026">
      <w:bodyDiv w:val="1"/>
      <w:marLeft w:val="0"/>
      <w:marRight w:val="0"/>
      <w:marTop w:val="0"/>
      <w:marBottom w:val="0"/>
      <w:divBdr>
        <w:top w:val="none" w:sz="0" w:space="0" w:color="auto"/>
        <w:left w:val="none" w:sz="0" w:space="0" w:color="auto"/>
        <w:bottom w:val="none" w:sz="0" w:space="0" w:color="auto"/>
        <w:right w:val="none" w:sz="0" w:space="0" w:color="auto"/>
      </w:divBdr>
    </w:div>
    <w:div w:id="1595281248">
      <w:bodyDiv w:val="1"/>
      <w:marLeft w:val="0"/>
      <w:marRight w:val="0"/>
      <w:marTop w:val="0"/>
      <w:marBottom w:val="0"/>
      <w:divBdr>
        <w:top w:val="none" w:sz="0" w:space="0" w:color="auto"/>
        <w:left w:val="none" w:sz="0" w:space="0" w:color="auto"/>
        <w:bottom w:val="none" w:sz="0" w:space="0" w:color="auto"/>
        <w:right w:val="none" w:sz="0" w:space="0" w:color="auto"/>
      </w:divBdr>
    </w:div>
    <w:div w:id="1599411109">
      <w:bodyDiv w:val="1"/>
      <w:marLeft w:val="0"/>
      <w:marRight w:val="0"/>
      <w:marTop w:val="0"/>
      <w:marBottom w:val="0"/>
      <w:divBdr>
        <w:top w:val="none" w:sz="0" w:space="0" w:color="auto"/>
        <w:left w:val="none" w:sz="0" w:space="0" w:color="auto"/>
        <w:bottom w:val="none" w:sz="0" w:space="0" w:color="auto"/>
        <w:right w:val="none" w:sz="0" w:space="0" w:color="auto"/>
      </w:divBdr>
    </w:div>
    <w:div w:id="1599481317">
      <w:bodyDiv w:val="1"/>
      <w:marLeft w:val="0"/>
      <w:marRight w:val="0"/>
      <w:marTop w:val="0"/>
      <w:marBottom w:val="0"/>
      <w:divBdr>
        <w:top w:val="none" w:sz="0" w:space="0" w:color="auto"/>
        <w:left w:val="none" w:sz="0" w:space="0" w:color="auto"/>
        <w:bottom w:val="none" w:sz="0" w:space="0" w:color="auto"/>
        <w:right w:val="none" w:sz="0" w:space="0" w:color="auto"/>
      </w:divBdr>
    </w:div>
    <w:div w:id="1603299041">
      <w:bodyDiv w:val="1"/>
      <w:marLeft w:val="0"/>
      <w:marRight w:val="0"/>
      <w:marTop w:val="0"/>
      <w:marBottom w:val="0"/>
      <w:divBdr>
        <w:top w:val="none" w:sz="0" w:space="0" w:color="auto"/>
        <w:left w:val="none" w:sz="0" w:space="0" w:color="auto"/>
        <w:bottom w:val="none" w:sz="0" w:space="0" w:color="auto"/>
        <w:right w:val="none" w:sz="0" w:space="0" w:color="auto"/>
      </w:divBdr>
    </w:div>
    <w:div w:id="1605184798">
      <w:bodyDiv w:val="1"/>
      <w:marLeft w:val="0"/>
      <w:marRight w:val="0"/>
      <w:marTop w:val="0"/>
      <w:marBottom w:val="0"/>
      <w:divBdr>
        <w:top w:val="none" w:sz="0" w:space="0" w:color="auto"/>
        <w:left w:val="none" w:sz="0" w:space="0" w:color="auto"/>
        <w:bottom w:val="none" w:sz="0" w:space="0" w:color="auto"/>
        <w:right w:val="none" w:sz="0" w:space="0" w:color="auto"/>
      </w:divBdr>
    </w:div>
    <w:div w:id="1606227445">
      <w:bodyDiv w:val="1"/>
      <w:marLeft w:val="0"/>
      <w:marRight w:val="0"/>
      <w:marTop w:val="0"/>
      <w:marBottom w:val="0"/>
      <w:divBdr>
        <w:top w:val="none" w:sz="0" w:space="0" w:color="auto"/>
        <w:left w:val="none" w:sz="0" w:space="0" w:color="auto"/>
        <w:bottom w:val="none" w:sz="0" w:space="0" w:color="auto"/>
        <w:right w:val="none" w:sz="0" w:space="0" w:color="auto"/>
      </w:divBdr>
    </w:div>
    <w:div w:id="1607496727">
      <w:bodyDiv w:val="1"/>
      <w:marLeft w:val="0"/>
      <w:marRight w:val="0"/>
      <w:marTop w:val="0"/>
      <w:marBottom w:val="0"/>
      <w:divBdr>
        <w:top w:val="none" w:sz="0" w:space="0" w:color="auto"/>
        <w:left w:val="none" w:sz="0" w:space="0" w:color="auto"/>
        <w:bottom w:val="none" w:sz="0" w:space="0" w:color="auto"/>
        <w:right w:val="none" w:sz="0" w:space="0" w:color="auto"/>
      </w:divBdr>
    </w:div>
    <w:div w:id="1611352632">
      <w:bodyDiv w:val="1"/>
      <w:marLeft w:val="0"/>
      <w:marRight w:val="0"/>
      <w:marTop w:val="0"/>
      <w:marBottom w:val="0"/>
      <w:divBdr>
        <w:top w:val="none" w:sz="0" w:space="0" w:color="auto"/>
        <w:left w:val="none" w:sz="0" w:space="0" w:color="auto"/>
        <w:bottom w:val="none" w:sz="0" w:space="0" w:color="auto"/>
        <w:right w:val="none" w:sz="0" w:space="0" w:color="auto"/>
      </w:divBdr>
    </w:div>
    <w:div w:id="1611741289">
      <w:bodyDiv w:val="1"/>
      <w:marLeft w:val="0"/>
      <w:marRight w:val="0"/>
      <w:marTop w:val="0"/>
      <w:marBottom w:val="0"/>
      <w:divBdr>
        <w:top w:val="none" w:sz="0" w:space="0" w:color="auto"/>
        <w:left w:val="none" w:sz="0" w:space="0" w:color="auto"/>
        <w:bottom w:val="none" w:sz="0" w:space="0" w:color="auto"/>
        <w:right w:val="none" w:sz="0" w:space="0" w:color="auto"/>
      </w:divBdr>
    </w:div>
    <w:div w:id="1613052429">
      <w:bodyDiv w:val="1"/>
      <w:marLeft w:val="0"/>
      <w:marRight w:val="0"/>
      <w:marTop w:val="0"/>
      <w:marBottom w:val="0"/>
      <w:divBdr>
        <w:top w:val="none" w:sz="0" w:space="0" w:color="auto"/>
        <w:left w:val="none" w:sz="0" w:space="0" w:color="auto"/>
        <w:bottom w:val="none" w:sz="0" w:space="0" w:color="auto"/>
        <w:right w:val="none" w:sz="0" w:space="0" w:color="auto"/>
      </w:divBdr>
    </w:div>
    <w:div w:id="1614022222">
      <w:bodyDiv w:val="1"/>
      <w:marLeft w:val="0"/>
      <w:marRight w:val="0"/>
      <w:marTop w:val="0"/>
      <w:marBottom w:val="0"/>
      <w:divBdr>
        <w:top w:val="none" w:sz="0" w:space="0" w:color="auto"/>
        <w:left w:val="none" w:sz="0" w:space="0" w:color="auto"/>
        <w:bottom w:val="none" w:sz="0" w:space="0" w:color="auto"/>
        <w:right w:val="none" w:sz="0" w:space="0" w:color="auto"/>
      </w:divBdr>
    </w:div>
    <w:div w:id="1614241104">
      <w:bodyDiv w:val="1"/>
      <w:marLeft w:val="0"/>
      <w:marRight w:val="0"/>
      <w:marTop w:val="0"/>
      <w:marBottom w:val="0"/>
      <w:divBdr>
        <w:top w:val="none" w:sz="0" w:space="0" w:color="auto"/>
        <w:left w:val="none" w:sz="0" w:space="0" w:color="auto"/>
        <w:bottom w:val="none" w:sz="0" w:space="0" w:color="auto"/>
        <w:right w:val="none" w:sz="0" w:space="0" w:color="auto"/>
      </w:divBdr>
    </w:div>
    <w:div w:id="1614482407">
      <w:bodyDiv w:val="1"/>
      <w:marLeft w:val="0"/>
      <w:marRight w:val="0"/>
      <w:marTop w:val="0"/>
      <w:marBottom w:val="0"/>
      <w:divBdr>
        <w:top w:val="none" w:sz="0" w:space="0" w:color="auto"/>
        <w:left w:val="none" w:sz="0" w:space="0" w:color="auto"/>
        <w:bottom w:val="none" w:sz="0" w:space="0" w:color="auto"/>
        <w:right w:val="none" w:sz="0" w:space="0" w:color="auto"/>
      </w:divBdr>
    </w:div>
    <w:div w:id="1615600138">
      <w:bodyDiv w:val="1"/>
      <w:marLeft w:val="0"/>
      <w:marRight w:val="0"/>
      <w:marTop w:val="0"/>
      <w:marBottom w:val="0"/>
      <w:divBdr>
        <w:top w:val="none" w:sz="0" w:space="0" w:color="auto"/>
        <w:left w:val="none" w:sz="0" w:space="0" w:color="auto"/>
        <w:bottom w:val="none" w:sz="0" w:space="0" w:color="auto"/>
        <w:right w:val="none" w:sz="0" w:space="0" w:color="auto"/>
      </w:divBdr>
    </w:div>
    <w:div w:id="1618368886">
      <w:bodyDiv w:val="1"/>
      <w:marLeft w:val="0"/>
      <w:marRight w:val="0"/>
      <w:marTop w:val="0"/>
      <w:marBottom w:val="0"/>
      <w:divBdr>
        <w:top w:val="none" w:sz="0" w:space="0" w:color="auto"/>
        <w:left w:val="none" w:sz="0" w:space="0" w:color="auto"/>
        <w:bottom w:val="none" w:sz="0" w:space="0" w:color="auto"/>
        <w:right w:val="none" w:sz="0" w:space="0" w:color="auto"/>
      </w:divBdr>
    </w:div>
    <w:div w:id="1618565509">
      <w:bodyDiv w:val="1"/>
      <w:marLeft w:val="0"/>
      <w:marRight w:val="0"/>
      <w:marTop w:val="0"/>
      <w:marBottom w:val="0"/>
      <w:divBdr>
        <w:top w:val="none" w:sz="0" w:space="0" w:color="auto"/>
        <w:left w:val="none" w:sz="0" w:space="0" w:color="auto"/>
        <w:bottom w:val="none" w:sz="0" w:space="0" w:color="auto"/>
        <w:right w:val="none" w:sz="0" w:space="0" w:color="auto"/>
      </w:divBdr>
    </w:div>
    <w:div w:id="1620603570">
      <w:bodyDiv w:val="1"/>
      <w:marLeft w:val="0"/>
      <w:marRight w:val="0"/>
      <w:marTop w:val="0"/>
      <w:marBottom w:val="0"/>
      <w:divBdr>
        <w:top w:val="none" w:sz="0" w:space="0" w:color="auto"/>
        <w:left w:val="none" w:sz="0" w:space="0" w:color="auto"/>
        <w:bottom w:val="none" w:sz="0" w:space="0" w:color="auto"/>
        <w:right w:val="none" w:sz="0" w:space="0" w:color="auto"/>
      </w:divBdr>
    </w:div>
    <w:div w:id="1620720212">
      <w:bodyDiv w:val="1"/>
      <w:marLeft w:val="0"/>
      <w:marRight w:val="0"/>
      <w:marTop w:val="0"/>
      <w:marBottom w:val="0"/>
      <w:divBdr>
        <w:top w:val="none" w:sz="0" w:space="0" w:color="auto"/>
        <w:left w:val="none" w:sz="0" w:space="0" w:color="auto"/>
        <w:bottom w:val="none" w:sz="0" w:space="0" w:color="auto"/>
        <w:right w:val="none" w:sz="0" w:space="0" w:color="auto"/>
      </w:divBdr>
    </w:div>
    <w:div w:id="1625963342">
      <w:bodyDiv w:val="1"/>
      <w:marLeft w:val="0"/>
      <w:marRight w:val="0"/>
      <w:marTop w:val="0"/>
      <w:marBottom w:val="0"/>
      <w:divBdr>
        <w:top w:val="none" w:sz="0" w:space="0" w:color="auto"/>
        <w:left w:val="none" w:sz="0" w:space="0" w:color="auto"/>
        <w:bottom w:val="none" w:sz="0" w:space="0" w:color="auto"/>
        <w:right w:val="none" w:sz="0" w:space="0" w:color="auto"/>
      </w:divBdr>
    </w:div>
    <w:div w:id="1626962789">
      <w:bodyDiv w:val="1"/>
      <w:marLeft w:val="0"/>
      <w:marRight w:val="0"/>
      <w:marTop w:val="0"/>
      <w:marBottom w:val="0"/>
      <w:divBdr>
        <w:top w:val="none" w:sz="0" w:space="0" w:color="auto"/>
        <w:left w:val="none" w:sz="0" w:space="0" w:color="auto"/>
        <w:bottom w:val="none" w:sz="0" w:space="0" w:color="auto"/>
        <w:right w:val="none" w:sz="0" w:space="0" w:color="auto"/>
      </w:divBdr>
    </w:div>
    <w:div w:id="1628704915">
      <w:bodyDiv w:val="1"/>
      <w:marLeft w:val="0"/>
      <w:marRight w:val="0"/>
      <w:marTop w:val="0"/>
      <w:marBottom w:val="0"/>
      <w:divBdr>
        <w:top w:val="none" w:sz="0" w:space="0" w:color="auto"/>
        <w:left w:val="none" w:sz="0" w:space="0" w:color="auto"/>
        <w:bottom w:val="none" w:sz="0" w:space="0" w:color="auto"/>
        <w:right w:val="none" w:sz="0" w:space="0" w:color="auto"/>
      </w:divBdr>
      <w:divsChild>
        <w:div w:id="1884321474">
          <w:marLeft w:val="0"/>
          <w:marRight w:val="0"/>
          <w:marTop w:val="0"/>
          <w:marBottom w:val="0"/>
          <w:divBdr>
            <w:top w:val="none" w:sz="0" w:space="0" w:color="auto"/>
            <w:left w:val="none" w:sz="0" w:space="0" w:color="auto"/>
            <w:bottom w:val="none" w:sz="0" w:space="0" w:color="auto"/>
            <w:right w:val="none" w:sz="0" w:space="0" w:color="auto"/>
          </w:divBdr>
        </w:div>
      </w:divsChild>
    </w:div>
    <w:div w:id="1631549878">
      <w:bodyDiv w:val="1"/>
      <w:marLeft w:val="0"/>
      <w:marRight w:val="0"/>
      <w:marTop w:val="0"/>
      <w:marBottom w:val="0"/>
      <w:divBdr>
        <w:top w:val="none" w:sz="0" w:space="0" w:color="auto"/>
        <w:left w:val="none" w:sz="0" w:space="0" w:color="auto"/>
        <w:bottom w:val="none" w:sz="0" w:space="0" w:color="auto"/>
        <w:right w:val="none" w:sz="0" w:space="0" w:color="auto"/>
      </w:divBdr>
    </w:div>
    <w:div w:id="1636132764">
      <w:bodyDiv w:val="1"/>
      <w:marLeft w:val="0"/>
      <w:marRight w:val="0"/>
      <w:marTop w:val="0"/>
      <w:marBottom w:val="0"/>
      <w:divBdr>
        <w:top w:val="none" w:sz="0" w:space="0" w:color="auto"/>
        <w:left w:val="none" w:sz="0" w:space="0" w:color="auto"/>
        <w:bottom w:val="none" w:sz="0" w:space="0" w:color="auto"/>
        <w:right w:val="none" w:sz="0" w:space="0" w:color="auto"/>
      </w:divBdr>
    </w:div>
    <w:div w:id="1637486493">
      <w:bodyDiv w:val="1"/>
      <w:marLeft w:val="0"/>
      <w:marRight w:val="0"/>
      <w:marTop w:val="0"/>
      <w:marBottom w:val="0"/>
      <w:divBdr>
        <w:top w:val="none" w:sz="0" w:space="0" w:color="auto"/>
        <w:left w:val="none" w:sz="0" w:space="0" w:color="auto"/>
        <w:bottom w:val="none" w:sz="0" w:space="0" w:color="auto"/>
        <w:right w:val="none" w:sz="0" w:space="0" w:color="auto"/>
      </w:divBdr>
    </w:div>
    <w:div w:id="1639846765">
      <w:bodyDiv w:val="1"/>
      <w:marLeft w:val="0"/>
      <w:marRight w:val="0"/>
      <w:marTop w:val="0"/>
      <w:marBottom w:val="0"/>
      <w:divBdr>
        <w:top w:val="none" w:sz="0" w:space="0" w:color="auto"/>
        <w:left w:val="none" w:sz="0" w:space="0" w:color="auto"/>
        <w:bottom w:val="none" w:sz="0" w:space="0" w:color="auto"/>
        <w:right w:val="none" w:sz="0" w:space="0" w:color="auto"/>
      </w:divBdr>
    </w:div>
    <w:div w:id="1642423804">
      <w:bodyDiv w:val="1"/>
      <w:marLeft w:val="0"/>
      <w:marRight w:val="0"/>
      <w:marTop w:val="0"/>
      <w:marBottom w:val="0"/>
      <w:divBdr>
        <w:top w:val="none" w:sz="0" w:space="0" w:color="auto"/>
        <w:left w:val="none" w:sz="0" w:space="0" w:color="auto"/>
        <w:bottom w:val="none" w:sz="0" w:space="0" w:color="auto"/>
        <w:right w:val="none" w:sz="0" w:space="0" w:color="auto"/>
      </w:divBdr>
    </w:div>
    <w:div w:id="1648628332">
      <w:bodyDiv w:val="1"/>
      <w:marLeft w:val="0"/>
      <w:marRight w:val="0"/>
      <w:marTop w:val="0"/>
      <w:marBottom w:val="0"/>
      <w:divBdr>
        <w:top w:val="none" w:sz="0" w:space="0" w:color="auto"/>
        <w:left w:val="none" w:sz="0" w:space="0" w:color="auto"/>
        <w:bottom w:val="none" w:sz="0" w:space="0" w:color="auto"/>
        <w:right w:val="none" w:sz="0" w:space="0" w:color="auto"/>
      </w:divBdr>
    </w:div>
    <w:div w:id="1649701220">
      <w:bodyDiv w:val="1"/>
      <w:marLeft w:val="0"/>
      <w:marRight w:val="0"/>
      <w:marTop w:val="0"/>
      <w:marBottom w:val="0"/>
      <w:divBdr>
        <w:top w:val="none" w:sz="0" w:space="0" w:color="auto"/>
        <w:left w:val="none" w:sz="0" w:space="0" w:color="auto"/>
        <w:bottom w:val="none" w:sz="0" w:space="0" w:color="auto"/>
        <w:right w:val="none" w:sz="0" w:space="0" w:color="auto"/>
      </w:divBdr>
    </w:div>
    <w:div w:id="1650594210">
      <w:bodyDiv w:val="1"/>
      <w:marLeft w:val="0"/>
      <w:marRight w:val="0"/>
      <w:marTop w:val="0"/>
      <w:marBottom w:val="0"/>
      <w:divBdr>
        <w:top w:val="none" w:sz="0" w:space="0" w:color="auto"/>
        <w:left w:val="none" w:sz="0" w:space="0" w:color="auto"/>
        <w:bottom w:val="none" w:sz="0" w:space="0" w:color="auto"/>
        <w:right w:val="none" w:sz="0" w:space="0" w:color="auto"/>
      </w:divBdr>
    </w:div>
    <w:div w:id="1650935475">
      <w:bodyDiv w:val="1"/>
      <w:marLeft w:val="0"/>
      <w:marRight w:val="0"/>
      <w:marTop w:val="0"/>
      <w:marBottom w:val="0"/>
      <w:divBdr>
        <w:top w:val="none" w:sz="0" w:space="0" w:color="auto"/>
        <w:left w:val="none" w:sz="0" w:space="0" w:color="auto"/>
        <w:bottom w:val="none" w:sz="0" w:space="0" w:color="auto"/>
        <w:right w:val="none" w:sz="0" w:space="0" w:color="auto"/>
      </w:divBdr>
    </w:div>
    <w:div w:id="1651056667">
      <w:bodyDiv w:val="1"/>
      <w:marLeft w:val="0"/>
      <w:marRight w:val="0"/>
      <w:marTop w:val="0"/>
      <w:marBottom w:val="0"/>
      <w:divBdr>
        <w:top w:val="none" w:sz="0" w:space="0" w:color="auto"/>
        <w:left w:val="none" w:sz="0" w:space="0" w:color="auto"/>
        <w:bottom w:val="none" w:sz="0" w:space="0" w:color="auto"/>
        <w:right w:val="none" w:sz="0" w:space="0" w:color="auto"/>
      </w:divBdr>
    </w:div>
    <w:div w:id="1654720231">
      <w:bodyDiv w:val="1"/>
      <w:marLeft w:val="0"/>
      <w:marRight w:val="0"/>
      <w:marTop w:val="0"/>
      <w:marBottom w:val="0"/>
      <w:divBdr>
        <w:top w:val="none" w:sz="0" w:space="0" w:color="auto"/>
        <w:left w:val="none" w:sz="0" w:space="0" w:color="auto"/>
        <w:bottom w:val="none" w:sz="0" w:space="0" w:color="auto"/>
        <w:right w:val="none" w:sz="0" w:space="0" w:color="auto"/>
      </w:divBdr>
    </w:div>
    <w:div w:id="1655917454">
      <w:bodyDiv w:val="1"/>
      <w:marLeft w:val="0"/>
      <w:marRight w:val="0"/>
      <w:marTop w:val="0"/>
      <w:marBottom w:val="0"/>
      <w:divBdr>
        <w:top w:val="none" w:sz="0" w:space="0" w:color="auto"/>
        <w:left w:val="none" w:sz="0" w:space="0" w:color="auto"/>
        <w:bottom w:val="none" w:sz="0" w:space="0" w:color="auto"/>
        <w:right w:val="none" w:sz="0" w:space="0" w:color="auto"/>
      </w:divBdr>
    </w:div>
    <w:div w:id="1658879270">
      <w:bodyDiv w:val="1"/>
      <w:marLeft w:val="0"/>
      <w:marRight w:val="0"/>
      <w:marTop w:val="0"/>
      <w:marBottom w:val="0"/>
      <w:divBdr>
        <w:top w:val="none" w:sz="0" w:space="0" w:color="auto"/>
        <w:left w:val="none" w:sz="0" w:space="0" w:color="auto"/>
        <w:bottom w:val="none" w:sz="0" w:space="0" w:color="auto"/>
        <w:right w:val="none" w:sz="0" w:space="0" w:color="auto"/>
      </w:divBdr>
    </w:div>
    <w:div w:id="1659923139">
      <w:bodyDiv w:val="1"/>
      <w:marLeft w:val="0"/>
      <w:marRight w:val="0"/>
      <w:marTop w:val="0"/>
      <w:marBottom w:val="0"/>
      <w:divBdr>
        <w:top w:val="none" w:sz="0" w:space="0" w:color="auto"/>
        <w:left w:val="none" w:sz="0" w:space="0" w:color="auto"/>
        <w:bottom w:val="none" w:sz="0" w:space="0" w:color="auto"/>
        <w:right w:val="none" w:sz="0" w:space="0" w:color="auto"/>
      </w:divBdr>
    </w:div>
    <w:div w:id="1663584064">
      <w:bodyDiv w:val="1"/>
      <w:marLeft w:val="0"/>
      <w:marRight w:val="0"/>
      <w:marTop w:val="0"/>
      <w:marBottom w:val="0"/>
      <w:divBdr>
        <w:top w:val="none" w:sz="0" w:space="0" w:color="auto"/>
        <w:left w:val="none" w:sz="0" w:space="0" w:color="auto"/>
        <w:bottom w:val="none" w:sz="0" w:space="0" w:color="auto"/>
        <w:right w:val="none" w:sz="0" w:space="0" w:color="auto"/>
      </w:divBdr>
    </w:div>
    <w:div w:id="1665429660">
      <w:bodyDiv w:val="1"/>
      <w:marLeft w:val="0"/>
      <w:marRight w:val="0"/>
      <w:marTop w:val="0"/>
      <w:marBottom w:val="0"/>
      <w:divBdr>
        <w:top w:val="none" w:sz="0" w:space="0" w:color="auto"/>
        <w:left w:val="none" w:sz="0" w:space="0" w:color="auto"/>
        <w:bottom w:val="none" w:sz="0" w:space="0" w:color="auto"/>
        <w:right w:val="none" w:sz="0" w:space="0" w:color="auto"/>
      </w:divBdr>
    </w:div>
    <w:div w:id="1665432688">
      <w:bodyDiv w:val="1"/>
      <w:marLeft w:val="0"/>
      <w:marRight w:val="0"/>
      <w:marTop w:val="0"/>
      <w:marBottom w:val="0"/>
      <w:divBdr>
        <w:top w:val="none" w:sz="0" w:space="0" w:color="auto"/>
        <w:left w:val="none" w:sz="0" w:space="0" w:color="auto"/>
        <w:bottom w:val="none" w:sz="0" w:space="0" w:color="auto"/>
        <w:right w:val="none" w:sz="0" w:space="0" w:color="auto"/>
      </w:divBdr>
    </w:div>
    <w:div w:id="1668824860">
      <w:bodyDiv w:val="1"/>
      <w:marLeft w:val="0"/>
      <w:marRight w:val="0"/>
      <w:marTop w:val="0"/>
      <w:marBottom w:val="0"/>
      <w:divBdr>
        <w:top w:val="none" w:sz="0" w:space="0" w:color="auto"/>
        <w:left w:val="none" w:sz="0" w:space="0" w:color="auto"/>
        <w:bottom w:val="none" w:sz="0" w:space="0" w:color="auto"/>
        <w:right w:val="none" w:sz="0" w:space="0" w:color="auto"/>
      </w:divBdr>
    </w:div>
    <w:div w:id="1669601318">
      <w:bodyDiv w:val="1"/>
      <w:marLeft w:val="0"/>
      <w:marRight w:val="0"/>
      <w:marTop w:val="0"/>
      <w:marBottom w:val="0"/>
      <w:divBdr>
        <w:top w:val="none" w:sz="0" w:space="0" w:color="auto"/>
        <w:left w:val="none" w:sz="0" w:space="0" w:color="auto"/>
        <w:bottom w:val="none" w:sz="0" w:space="0" w:color="auto"/>
        <w:right w:val="none" w:sz="0" w:space="0" w:color="auto"/>
      </w:divBdr>
    </w:div>
    <w:div w:id="1670448077">
      <w:bodyDiv w:val="1"/>
      <w:marLeft w:val="0"/>
      <w:marRight w:val="0"/>
      <w:marTop w:val="0"/>
      <w:marBottom w:val="0"/>
      <w:divBdr>
        <w:top w:val="none" w:sz="0" w:space="0" w:color="auto"/>
        <w:left w:val="none" w:sz="0" w:space="0" w:color="auto"/>
        <w:bottom w:val="none" w:sz="0" w:space="0" w:color="auto"/>
        <w:right w:val="none" w:sz="0" w:space="0" w:color="auto"/>
      </w:divBdr>
    </w:div>
    <w:div w:id="1670517165">
      <w:bodyDiv w:val="1"/>
      <w:marLeft w:val="0"/>
      <w:marRight w:val="0"/>
      <w:marTop w:val="0"/>
      <w:marBottom w:val="0"/>
      <w:divBdr>
        <w:top w:val="none" w:sz="0" w:space="0" w:color="auto"/>
        <w:left w:val="none" w:sz="0" w:space="0" w:color="auto"/>
        <w:bottom w:val="none" w:sz="0" w:space="0" w:color="auto"/>
        <w:right w:val="none" w:sz="0" w:space="0" w:color="auto"/>
      </w:divBdr>
    </w:div>
    <w:div w:id="1672099501">
      <w:bodyDiv w:val="1"/>
      <w:marLeft w:val="0"/>
      <w:marRight w:val="0"/>
      <w:marTop w:val="0"/>
      <w:marBottom w:val="0"/>
      <w:divBdr>
        <w:top w:val="none" w:sz="0" w:space="0" w:color="auto"/>
        <w:left w:val="none" w:sz="0" w:space="0" w:color="auto"/>
        <w:bottom w:val="none" w:sz="0" w:space="0" w:color="auto"/>
        <w:right w:val="none" w:sz="0" w:space="0" w:color="auto"/>
      </w:divBdr>
    </w:div>
    <w:div w:id="1674261576">
      <w:bodyDiv w:val="1"/>
      <w:marLeft w:val="0"/>
      <w:marRight w:val="0"/>
      <w:marTop w:val="0"/>
      <w:marBottom w:val="0"/>
      <w:divBdr>
        <w:top w:val="none" w:sz="0" w:space="0" w:color="auto"/>
        <w:left w:val="none" w:sz="0" w:space="0" w:color="auto"/>
        <w:bottom w:val="none" w:sz="0" w:space="0" w:color="auto"/>
        <w:right w:val="none" w:sz="0" w:space="0" w:color="auto"/>
      </w:divBdr>
    </w:div>
    <w:div w:id="1675721781">
      <w:bodyDiv w:val="1"/>
      <w:marLeft w:val="0"/>
      <w:marRight w:val="0"/>
      <w:marTop w:val="0"/>
      <w:marBottom w:val="0"/>
      <w:divBdr>
        <w:top w:val="none" w:sz="0" w:space="0" w:color="auto"/>
        <w:left w:val="none" w:sz="0" w:space="0" w:color="auto"/>
        <w:bottom w:val="none" w:sz="0" w:space="0" w:color="auto"/>
        <w:right w:val="none" w:sz="0" w:space="0" w:color="auto"/>
      </w:divBdr>
    </w:div>
    <w:div w:id="1677415563">
      <w:bodyDiv w:val="1"/>
      <w:marLeft w:val="0"/>
      <w:marRight w:val="0"/>
      <w:marTop w:val="0"/>
      <w:marBottom w:val="0"/>
      <w:divBdr>
        <w:top w:val="none" w:sz="0" w:space="0" w:color="auto"/>
        <w:left w:val="none" w:sz="0" w:space="0" w:color="auto"/>
        <w:bottom w:val="none" w:sz="0" w:space="0" w:color="auto"/>
        <w:right w:val="none" w:sz="0" w:space="0" w:color="auto"/>
      </w:divBdr>
    </w:div>
    <w:div w:id="1682664420">
      <w:bodyDiv w:val="1"/>
      <w:marLeft w:val="0"/>
      <w:marRight w:val="0"/>
      <w:marTop w:val="0"/>
      <w:marBottom w:val="0"/>
      <w:divBdr>
        <w:top w:val="none" w:sz="0" w:space="0" w:color="auto"/>
        <w:left w:val="none" w:sz="0" w:space="0" w:color="auto"/>
        <w:bottom w:val="none" w:sz="0" w:space="0" w:color="auto"/>
        <w:right w:val="none" w:sz="0" w:space="0" w:color="auto"/>
      </w:divBdr>
    </w:div>
    <w:div w:id="1686907186">
      <w:bodyDiv w:val="1"/>
      <w:marLeft w:val="0"/>
      <w:marRight w:val="0"/>
      <w:marTop w:val="0"/>
      <w:marBottom w:val="0"/>
      <w:divBdr>
        <w:top w:val="none" w:sz="0" w:space="0" w:color="auto"/>
        <w:left w:val="none" w:sz="0" w:space="0" w:color="auto"/>
        <w:bottom w:val="none" w:sz="0" w:space="0" w:color="auto"/>
        <w:right w:val="none" w:sz="0" w:space="0" w:color="auto"/>
      </w:divBdr>
    </w:div>
    <w:div w:id="1686981779">
      <w:bodyDiv w:val="1"/>
      <w:marLeft w:val="0"/>
      <w:marRight w:val="0"/>
      <w:marTop w:val="0"/>
      <w:marBottom w:val="0"/>
      <w:divBdr>
        <w:top w:val="none" w:sz="0" w:space="0" w:color="auto"/>
        <w:left w:val="none" w:sz="0" w:space="0" w:color="auto"/>
        <w:bottom w:val="none" w:sz="0" w:space="0" w:color="auto"/>
        <w:right w:val="none" w:sz="0" w:space="0" w:color="auto"/>
      </w:divBdr>
    </w:div>
    <w:div w:id="1695613090">
      <w:bodyDiv w:val="1"/>
      <w:marLeft w:val="0"/>
      <w:marRight w:val="0"/>
      <w:marTop w:val="0"/>
      <w:marBottom w:val="0"/>
      <w:divBdr>
        <w:top w:val="none" w:sz="0" w:space="0" w:color="auto"/>
        <w:left w:val="none" w:sz="0" w:space="0" w:color="auto"/>
        <w:bottom w:val="none" w:sz="0" w:space="0" w:color="auto"/>
        <w:right w:val="none" w:sz="0" w:space="0" w:color="auto"/>
      </w:divBdr>
    </w:div>
    <w:div w:id="1700546465">
      <w:bodyDiv w:val="1"/>
      <w:marLeft w:val="0"/>
      <w:marRight w:val="0"/>
      <w:marTop w:val="0"/>
      <w:marBottom w:val="0"/>
      <w:divBdr>
        <w:top w:val="none" w:sz="0" w:space="0" w:color="auto"/>
        <w:left w:val="none" w:sz="0" w:space="0" w:color="auto"/>
        <w:bottom w:val="none" w:sz="0" w:space="0" w:color="auto"/>
        <w:right w:val="none" w:sz="0" w:space="0" w:color="auto"/>
      </w:divBdr>
    </w:div>
    <w:div w:id="1705323524">
      <w:bodyDiv w:val="1"/>
      <w:marLeft w:val="0"/>
      <w:marRight w:val="0"/>
      <w:marTop w:val="0"/>
      <w:marBottom w:val="0"/>
      <w:divBdr>
        <w:top w:val="none" w:sz="0" w:space="0" w:color="auto"/>
        <w:left w:val="none" w:sz="0" w:space="0" w:color="auto"/>
        <w:bottom w:val="none" w:sz="0" w:space="0" w:color="auto"/>
        <w:right w:val="none" w:sz="0" w:space="0" w:color="auto"/>
      </w:divBdr>
    </w:div>
    <w:div w:id="1705786033">
      <w:bodyDiv w:val="1"/>
      <w:marLeft w:val="0"/>
      <w:marRight w:val="0"/>
      <w:marTop w:val="0"/>
      <w:marBottom w:val="0"/>
      <w:divBdr>
        <w:top w:val="none" w:sz="0" w:space="0" w:color="auto"/>
        <w:left w:val="none" w:sz="0" w:space="0" w:color="auto"/>
        <w:bottom w:val="none" w:sz="0" w:space="0" w:color="auto"/>
        <w:right w:val="none" w:sz="0" w:space="0" w:color="auto"/>
      </w:divBdr>
    </w:div>
    <w:div w:id="1706324509">
      <w:bodyDiv w:val="1"/>
      <w:marLeft w:val="0"/>
      <w:marRight w:val="0"/>
      <w:marTop w:val="0"/>
      <w:marBottom w:val="0"/>
      <w:divBdr>
        <w:top w:val="none" w:sz="0" w:space="0" w:color="auto"/>
        <w:left w:val="none" w:sz="0" w:space="0" w:color="auto"/>
        <w:bottom w:val="none" w:sz="0" w:space="0" w:color="auto"/>
        <w:right w:val="none" w:sz="0" w:space="0" w:color="auto"/>
      </w:divBdr>
    </w:div>
    <w:div w:id="1709644322">
      <w:bodyDiv w:val="1"/>
      <w:marLeft w:val="0"/>
      <w:marRight w:val="0"/>
      <w:marTop w:val="0"/>
      <w:marBottom w:val="0"/>
      <w:divBdr>
        <w:top w:val="none" w:sz="0" w:space="0" w:color="auto"/>
        <w:left w:val="none" w:sz="0" w:space="0" w:color="auto"/>
        <w:bottom w:val="none" w:sz="0" w:space="0" w:color="auto"/>
        <w:right w:val="none" w:sz="0" w:space="0" w:color="auto"/>
      </w:divBdr>
    </w:div>
    <w:div w:id="1709717353">
      <w:bodyDiv w:val="1"/>
      <w:marLeft w:val="0"/>
      <w:marRight w:val="0"/>
      <w:marTop w:val="0"/>
      <w:marBottom w:val="0"/>
      <w:divBdr>
        <w:top w:val="none" w:sz="0" w:space="0" w:color="auto"/>
        <w:left w:val="none" w:sz="0" w:space="0" w:color="auto"/>
        <w:bottom w:val="none" w:sz="0" w:space="0" w:color="auto"/>
        <w:right w:val="none" w:sz="0" w:space="0" w:color="auto"/>
      </w:divBdr>
    </w:div>
    <w:div w:id="1711033728">
      <w:bodyDiv w:val="1"/>
      <w:marLeft w:val="0"/>
      <w:marRight w:val="0"/>
      <w:marTop w:val="0"/>
      <w:marBottom w:val="0"/>
      <w:divBdr>
        <w:top w:val="none" w:sz="0" w:space="0" w:color="auto"/>
        <w:left w:val="none" w:sz="0" w:space="0" w:color="auto"/>
        <w:bottom w:val="none" w:sz="0" w:space="0" w:color="auto"/>
        <w:right w:val="none" w:sz="0" w:space="0" w:color="auto"/>
      </w:divBdr>
    </w:div>
    <w:div w:id="1712656520">
      <w:bodyDiv w:val="1"/>
      <w:marLeft w:val="0"/>
      <w:marRight w:val="0"/>
      <w:marTop w:val="0"/>
      <w:marBottom w:val="0"/>
      <w:divBdr>
        <w:top w:val="none" w:sz="0" w:space="0" w:color="auto"/>
        <w:left w:val="none" w:sz="0" w:space="0" w:color="auto"/>
        <w:bottom w:val="none" w:sz="0" w:space="0" w:color="auto"/>
        <w:right w:val="none" w:sz="0" w:space="0" w:color="auto"/>
      </w:divBdr>
    </w:div>
    <w:div w:id="1720519396">
      <w:bodyDiv w:val="1"/>
      <w:marLeft w:val="0"/>
      <w:marRight w:val="0"/>
      <w:marTop w:val="0"/>
      <w:marBottom w:val="0"/>
      <w:divBdr>
        <w:top w:val="none" w:sz="0" w:space="0" w:color="auto"/>
        <w:left w:val="none" w:sz="0" w:space="0" w:color="auto"/>
        <w:bottom w:val="none" w:sz="0" w:space="0" w:color="auto"/>
        <w:right w:val="none" w:sz="0" w:space="0" w:color="auto"/>
      </w:divBdr>
    </w:div>
    <w:div w:id="1725910219">
      <w:bodyDiv w:val="1"/>
      <w:marLeft w:val="0"/>
      <w:marRight w:val="0"/>
      <w:marTop w:val="0"/>
      <w:marBottom w:val="0"/>
      <w:divBdr>
        <w:top w:val="none" w:sz="0" w:space="0" w:color="auto"/>
        <w:left w:val="none" w:sz="0" w:space="0" w:color="auto"/>
        <w:bottom w:val="none" w:sz="0" w:space="0" w:color="auto"/>
        <w:right w:val="none" w:sz="0" w:space="0" w:color="auto"/>
      </w:divBdr>
    </w:div>
    <w:div w:id="1728796917">
      <w:bodyDiv w:val="1"/>
      <w:marLeft w:val="0"/>
      <w:marRight w:val="0"/>
      <w:marTop w:val="0"/>
      <w:marBottom w:val="0"/>
      <w:divBdr>
        <w:top w:val="none" w:sz="0" w:space="0" w:color="auto"/>
        <w:left w:val="none" w:sz="0" w:space="0" w:color="auto"/>
        <w:bottom w:val="none" w:sz="0" w:space="0" w:color="auto"/>
        <w:right w:val="none" w:sz="0" w:space="0" w:color="auto"/>
      </w:divBdr>
    </w:div>
    <w:div w:id="1732725671">
      <w:bodyDiv w:val="1"/>
      <w:marLeft w:val="0"/>
      <w:marRight w:val="0"/>
      <w:marTop w:val="0"/>
      <w:marBottom w:val="0"/>
      <w:divBdr>
        <w:top w:val="none" w:sz="0" w:space="0" w:color="auto"/>
        <w:left w:val="none" w:sz="0" w:space="0" w:color="auto"/>
        <w:bottom w:val="none" w:sz="0" w:space="0" w:color="auto"/>
        <w:right w:val="none" w:sz="0" w:space="0" w:color="auto"/>
      </w:divBdr>
    </w:div>
    <w:div w:id="1733196368">
      <w:bodyDiv w:val="1"/>
      <w:marLeft w:val="0"/>
      <w:marRight w:val="0"/>
      <w:marTop w:val="0"/>
      <w:marBottom w:val="0"/>
      <w:divBdr>
        <w:top w:val="none" w:sz="0" w:space="0" w:color="auto"/>
        <w:left w:val="none" w:sz="0" w:space="0" w:color="auto"/>
        <w:bottom w:val="none" w:sz="0" w:space="0" w:color="auto"/>
        <w:right w:val="none" w:sz="0" w:space="0" w:color="auto"/>
      </w:divBdr>
    </w:div>
    <w:div w:id="1737170443">
      <w:bodyDiv w:val="1"/>
      <w:marLeft w:val="0"/>
      <w:marRight w:val="0"/>
      <w:marTop w:val="0"/>
      <w:marBottom w:val="0"/>
      <w:divBdr>
        <w:top w:val="none" w:sz="0" w:space="0" w:color="auto"/>
        <w:left w:val="none" w:sz="0" w:space="0" w:color="auto"/>
        <w:bottom w:val="none" w:sz="0" w:space="0" w:color="auto"/>
        <w:right w:val="none" w:sz="0" w:space="0" w:color="auto"/>
      </w:divBdr>
    </w:div>
    <w:div w:id="1737624386">
      <w:bodyDiv w:val="1"/>
      <w:marLeft w:val="0"/>
      <w:marRight w:val="0"/>
      <w:marTop w:val="0"/>
      <w:marBottom w:val="0"/>
      <w:divBdr>
        <w:top w:val="none" w:sz="0" w:space="0" w:color="auto"/>
        <w:left w:val="none" w:sz="0" w:space="0" w:color="auto"/>
        <w:bottom w:val="none" w:sz="0" w:space="0" w:color="auto"/>
        <w:right w:val="none" w:sz="0" w:space="0" w:color="auto"/>
      </w:divBdr>
    </w:div>
    <w:div w:id="1737849950">
      <w:bodyDiv w:val="1"/>
      <w:marLeft w:val="0"/>
      <w:marRight w:val="0"/>
      <w:marTop w:val="0"/>
      <w:marBottom w:val="0"/>
      <w:divBdr>
        <w:top w:val="none" w:sz="0" w:space="0" w:color="auto"/>
        <w:left w:val="none" w:sz="0" w:space="0" w:color="auto"/>
        <w:bottom w:val="none" w:sz="0" w:space="0" w:color="auto"/>
        <w:right w:val="none" w:sz="0" w:space="0" w:color="auto"/>
      </w:divBdr>
    </w:div>
    <w:div w:id="1739549519">
      <w:bodyDiv w:val="1"/>
      <w:marLeft w:val="0"/>
      <w:marRight w:val="0"/>
      <w:marTop w:val="0"/>
      <w:marBottom w:val="0"/>
      <w:divBdr>
        <w:top w:val="none" w:sz="0" w:space="0" w:color="auto"/>
        <w:left w:val="none" w:sz="0" w:space="0" w:color="auto"/>
        <w:bottom w:val="none" w:sz="0" w:space="0" w:color="auto"/>
        <w:right w:val="none" w:sz="0" w:space="0" w:color="auto"/>
      </w:divBdr>
    </w:div>
    <w:div w:id="1744330695">
      <w:bodyDiv w:val="1"/>
      <w:marLeft w:val="0"/>
      <w:marRight w:val="0"/>
      <w:marTop w:val="0"/>
      <w:marBottom w:val="0"/>
      <w:divBdr>
        <w:top w:val="none" w:sz="0" w:space="0" w:color="auto"/>
        <w:left w:val="none" w:sz="0" w:space="0" w:color="auto"/>
        <w:bottom w:val="none" w:sz="0" w:space="0" w:color="auto"/>
        <w:right w:val="none" w:sz="0" w:space="0" w:color="auto"/>
      </w:divBdr>
    </w:div>
    <w:div w:id="1744372565">
      <w:bodyDiv w:val="1"/>
      <w:marLeft w:val="0"/>
      <w:marRight w:val="0"/>
      <w:marTop w:val="0"/>
      <w:marBottom w:val="0"/>
      <w:divBdr>
        <w:top w:val="none" w:sz="0" w:space="0" w:color="auto"/>
        <w:left w:val="none" w:sz="0" w:space="0" w:color="auto"/>
        <w:bottom w:val="none" w:sz="0" w:space="0" w:color="auto"/>
        <w:right w:val="none" w:sz="0" w:space="0" w:color="auto"/>
      </w:divBdr>
    </w:div>
    <w:div w:id="1744914423">
      <w:bodyDiv w:val="1"/>
      <w:marLeft w:val="0"/>
      <w:marRight w:val="0"/>
      <w:marTop w:val="0"/>
      <w:marBottom w:val="0"/>
      <w:divBdr>
        <w:top w:val="none" w:sz="0" w:space="0" w:color="auto"/>
        <w:left w:val="none" w:sz="0" w:space="0" w:color="auto"/>
        <w:bottom w:val="none" w:sz="0" w:space="0" w:color="auto"/>
        <w:right w:val="none" w:sz="0" w:space="0" w:color="auto"/>
      </w:divBdr>
    </w:div>
    <w:div w:id="1748385672">
      <w:bodyDiv w:val="1"/>
      <w:marLeft w:val="0"/>
      <w:marRight w:val="0"/>
      <w:marTop w:val="0"/>
      <w:marBottom w:val="0"/>
      <w:divBdr>
        <w:top w:val="none" w:sz="0" w:space="0" w:color="auto"/>
        <w:left w:val="none" w:sz="0" w:space="0" w:color="auto"/>
        <w:bottom w:val="none" w:sz="0" w:space="0" w:color="auto"/>
        <w:right w:val="none" w:sz="0" w:space="0" w:color="auto"/>
      </w:divBdr>
    </w:div>
    <w:div w:id="1752502614">
      <w:bodyDiv w:val="1"/>
      <w:marLeft w:val="0"/>
      <w:marRight w:val="0"/>
      <w:marTop w:val="0"/>
      <w:marBottom w:val="0"/>
      <w:divBdr>
        <w:top w:val="none" w:sz="0" w:space="0" w:color="auto"/>
        <w:left w:val="none" w:sz="0" w:space="0" w:color="auto"/>
        <w:bottom w:val="none" w:sz="0" w:space="0" w:color="auto"/>
        <w:right w:val="none" w:sz="0" w:space="0" w:color="auto"/>
      </w:divBdr>
    </w:div>
    <w:div w:id="1752700408">
      <w:bodyDiv w:val="1"/>
      <w:marLeft w:val="0"/>
      <w:marRight w:val="0"/>
      <w:marTop w:val="0"/>
      <w:marBottom w:val="0"/>
      <w:divBdr>
        <w:top w:val="none" w:sz="0" w:space="0" w:color="auto"/>
        <w:left w:val="none" w:sz="0" w:space="0" w:color="auto"/>
        <w:bottom w:val="none" w:sz="0" w:space="0" w:color="auto"/>
        <w:right w:val="none" w:sz="0" w:space="0" w:color="auto"/>
      </w:divBdr>
    </w:div>
    <w:div w:id="1755399732">
      <w:bodyDiv w:val="1"/>
      <w:marLeft w:val="0"/>
      <w:marRight w:val="0"/>
      <w:marTop w:val="0"/>
      <w:marBottom w:val="0"/>
      <w:divBdr>
        <w:top w:val="none" w:sz="0" w:space="0" w:color="auto"/>
        <w:left w:val="none" w:sz="0" w:space="0" w:color="auto"/>
        <w:bottom w:val="none" w:sz="0" w:space="0" w:color="auto"/>
        <w:right w:val="none" w:sz="0" w:space="0" w:color="auto"/>
      </w:divBdr>
    </w:div>
    <w:div w:id="1756825099">
      <w:bodyDiv w:val="1"/>
      <w:marLeft w:val="0"/>
      <w:marRight w:val="0"/>
      <w:marTop w:val="0"/>
      <w:marBottom w:val="0"/>
      <w:divBdr>
        <w:top w:val="none" w:sz="0" w:space="0" w:color="auto"/>
        <w:left w:val="none" w:sz="0" w:space="0" w:color="auto"/>
        <w:bottom w:val="none" w:sz="0" w:space="0" w:color="auto"/>
        <w:right w:val="none" w:sz="0" w:space="0" w:color="auto"/>
      </w:divBdr>
    </w:div>
    <w:div w:id="1763915779">
      <w:bodyDiv w:val="1"/>
      <w:marLeft w:val="0"/>
      <w:marRight w:val="0"/>
      <w:marTop w:val="0"/>
      <w:marBottom w:val="0"/>
      <w:divBdr>
        <w:top w:val="none" w:sz="0" w:space="0" w:color="auto"/>
        <w:left w:val="none" w:sz="0" w:space="0" w:color="auto"/>
        <w:bottom w:val="none" w:sz="0" w:space="0" w:color="auto"/>
        <w:right w:val="none" w:sz="0" w:space="0" w:color="auto"/>
      </w:divBdr>
    </w:div>
    <w:div w:id="1763917799">
      <w:bodyDiv w:val="1"/>
      <w:marLeft w:val="0"/>
      <w:marRight w:val="0"/>
      <w:marTop w:val="0"/>
      <w:marBottom w:val="0"/>
      <w:divBdr>
        <w:top w:val="none" w:sz="0" w:space="0" w:color="auto"/>
        <w:left w:val="none" w:sz="0" w:space="0" w:color="auto"/>
        <w:bottom w:val="none" w:sz="0" w:space="0" w:color="auto"/>
        <w:right w:val="none" w:sz="0" w:space="0" w:color="auto"/>
      </w:divBdr>
    </w:div>
    <w:div w:id="1768038769">
      <w:bodyDiv w:val="1"/>
      <w:marLeft w:val="0"/>
      <w:marRight w:val="0"/>
      <w:marTop w:val="0"/>
      <w:marBottom w:val="0"/>
      <w:divBdr>
        <w:top w:val="none" w:sz="0" w:space="0" w:color="auto"/>
        <w:left w:val="none" w:sz="0" w:space="0" w:color="auto"/>
        <w:bottom w:val="none" w:sz="0" w:space="0" w:color="auto"/>
        <w:right w:val="none" w:sz="0" w:space="0" w:color="auto"/>
      </w:divBdr>
    </w:div>
    <w:div w:id="1768650563">
      <w:bodyDiv w:val="1"/>
      <w:marLeft w:val="0"/>
      <w:marRight w:val="0"/>
      <w:marTop w:val="0"/>
      <w:marBottom w:val="0"/>
      <w:divBdr>
        <w:top w:val="none" w:sz="0" w:space="0" w:color="auto"/>
        <w:left w:val="none" w:sz="0" w:space="0" w:color="auto"/>
        <w:bottom w:val="none" w:sz="0" w:space="0" w:color="auto"/>
        <w:right w:val="none" w:sz="0" w:space="0" w:color="auto"/>
      </w:divBdr>
    </w:div>
    <w:div w:id="1769884781">
      <w:bodyDiv w:val="1"/>
      <w:marLeft w:val="0"/>
      <w:marRight w:val="0"/>
      <w:marTop w:val="0"/>
      <w:marBottom w:val="0"/>
      <w:divBdr>
        <w:top w:val="none" w:sz="0" w:space="0" w:color="auto"/>
        <w:left w:val="none" w:sz="0" w:space="0" w:color="auto"/>
        <w:bottom w:val="none" w:sz="0" w:space="0" w:color="auto"/>
        <w:right w:val="none" w:sz="0" w:space="0" w:color="auto"/>
      </w:divBdr>
    </w:div>
    <w:div w:id="1770738047">
      <w:bodyDiv w:val="1"/>
      <w:marLeft w:val="0"/>
      <w:marRight w:val="0"/>
      <w:marTop w:val="0"/>
      <w:marBottom w:val="0"/>
      <w:divBdr>
        <w:top w:val="none" w:sz="0" w:space="0" w:color="auto"/>
        <w:left w:val="none" w:sz="0" w:space="0" w:color="auto"/>
        <w:bottom w:val="none" w:sz="0" w:space="0" w:color="auto"/>
        <w:right w:val="none" w:sz="0" w:space="0" w:color="auto"/>
      </w:divBdr>
    </w:div>
    <w:div w:id="1773546096">
      <w:bodyDiv w:val="1"/>
      <w:marLeft w:val="0"/>
      <w:marRight w:val="0"/>
      <w:marTop w:val="0"/>
      <w:marBottom w:val="0"/>
      <w:divBdr>
        <w:top w:val="none" w:sz="0" w:space="0" w:color="auto"/>
        <w:left w:val="none" w:sz="0" w:space="0" w:color="auto"/>
        <w:bottom w:val="none" w:sz="0" w:space="0" w:color="auto"/>
        <w:right w:val="none" w:sz="0" w:space="0" w:color="auto"/>
      </w:divBdr>
    </w:div>
    <w:div w:id="1777872011">
      <w:bodyDiv w:val="1"/>
      <w:marLeft w:val="0"/>
      <w:marRight w:val="0"/>
      <w:marTop w:val="0"/>
      <w:marBottom w:val="0"/>
      <w:divBdr>
        <w:top w:val="none" w:sz="0" w:space="0" w:color="auto"/>
        <w:left w:val="none" w:sz="0" w:space="0" w:color="auto"/>
        <w:bottom w:val="none" w:sz="0" w:space="0" w:color="auto"/>
        <w:right w:val="none" w:sz="0" w:space="0" w:color="auto"/>
      </w:divBdr>
    </w:div>
    <w:div w:id="1778671854">
      <w:bodyDiv w:val="1"/>
      <w:marLeft w:val="0"/>
      <w:marRight w:val="0"/>
      <w:marTop w:val="0"/>
      <w:marBottom w:val="0"/>
      <w:divBdr>
        <w:top w:val="none" w:sz="0" w:space="0" w:color="auto"/>
        <w:left w:val="none" w:sz="0" w:space="0" w:color="auto"/>
        <w:bottom w:val="none" w:sz="0" w:space="0" w:color="auto"/>
        <w:right w:val="none" w:sz="0" w:space="0" w:color="auto"/>
      </w:divBdr>
    </w:div>
    <w:div w:id="1786650501">
      <w:bodyDiv w:val="1"/>
      <w:marLeft w:val="0"/>
      <w:marRight w:val="0"/>
      <w:marTop w:val="0"/>
      <w:marBottom w:val="0"/>
      <w:divBdr>
        <w:top w:val="none" w:sz="0" w:space="0" w:color="auto"/>
        <w:left w:val="none" w:sz="0" w:space="0" w:color="auto"/>
        <w:bottom w:val="none" w:sz="0" w:space="0" w:color="auto"/>
        <w:right w:val="none" w:sz="0" w:space="0" w:color="auto"/>
      </w:divBdr>
    </w:div>
    <w:div w:id="1790397408">
      <w:bodyDiv w:val="1"/>
      <w:marLeft w:val="0"/>
      <w:marRight w:val="0"/>
      <w:marTop w:val="0"/>
      <w:marBottom w:val="0"/>
      <w:divBdr>
        <w:top w:val="none" w:sz="0" w:space="0" w:color="auto"/>
        <w:left w:val="none" w:sz="0" w:space="0" w:color="auto"/>
        <w:bottom w:val="none" w:sz="0" w:space="0" w:color="auto"/>
        <w:right w:val="none" w:sz="0" w:space="0" w:color="auto"/>
      </w:divBdr>
    </w:div>
    <w:div w:id="1795370288">
      <w:bodyDiv w:val="1"/>
      <w:marLeft w:val="0"/>
      <w:marRight w:val="0"/>
      <w:marTop w:val="0"/>
      <w:marBottom w:val="0"/>
      <w:divBdr>
        <w:top w:val="none" w:sz="0" w:space="0" w:color="auto"/>
        <w:left w:val="none" w:sz="0" w:space="0" w:color="auto"/>
        <w:bottom w:val="none" w:sz="0" w:space="0" w:color="auto"/>
        <w:right w:val="none" w:sz="0" w:space="0" w:color="auto"/>
      </w:divBdr>
    </w:div>
    <w:div w:id="1797408448">
      <w:bodyDiv w:val="1"/>
      <w:marLeft w:val="0"/>
      <w:marRight w:val="0"/>
      <w:marTop w:val="0"/>
      <w:marBottom w:val="0"/>
      <w:divBdr>
        <w:top w:val="none" w:sz="0" w:space="0" w:color="auto"/>
        <w:left w:val="none" w:sz="0" w:space="0" w:color="auto"/>
        <w:bottom w:val="none" w:sz="0" w:space="0" w:color="auto"/>
        <w:right w:val="none" w:sz="0" w:space="0" w:color="auto"/>
      </w:divBdr>
    </w:div>
    <w:div w:id="1802575864">
      <w:bodyDiv w:val="1"/>
      <w:marLeft w:val="0"/>
      <w:marRight w:val="0"/>
      <w:marTop w:val="0"/>
      <w:marBottom w:val="0"/>
      <w:divBdr>
        <w:top w:val="none" w:sz="0" w:space="0" w:color="auto"/>
        <w:left w:val="none" w:sz="0" w:space="0" w:color="auto"/>
        <w:bottom w:val="none" w:sz="0" w:space="0" w:color="auto"/>
        <w:right w:val="none" w:sz="0" w:space="0" w:color="auto"/>
      </w:divBdr>
    </w:div>
    <w:div w:id="1804692656">
      <w:bodyDiv w:val="1"/>
      <w:marLeft w:val="0"/>
      <w:marRight w:val="0"/>
      <w:marTop w:val="0"/>
      <w:marBottom w:val="0"/>
      <w:divBdr>
        <w:top w:val="none" w:sz="0" w:space="0" w:color="auto"/>
        <w:left w:val="none" w:sz="0" w:space="0" w:color="auto"/>
        <w:bottom w:val="none" w:sz="0" w:space="0" w:color="auto"/>
        <w:right w:val="none" w:sz="0" w:space="0" w:color="auto"/>
      </w:divBdr>
    </w:div>
    <w:div w:id="1805810291">
      <w:bodyDiv w:val="1"/>
      <w:marLeft w:val="0"/>
      <w:marRight w:val="0"/>
      <w:marTop w:val="0"/>
      <w:marBottom w:val="0"/>
      <w:divBdr>
        <w:top w:val="none" w:sz="0" w:space="0" w:color="auto"/>
        <w:left w:val="none" w:sz="0" w:space="0" w:color="auto"/>
        <w:bottom w:val="none" w:sz="0" w:space="0" w:color="auto"/>
        <w:right w:val="none" w:sz="0" w:space="0" w:color="auto"/>
      </w:divBdr>
    </w:div>
    <w:div w:id="1807577872">
      <w:bodyDiv w:val="1"/>
      <w:marLeft w:val="0"/>
      <w:marRight w:val="0"/>
      <w:marTop w:val="0"/>
      <w:marBottom w:val="0"/>
      <w:divBdr>
        <w:top w:val="none" w:sz="0" w:space="0" w:color="auto"/>
        <w:left w:val="none" w:sz="0" w:space="0" w:color="auto"/>
        <w:bottom w:val="none" w:sz="0" w:space="0" w:color="auto"/>
        <w:right w:val="none" w:sz="0" w:space="0" w:color="auto"/>
      </w:divBdr>
    </w:div>
    <w:div w:id="1808933124">
      <w:bodyDiv w:val="1"/>
      <w:marLeft w:val="0"/>
      <w:marRight w:val="0"/>
      <w:marTop w:val="0"/>
      <w:marBottom w:val="0"/>
      <w:divBdr>
        <w:top w:val="none" w:sz="0" w:space="0" w:color="auto"/>
        <w:left w:val="none" w:sz="0" w:space="0" w:color="auto"/>
        <w:bottom w:val="none" w:sz="0" w:space="0" w:color="auto"/>
        <w:right w:val="none" w:sz="0" w:space="0" w:color="auto"/>
      </w:divBdr>
    </w:div>
    <w:div w:id="1810901129">
      <w:bodyDiv w:val="1"/>
      <w:marLeft w:val="0"/>
      <w:marRight w:val="0"/>
      <w:marTop w:val="0"/>
      <w:marBottom w:val="0"/>
      <w:divBdr>
        <w:top w:val="none" w:sz="0" w:space="0" w:color="auto"/>
        <w:left w:val="none" w:sz="0" w:space="0" w:color="auto"/>
        <w:bottom w:val="none" w:sz="0" w:space="0" w:color="auto"/>
        <w:right w:val="none" w:sz="0" w:space="0" w:color="auto"/>
      </w:divBdr>
    </w:div>
    <w:div w:id="1813012955">
      <w:bodyDiv w:val="1"/>
      <w:marLeft w:val="0"/>
      <w:marRight w:val="0"/>
      <w:marTop w:val="0"/>
      <w:marBottom w:val="0"/>
      <w:divBdr>
        <w:top w:val="none" w:sz="0" w:space="0" w:color="auto"/>
        <w:left w:val="none" w:sz="0" w:space="0" w:color="auto"/>
        <w:bottom w:val="none" w:sz="0" w:space="0" w:color="auto"/>
        <w:right w:val="none" w:sz="0" w:space="0" w:color="auto"/>
      </w:divBdr>
    </w:div>
    <w:div w:id="1815178563">
      <w:bodyDiv w:val="1"/>
      <w:marLeft w:val="0"/>
      <w:marRight w:val="0"/>
      <w:marTop w:val="0"/>
      <w:marBottom w:val="0"/>
      <w:divBdr>
        <w:top w:val="none" w:sz="0" w:space="0" w:color="auto"/>
        <w:left w:val="none" w:sz="0" w:space="0" w:color="auto"/>
        <w:bottom w:val="none" w:sz="0" w:space="0" w:color="auto"/>
        <w:right w:val="none" w:sz="0" w:space="0" w:color="auto"/>
      </w:divBdr>
    </w:div>
    <w:div w:id="1821338303">
      <w:bodyDiv w:val="1"/>
      <w:marLeft w:val="0"/>
      <w:marRight w:val="0"/>
      <w:marTop w:val="0"/>
      <w:marBottom w:val="0"/>
      <w:divBdr>
        <w:top w:val="none" w:sz="0" w:space="0" w:color="auto"/>
        <w:left w:val="none" w:sz="0" w:space="0" w:color="auto"/>
        <w:bottom w:val="none" w:sz="0" w:space="0" w:color="auto"/>
        <w:right w:val="none" w:sz="0" w:space="0" w:color="auto"/>
      </w:divBdr>
    </w:div>
    <w:div w:id="1821925664">
      <w:bodyDiv w:val="1"/>
      <w:marLeft w:val="0"/>
      <w:marRight w:val="0"/>
      <w:marTop w:val="0"/>
      <w:marBottom w:val="0"/>
      <w:divBdr>
        <w:top w:val="none" w:sz="0" w:space="0" w:color="auto"/>
        <w:left w:val="none" w:sz="0" w:space="0" w:color="auto"/>
        <w:bottom w:val="none" w:sz="0" w:space="0" w:color="auto"/>
        <w:right w:val="none" w:sz="0" w:space="0" w:color="auto"/>
      </w:divBdr>
    </w:div>
    <w:div w:id="1822892408">
      <w:bodyDiv w:val="1"/>
      <w:marLeft w:val="0"/>
      <w:marRight w:val="0"/>
      <w:marTop w:val="0"/>
      <w:marBottom w:val="0"/>
      <w:divBdr>
        <w:top w:val="none" w:sz="0" w:space="0" w:color="auto"/>
        <w:left w:val="none" w:sz="0" w:space="0" w:color="auto"/>
        <w:bottom w:val="none" w:sz="0" w:space="0" w:color="auto"/>
        <w:right w:val="none" w:sz="0" w:space="0" w:color="auto"/>
      </w:divBdr>
    </w:div>
    <w:div w:id="1828282401">
      <w:bodyDiv w:val="1"/>
      <w:marLeft w:val="0"/>
      <w:marRight w:val="0"/>
      <w:marTop w:val="0"/>
      <w:marBottom w:val="0"/>
      <w:divBdr>
        <w:top w:val="none" w:sz="0" w:space="0" w:color="auto"/>
        <w:left w:val="none" w:sz="0" w:space="0" w:color="auto"/>
        <w:bottom w:val="none" w:sz="0" w:space="0" w:color="auto"/>
        <w:right w:val="none" w:sz="0" w:space="0" w:color="auto"/>
      </w:divBdr>
    </w:div>
    <w:div w:id="1835146253">
      <w:bodyDiv w:val="1"/>
      <w:marLeft w:val="0"/>
      <w:marRight w:val="0"/>
      <w:marTop w:val="0"/>
      <w:marBottom w:val="0"/>
      <w:divBdr>
        <w:top w:val="none" w:sz="0" w:space="0" w:color="auto"/>
        <w:left w:val="none" w:sz="0" w:space="0" w:color="auto"/>
        <w:bottom w:val="none" w:sz="0" w:space="0" w:color="auto"/>
        <w:right w:val="none" w:sz="0" w:space="0" w:color="auto"/>
      </w:divBdr>
    </w:div>
    <w:div w:id="1835295276">
      <w:bodyDiv w:val="1"/>
      <w:marLeft w:val="0"/>
      <w:marRight w:val="0"/>
      <w:marTop w:val="0"/>
      <w:marBottom w:val="0"/>
      <w:divBdr>
        <w:top w:val="none" w:sz="0" w:space="0" w:color="auto"/>
        <w:left w:val="none" w:sz="0" w:space="0" w:color="auto"/>
        <w:bottom w:val="none" w:sz="0" w:space="0" w:color="auto"/>
        <w:right w:val="none" w:sz="0" w:space="0" w:color="auto"/>
      </w:divBdr>
    </w:div>
    <w:div w:id="1837186876">
      <w:bodyDiv w:val="1"/>
      <w:marLeft w:val="0"/>
      <w:marRight w:val="0"/>
      <w:marTop w:val="0"/>
      <w:marBottom w:val="0"/>
      <w:divBdr>
        <w:top w:val="none" w:sz="0" w:space="0" w:color="auto"/>
        <w:left w:val="none" w:sz="0" w:space="0" w:color="auto"/>
        <w:bottom w:val="none" w:sz="0" w:space="0" w:color="auto"/>
        <w:right w:val="none" w:sz="0" w:space="0" w:color="auto"/>
      </w:divBdr>
    </w:div>
    <w:div w:id="1837921772">
      <w:bodyDiv w:val="1"/>
      <w:marLeft w:val="0"/>
      <w:marRight w:val="0"/>
      <w:marTop w:val="0"/>
      <w:marBottom w:val="0"/>
      <w:divBdr>
        <w:top w:val="none" w:sz="0" w:space="0" w:color="auto"/>
        <w:left w:val="none" w:sz="0" w:space="0" w:color="auto"/>
        <w:bottom w:val="none" w:sz="0" w:space="0" w:color="auto"/>
        <w:right w:val="none" w:sz="0" w:space="0" w:color="auto"/>
      </w:divBdr>
    </w:div>
    <w:div w:id="1838184871">
      <w:bodyDiv w:val="1"/>
      <w:marLeft w:val="0"/>
      <w:marRight w:val="0"/>
      <w:marTop w:val="0"/>
      <w:marBottom w:val="0"/>
      <w:divBdr>
        <w:top w:val="none" w:sz="0" w:space="0" w:color="auto"/>
        <w:left w:val="none" w:sz="0" w:space="0" w:color="auto"/>
        <w:bottom w:val="none" w:sz="0" w:space="0" w:color="auto"/>
        <w:right w:val="none" w:sz="0" w:space="0" w:color="auto"/>
      </w:divBdr>
    </w:div>
    <w:div w:id="1839810807">
      <w:bodyDiv w:val="1"/>
      <w:marLeft w:val="0"/>
      <w:marRight w:val="0"/>
      <w:marTop w:val="0"/>
      <w:marBottom w:val="0"/>
      <w:divBdr>
        <w:top w:val="none" w:sz="0" w:space="0" w:color="auto"/>
        <w:left w:val="none" w:sz="0" w:space="0" w:color="auto"/>
        <w:bottom w:val="none" w:sz="0" w:space="0" w:color="auto"/>
        <w:right w:val="none" w:sz="0" w:space="0" w:color="auto"/>
      </w:divBdr>
    </w:div>
    <w:div w:id="1840272506">
      <w:bodyDiv w:val="1"/>
      <w:marLeft w:val="0"/>
      <w:marRight w:val="0"/>
      <w:marTop w:val="0"/>
      <w:marBottom w:val="0"/>
      <w:divBdr>
        <w:top w:val="none" w:sz="0" w:space="0" w:color="auto"/>
        <w:left w:val="none" w:sz="0" w:space="0" w:color="auto"/>
        <w:bottom w:val="none" w:sz="0" w:space="0" w:color="auto"/>
        <w:right w:val="none" w:sz="0" w:space="0" w:color="auto"/>
      </w:divBdr>
    </w:div>
    <w:div w:id="1840731667">
      <w:bodyDiv w:val="1"/>
      <w:marLeft w:val="0"/>
      <w:marRight w:val="0"/>
      <w:marTop w:val="0"/>
      <w:marBottom w:val="0"/>
      <w:divBdr>
        <w:top w:val="none" w:sz="0" w:space="0" w:color="auto"/>
        <w:left w:val="none" w:sz="0" w:space="0" w:color="auto"/>
        <w:bottom w:val="none" w:sz="0" w:space="0" w:color="auto"/>
        <w:right w:val="none" w:sz="0" w:space="0" w:color="auto"/>
      </w:divBdr>
    </w:div>
    <w:div w:id="1841849368">
      <w:bodyDiv w:val="1"/>
      <w:marLeft w:val="0"/>
      <w:marRight w:val="0"/>
      <w:marTop w:val="0"/>
      <w:marBottom w:val="0"/>
      <w:divBdr>
        <w:top w:val="none" w:sz="0" w:space="0" w:color="auto"/>
        <w:left w:val="none" w:sz="0" w:space="0" w:color="auto"/>
        <w:bottom w:val="none" w:sz="0" w:space="0" w:color="auto"/>
        <w:right w:val="none" w:sz="0" w:space="0" w:color="auto"/>
      </w:divBdr>
    </w:div>
    <w:div w:id="1845972736">
      <w:bodyDiv w:val="1"/>
      <w:marLeft w:val="0"/>
      <w:marRight w:val="0"/>
      <w:marTop w:val="0"/>
      <w:marBottom w:val="0"/>
      <w:divBdr>
        <w:top w:val="none" w:sz="0" w:space="0" w:color="auto"/>
        <w:left w:val="none" w:sz="0" w:space="0" w:color="auto"/>
        <w:bottom w:val="none" w:sz="0" w:space="0" w:color="auto"/>
        <w:right w:val="none" w:sz="0" w:space="0" w:color="auto"/>
      </w:divBdr>
    </w:div>
    <w:div w:id="1854537783">
      <w:bodyDiv w:val="1"/>
      <w:marLeft w:val="0"/>
      <w:marRight w:val="0"/>
      <w:marTop w:val="0"/>
      <w:marBottom w:val="0"/>
      <w:divBdr>
        <w:top w:val="none" w:sz="0" w:space="0" w:color="auto"/>
        <w:left w:val="none" w:sz="0" w:space="0" w:color="auto"/>
        <w:bottom w:val="none" w:sz="0" w:space="0" w:color="auto"/>
        <w:right w:val="none" w:sz="0" w:space="0" w:color="auto"/>
      </w:divBdr>
    </w:div>
    <w:div w:id="1862621148">
      <w:bodyDiv w:val="1"/>
      <w:marLeft w:val="0"/>
      <w:marRight w:val="0"/>
      <w:marTop w:val="0"/>
      <w:marBottom w:val="0"/>
      <w:divBdr>
        <w:top w:val="none" w:sz="0" w:space="0" w:color="auto"/>
        <w:left w:val="none" w:sz="0" w:space="0" w:color="auto"/>
        <w:bottom w:val="none" w:sz="0" w:space="0" w:color="auto"/>
        <w:right w:val="none" w:sz="0" w:space="0" w:color="auto"/>
      </w:divBdr>
    </w:div>
    <w:div w:id="1862622378">
      <w:bodyDiv w:val="1"/>
      <w:marLeft w:val="0"/>
      <w:marRight w:val="0"/>
      <w:marTop w:val="0"/>
      <w:marBottom w:val="0"/>
      <w:divBdr>
        <w:top w:val="none" w:sz="0" w:space="0" w:color="auto"/>
        <w:left w:val="none" w:sz="0" w:space="0" w:color="auto"/>
        <w:bottom w:val="none" w:sz="0" w:space="0" w:color="auto"/>
        <w:right w:val="none" w:sz="0" w:space="0" w:color="auto"/>
      </w:divBdr>
    </w:div>
    <w:div w:id="1864443055">
      <w:bodyDiv w:val="1"/>
      <w:marLeft w:val="0"/>
      <w:marRight w:val="0"/>
      <w:marTop w:val="0"/>
      <w:marBottom w:val="0"/>
      <w:divBdr>
        <w:top w:val="none" w:sz="0" w:space="0" w:color="auto"/>
        <w:left w:val="none" w:sz="0" w:space="0" w:color="auto"/>
        <w:bottom w:val="none" w:sz="0" w:space="0" w:color="auto"/>
        <w:right w:val="none" w:sz="0" w:space="0" w:color="auto"/>
      </w:divBdr>
    </w:div>
    <w:div w:id="1868911285">
      <w:bodyDiv w:val="1"/>
      <w:marLeft w:val="0"/>
      <w:marRight w:val="0"/>
      <w:marTop w:val="0"/>
      <w:marBottom w:val="0"/>
      <w:divBdr>
        <w:top w:val="none" w:sz="0" w:space="0" w:color="auto"/>
        <w:left w:val="none" w:sz="0" w:space="0" w:color="auto"/>
        <w:bottom w:val="none" w:sz="0" w:space="0" w:color="auto"/>
        <w:right w:val="none" w:sz="0" w:space="0" w:color="auto"/>
      </w:divBdr>
    </w:div>
    <w:div w:id="1869221063">
      <w:bodyDiv w:val="1"/>
      <w:marLeft w:val="0"/>
      <w:marRight w:val="0"/>
      <w:marTop w:val="0"/>
      <w:marBottom w:val="0"/>
      <w:divBdr>
        <w:top w:val="none" w:sz="0" w:space="0" w:color="auto"/>
        <w:left w:val="none" w:sz="0" w:space="0" w:color="auto"/>
        <w:bottom w:val="none" w:sz="0" w:space="0" w:color="auto"/>
        <w:right w:val="none" w:sz="0" w:space="0" w:color="auto"/>
      </w:divBdr>
    </w:div>
    <w:div w:id="1870143280">
      <w:bodyDiv w:val="1"/>
      <w:marLeft w:val="0"/>
      <w:marRight w:val="0"/>
      <w:marTop w:val="0"/>
      <w:marBottom w:val="0"/>
      <w:divBdr>
        <w:top w:val="none" w:sz="0" w:space="0" w:color="auto"/>
        <w:left w:val="none" w:sz="0" w:space="0" w:color="auto"/>
        <w:bottom w:val="none" w:sz="0" w:space="0" w:color="auto"/>
        <w:right w:val="none" w:sz="0" w:space="0" w:color="auto"/>
      </w:divBdr>
    </w:div>
    <w:div w:id="1870795906">
      <w:bodyDiv w:val="1"/>
      <w:marLeft w:val="0"/>
      <w:marRight w:val="0"/>
      <w:marTop w:val="0"/>
      <w:marBottom w:val="0"/>
      <w:divBdr>
        <w:top w:val="none" w:sz="0" w:space="0" w:color="auto"/>
        <w:left w:val="none" w:sz="0" w:space="0" w:color="auto"/>
        <w:bottom w:val="none" w:sz="0" w:space="0" w:color="auto"/>
        <w:right w:val="none" w:sz="0" w:space="0" w:color="auto"/>
      </w:divBdr>
    </w:div>
    <w:div w:id="1874226603">
      <w:bodyDiv w:val="1"/>
      <w:marLeft w:val="0"/>
      <w:marRight w:val="0"/>
      <w:marTop w:val="0"/>
      <w:marBottom w:val="0"/>
      <w:divBdr>
        <w:top w:val="none" w:sz="0" w:space="0" w:color="auto"/>
        <w:left w:val="none" w:sz="0" w:space="0" w:color="auto"/>
        <w:bottom w:val="none" w:sz="0" w:space="0" w:color="auto"/>
        <w:right w:val="none" w:sz="0" w:space="0" w:color="auto"/>
      </w:divBdr>
    </w:div>
    <w:div w:id="1878927375">
      <w:bodyDiv w:val="1"/>
      <w:marLeft w:val="0"/>
      <w:marRight w:val="0"/>
      <w:marTop w:val="0"/>
      <w:marBottom w:val="0"/>
      <w:divBdr>
        <w:top w:val="none" w:sz="0" w:space="0" w:color="auto"/>
        <w:left w:val="none" w:sz="0" w:space="0" w:color="auto"/>
        <w:bottom w:val="none" w:sz="0" w:space="0" w:color="auto"/>
        <w:right w:val="none" w:sz="0" w:space="0" w:color="auto"/>
      </w:divBdr>
    </w:div>
    <w:div w:id="1879272444">
      <w:bodyDiv w:val="1"/>
      <w:marLeft w:val="0"/>
      <w:marRight w:val="0"/>
      <w:marTop w:val="0"/>
      <w:marBottom w:val="0"/>
      <w:divBdr>
        <w:top w:val="none" w:sz="0" w:space="0" w:color="auto"/>
        <w:left w:val="none" w:sz="0" w:space="0" w:color="auto"/>
        <w:bottom w:val="none" w:sz="0" w:space="0" w:color="auto"/>
        <w:right w:val="none" w:sz="0" w:space="0" w:color="auto"/>
      </w:divBdr>
    </w:div>
    <w:div w:id="1879664923">
      <w:bodyDiv w:val="1"/>
      <w:marLeft w:val="0"/>
      <w:marRight w:val="0"/>
      <w:marTop w:val="0"/>
      <w:marBottom w:val="0"/>
      <w:divBdr>
        <w:top w:val="none" w:sz="0" w:space="0" w:color="auto"/>
        <w:left w:val="none" w:sz="0" w:space="0" w:color="auto"/>
        <w:bottom w:val="none" w:sz="0" w:space="0" w:color="auto"/>
        <w:right w:val="none" w:sz="0" w:space="0" w:color="auto"/>
      </w:divBdr>
    </w:div>
    <w:div w:id="1883639832">
      <w:bodyDiv w:val="1"/>
      <w:marLeft w:val="0"/>
      <w:marRight w:val="0"/>
      <w:marTop w:val="0"/>
      <w:marBottom w:val="0"/>
      <w:divBdr>
        <w:top w:val="none" w:sz="0" w:space="0" w:color="auto"/>
        <w:left w:val="none" w:sz="0" w:space="0" w:color="auto"/>
        <w:bottom w:val="none" w:sz="0" w:space="0" w:color="auto"/>
        <w:right w:val="none" w:sz="0" w:space="0" w:color="auto"/>
      </w:divBdr>
    </w:div>
    <w:div w:id="1888102334">
      <w:bodyDiv w:val="1"/>
      <w:marLeft w:val="0"/>
      <w:marRight w:val="0"/>
      <w:marTop w:val="0"/>
      <w:marBottom w:val="0"/>
      <w:divBdr>
        <w:top w:val="none" w:sz="0" w:space="0" w:color="auto"/>
        <w:left w:val="none" w:sz="0" w:space="0" w:color="auto"/>
        <w:bottom w:val="none" w:sz="0" w:space="0" w:color="auto"/>
        <w:right w:val="none" w:sz="0" w:space="0" w:color="auto"/>
      </w:divBdr>
    </w:div>
    <w:div w:id="1890415335">
      <w:bodyDiv w:val="1"/>
      <w:marLeft w:val="0"/>
      <w:marRight w:val="0"/>
      <w:marTop w:val="0"/>
      <w:marBottom w:val="0"/>
      <w:divBdr>
        <w:top w:val="none" w:sz="0" w:space="0" w:color="auto"/>
        <w:left w:val="none" w:sz="0" w:space="0" w:color="auto"/>
        <w:bottom w:val="none" w:sz="0" w:space="0" w:color="auto"/>
        <w:right w:val="none" w:sz="0" w:space="0" w:color="auto"/>
      </w:divBdr>
    </w:div>
    <w:div w:id="1892570290">
      <w:bodyDiv w:val="1"/>
      <w:marLeft w:val="0"/>
      <w:marRight w:val="0"/>
      <w:marTop w:val="0"/>
      <w:marBottom w:val="0"/>
      <w:divBdr>
        <w:top w:val="none" w:sz="0" w:space="0" w:color="auto"/>
        <w:left w:val="none" w:sz="0" w:space="0" w:color="auto"/>
        <w:bottom w:val="none" w:sz="0" w:space="0" w:color="auto"/>
        <w:right w:val="none" w:sz="0" w:space="0" w:color="auto"/>
      </w:divBdr>
    </w:div>
    <w:div w:id="1893034186">
      <w:bodyDiv w:val="1"/>
      <w:marLeft w:val="0"/>
      <w:marRight w:val="0"/>
      <w:marTop w:val="0"/>
      <w:marBottom w:val="0"/>
      <w:divBdr>
        <w:top w:val="none" w:sz="0" w:space="0" w:color="auto"/>
        <w:left w:val="none" w:sz="0" w:space="0" w:color="auto"/>
        <w:bottom w:val="none" w:sz="0" w:space="0" w:color="auto"/>
        <w:right w:val="none" w:sz="0" w:space="0" w:color="auto"/>
      </w:divBdr>
    </w:div>
    <w:div w:id="1893729919">
      <w:bodyDiv w:val="1"/>
      <w:marLeft w:val="0"/>
      <w:marRight w:val="0"/>
      <w:marTop w:val="0"/>
      <w:marBottom w:val="0"/>
      <w:divBdr>
        <w:top w:val="none" w:sz="0" w:space="0" w:color="auto"/>
        <w:left w:val="none" w:sz="0" w:space="0" w:color="auto"/>
        <w:bottom w:val="none" w:sz="0" w:space="0" w:color="auto"/>
        <w:right w:val="none" w:sz="0" w:space="0" w:color="auto"/>
      </w:divBdr>
    </w:div>
    <w:div w:id="1893731088">
      <w:bodyDiv w:val="1"/>
      <w:marLeft w:val="0"/>
      <w:marRight w:val="0"/>
      <w:marTop w:val="0"/>
      <w:marBottom w:val="0"/>
      <w:divBdr>
        <w:top w:val="none" w:sz="0" w:space="0" w:color="auto"/>
        <w:left w:val="none" w:sz="0" w:space="0" w:color="auto"/>
        <w:bottom w:val="none" w:sz="0" w:space="0" w:color="auto"/>
        <w:right w:val="none" w:sz="0" w:space="0" w:color="auto"/>
      </w:divBdr>
    </w:div>
    <w:div w:id="1894539376">
      <w:bodyDiv w:val="1"/>
      <w:marLeft w:val="0"/>
      <w:marRight w:val="0"/>
      <w:marTop w:val="0"/>
      <w:marBottom w:val="0"/>
      <w:divBdr>
        <w:top w:val="none" w:sz="0" w:space="0" w:color="auto"/>
        <w:left w:val="none" w:sz="0" w:space="0" w:color="auto"/>
        <w:bottom w:val="none" w:sz="0" w:space="0" w:color="auto"/>
        <w:right w:val="none" w:sz="0" w:space="0" w:color="auto"/>
      </w:divBdr>
    </w:div>
    <w:div w:id="1900897236">
      <w:bodyDiv w:val="1"/>
      <w:marLeft w:val="0"/>
      <w:marRight w:val="0"/>
      <w:marTop w:val="0"/>
      <w:marBottom w:val="0"/>
      <w:divBdr>
        <w:top w:val="none" w:sz="0" w:space="0" w:color="auto"/>
        <w:left w:val="none" w:sz="0" w:space="0" w:color="auto"/>
        <w:bottom w:val="none" w:sz="0" w:space="0" w:color="auto"/>
        <w:right w:val="none" w:sz="0" w:space="0" w:color="auto"/>
      </w:divBdr>
    </w:div>
    <w:div w:id="1907957023">
      <w:bodyDiv w:val="1"/>
      <w:marLeft w:val="0"/>
      <w:marRight w:val="0"/>
      <w:marTop w:val="0"/>
      <w:marBottom w:val="0"/>
      <w:divBdr>
        <w:top w:val="none" w:sz="0" w:space="0" w:color="auto"/>
        <w:left w:val="none" w:sz="0" w:space="0" w:color="auto"/>
        <w:bottom w:val="none" w:sz="0" w:space="0" w:color="auto"/>
        <w:right w:val="none" w:sz="0" w:space="0" w:color="auto"/>
      </w:divBdr>
    </w:div>
    <w:div w:id="1910798760">
      <w:bodyDiv w:val="1"/>
      <w:marLeft w:val="0"/>
      <w:marRight w:val="0"/>
      <w:marTop w:val="0"/>
      <w:marBottom w:val="0"/>
      <w:divBdr>
        <w:top w:val="none" w:sz="0" w:space="0" w:color="auto"/>
        <w:left w:val="none" w:sz="0" w:space="0" w:color="auto"/>
        <w:bottom w:val="none" w:sz="0" w:space="0" w:color="auto"/>
        <w:right w:val="none" w:sz="0" w:space="0" w:color="auto"/>
      </w:divBdr>
    </w:div>
    <w:div w:id="1914389896">
      <w:bodyDiv w:val="1"/>
      <w:marLeft w:val="0"/>
      <w:marRight w:val="0"/>
      <w:marTop w:val="0"/>
      <w:marBottom w:val="0"/>
      <w:divBdr>
        <w:top w:val="none" w:sz="0" w:space="0" w:color="auto"/>
        <w:left w:val="none" w:sz="0" w:space="0" w:color="auto"/>
        <w:bottom w:val="none" w:sz="0" w:space="0" w:color="auto"/>
        <w:right w:val="none" w:sz="0" w:space="0" w:color="auto"/>
      </w:divBdr>
    </w:div>
    <w:div w:id="1915166599">
      <w:bodyDiv w:val="1"/>
      <w:marLeft w:val="0"/>
      <w:marRight w:val="0"/>
      <w:marTop w:val="0"/>
      <w:marBottom w:val="0"/>
      <w:divBdr>
        <w:top w:val="none" w:sz="0" w:space="0" w:color="auto"/>
        <w:left w:val="none" w:sz="0" w:space="0" w:color="auto"/>
        <w:bottom w:val="none" w:sz="0" w:space="0" w:color="auto"/>
        <w:right w:val="none" w:sz="0" w:space="0" w:color="auto"/>
      </w:divBdr>
    </w:div>
    <w:div w:id="1917324776">
      <w:bodyDiv w:val="1"/>
      <w:marLeft w:val="0"/>
      <w:marRight w:val="0"/>
      <w:marTop w:val="0"/>
      <w:marBottom w:val="0"/>
      <w:divBdr>
        <w:top w:val="none" w:sz="0" w:space="0" w:color="auto"/>
        <w:left w:val="none" w:sz="0" w:space="0" w:color="auto"/>
        <w:bottom w:val="none" w:sz="0" w:space="0" w:color="auto"/>
        <w:right w:val="none" w:sz="0" w:space="0" w:color="auto"/>
      </w:divBdr>
    </w:div>
    <w:div w:id="1921137908">
      <w:bodyDiv w:val="1"/>
      <w:marLeft w:val="0"/>
      <w:marRight w:val="0"/>
      <w:marTop w:val="0"/>
      <w:marBottom w:val="0"/>
      <w:divBdr>
        <w:top w:val="none" w:sz="0" w:space="0" w:color="auto"/>
        <w:left w:val="none" w:sz="0" w:space="0" w:color="auto"/>
        <w:bottom w:val="none" w:sz="0" w:space="0" w:color="auto"/>
        <w:right w:val="none" w:sz="0" w:space="0" w:color="auto"/>
      </w:divBdr>
    </w:div>
    <w:div w:id="1921985363">
      <w:bodyDiv w:val="1"/>
      <w:marLeft w:val="0"/>
      <w:marRight w:val="0"/>
      <w:marTop w:val="0"/>
      <w:marBottom w:val="0"/>
      <w:divBdr>
        <w:top w:val="none" w:sz="0" w:space="0" w:color="auto"/>
        <w:left w:val="none" w:sz="0" w:space="0" w:color="auto"/>
        <w:bottom w:val="none" w:sz="0" w:space="0" w:color="auto"/>
        <w:right w:val="none" w:sz="0" w:space="0" w:color="auto"/>
      </w:divBdr>
    </w:div>
    <w:div w:id="1923686105">
      <w:bodyDiv w:val="1"/>
      <w:marLeft w:val="0"/>
      <w:marRight w:val="0"/>
      <w:marTop w:val="0"/>
      <w:marBottom w:val="0"/>
      <w:divBdr>
        <w:top w:val="none" w:sz="0" w:space="0" w:color="auto"/>
        <w:left w:val="none" w:sz="0" w:space="0" w:color="auto"/>
        <w:bottom w:val="none" w:sz="0" w:space="0" w:color="auto"/>
        <w:right w:val="none" w:sz="0" w:space="0" w:color="auto"/>
      </w:divBdr>
    </w:div>
    <w:div w:id="1925259634">
      <w:bodyDiv w:val="1"/>
      <w:marLeft w:val="0"/>
      <w:marRight w:val="0"/>
      <w:marTop w:val="0"/>
      <w:marBottom w:val="0"/>
      <w:divBdr>
        <w:top w:val="none" w:sz="0" w:space="0" w:color="auto"/>
        <w:left w:val="none" w:sz="0" w:space="0" w:color="auto"/>
        <w:bottom w:val="none" w:sz="0" w:space="0" w:color="auto"/>
        <w:right w:val="none" w:sz="0" w:space="0" w:color="auto"/>
      </w:divBdr>
    </w:div>
    <w:div w:id="1925844198">
      <w:bodyDiv w:val="1"/>
      <w:marLeft w:val="0"/>
      <w:marRight w:val="0"/>
      <w:marTop w:val="0"/>
      <w:marBottom w:val="0"/>
      <w:divBdr>
        <w:top w:val="none" w:sz="0" w:space="0" w:color="auto"/>
        <w:left w:val="none" w:sz="0" w:space="0" w:color="auto"/>
        <w:bottom w:val="none" w:sz="0" w:space="0" w:color="auto"/>
        <w:right w:val="none" w:sz="0" w:space="0" w:color="auto"/>
      </w:divBdr>
    </w:div>
    <w:div w:id="1926645967">
      <w:bodyDiv w:val="1"/>
      <w:marLeft w:val="0"/>
      <w:marRight w:val="0"/>
      <w:marTop w:val="0"/>
      <w:marBottom w:val="0"/>
      <w:divBdr>
        <w:top w:val="none" w:sz="0" w:space="0" w:color="auto"/>
        <w:left w:val="none" w:sz="0" w:space="0" w:color="auto"/>
        <w:bottom w:val="none" w:sz="0" w:space="0" w:color="auto"/>
        <w:right w:val="none" w:sz="0" w:space="0" w:color="auto"/>
      </w:divBdr>
    </w:div>
    <w:div w:id="1928494293">
      <w:bodyDiv w:val="1"/>
      <w:marLeft w:val="0"/>
      <w:marRight w:val="0"/>
      <w:marTop w:val="0"/>
      <w:marBottom w:val="0"/>
      <w:divBdr>
        <w:top w:val="none" w:sz="0" w:space="0" w:color="auto"/>
        <w:left w:val="none" w:sz="0" w:space="0" w:color="auto"/>
        <w:bottom w:val="none" w:sz="0" w:space="0" w:color="auto"/>
        <w:right w:val="none" w:sz="0" w:space="0" w:color="auto"/>
      </w:divBdr>
    </w:div>
    <w:div w:id="1930312397">
      <w:bodyDiv w:val="1"/>
      <w:marLeft w:val="0"/>
      <w:marRight w:val="0"/>
      <w:marTop w:val="0"/>
      <w:marBottom w:val="0"/>
      <w:divBdr>
        <w:top w:val="none" w:sz="0" w:space="0" w:color="auto"/>
        <w:left w:val="none" w:sz="0" w:space="0" w:color="auto"/>
        <w:bottom w:val="none" w:sz="0" w:space="0" w:color="auto"/>
        <w:right w:val="none" w:sz="0" w:space="0" w:color="auto"/>
      </w:divBdr>
    </w:div>
    <w:div w:id="1937013507">
      <w:bodyDiv w:val="1"/>
      <w:marLeft w:val="0"/>
      <w:marRight w:val="0"/>
      <w:marTop w:val="0"/>
      <w:marBottom w:val="0"/>
      <w:divBdr>
        <w:top w:val="none" w:sz="0" w:space="0" w:color="auto"/>
        <w:left w:val="none" w:sz="0" w:space="0" w:color="auto"/>
        <w:bottom w:val="none" w:sz="0" w:space="0" w:color="auto"/>
        <w:right w:val="none" w:sz="0" w:space="0" w:color="auto"/>
      </w:divBdr>
    </w:div>
    <w:div w:id="1940789275">
      <w:bodyDiv w:val="1"/>
      <w:marLeft w:val="0"/>
      <w:marRight w:val="0"/>
      <w:marTop w:val="0"/>
      <w:marBottom w:val="0"/>
      <w:divBdr>
        <w:top w:val="none" w:sz="0" w:space="0" w:color="auto"/>
        <w:left w:val="none" w:sz="0" w:space="0" w:color="auto"/>
        <w:bottom w:val="none" w:sz="0" w:space="0" w:color="auto"/>
        <w:right w:val="none" w:sz="0" w:space="0" w:color="auto"/>
      </w:divBdr>
      <w:divsChild>
        <w:div w:id="1142502708">
          <w:marLeft w:val="0"/>
          <w:marRight w:val="0"/>
          <w:marTop w:val="0"/>
          <w:marBottom w:val="0"/>
          <w:divBdr>
            <w:top w:val="none" w:sz="0" w:space="0" w:color="auto"/>
            <w:left w:val="none" w:sz="0" w:space="0" w:color="auto"/>
            <w:bottom w:val="none" w:sz="0" w:space="0" w:color="auto"/>
            <w:right w:val="none" w:sz="0" w:space="0" w:color="auto"/>
          </w:divBdr>
          <w:divsChild>
            <w:div w:id="1804151439">
              <w:marLeft w:val="0"/>
              <w:marRight w:val="0"/>
              <w:marTop w:val="0"/>
              <w:marBottom w:val="0"/>
              <w:divBdr>
                <w:top w:val="none" w:sz="0" w:space="0" w:color="auto"/>
                <w:left w:val="none" w:sz="0" w:space="0" w:color="auto"/>
                <w:bottom w:val="none" w:sz="0" w:space="0" w:color="auto"/>
                <w:right w:val="none" w:sz="0" w:space="0" w:color="auto"/>
              </w:divBdr>
            </w:div>
          </w:divsChild>
        </w:div>
        <w:div w:id="2091847991">
          <w:marLeft w:val="0"/>
          <w:marRight w:val="0"/>
          <w:marTop w:val="0"/>
          <w:marBottom w:val="0"/>
          <w:divBdr>
            <w:top w:val="none" w:sz="0" w:space="0" w:color="auto"/>
            <w:left w:val="none" w:sz="0" w:space="0" w:color="auto"/>
            <w:bottom w:val="none" w:sz="0" w:space="0" w:color="auto"/>
            <w:right w:val="none" w:sz="0" w:space="0" w:color="auto"/>
          </w:divBdr>
          <w:divsChild>
            <w:div w:id="45305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108922">
      <w:bodyDiv w:val="1"/>
      <w:marLeft w:val="0"/>
      <w:marRight w:val="0"/>
      <w:marTop w:val="0"/>
      <w:marBottom w:val="0"/>
      <w:divBdr>
        <w:top w:val="none" w:sz="0" w:space="0" w:color="auto"/>
        <w:left w:val="none" w:sz="0" w:space="0" w:color="auto"/>
        <w:bottom w:val="none" w:sz="0" w:space="0" w:color="auto"/>
        <w:right w:val="none" w:sz="0" w:space="0" w:color="auto"/>
      </w:divBdr>
    </w:div>
    <w:div w:id="1944459122">
      <w:bodyDiv w:val="1"/>
      <w:marLeft w:val="0"/>
      <w:marRight w:val="0"/>
      <w:marTop w:val="0"/>
      <w:marBottom w:val="0"/>
      <w:divBdr>
        <w:top w:val="none" w:sz="0" w:space="0" w:color="auto"/>
        <w:left w:val="none" w:sz="0" w:space="0" w:color="auto"/>
        <w:bottom w:val="none" w:sz="0" w:space="0" w:color="auto"/>
        <w:right w:val="none" w:sz="0" w:space="0" w:color="auto"/>
      </w:divBdr>
    </w:div>
    <w:div w:id="1944923024">
      <w:bodyDiv w:val="1"/>
      <w:marLeft w:val="0"/>
      <w:marRight w:val="0"/>
      <w:marTop w:val="0"/>
      <w:marBottom w:val="0"/>
      <w:divBdr>
        <w:top w:val="none" w:sz="0" w:space="0" w:color="auto"/>
        <w:left w:val="none" w:sz="0" w:space="0" w:color="auto"/>
        <w:bottom w:val="none" w:sz="0" w:space="0" w:color="auto"/>
        <w:right w:val="none" w:sz="0" w:space="0" w:color="auto"/>
      </w:divBdr>
    </w:div>
    <w:div w:id="1947231958">
      <w:bodyDiv w:val="1"/>
      <w:marLeft w:val="0"/>
      <w:marRight w:val="0"/>
      <w:marTop w:val="0"/>
      <w:marBottom w:val="0"/>
      <w:divBdr>
        <w:top w:val="none" w:sz="0" w:space="0" w:color="auto"/>
        <w:left w:val="none" w:sz="0" w:space="0" w:color="auto"/>
        <w:bottom w:val="none" w:sz="0" w:space="0" w:color="auto"/>
        <w:right w:val="none" w:sz="0" w:space="0" w:color="auto"/>
      </w:divBdr>
    </w:div>
    <w:div w:id="1954357576">
      <w:bodyDiv w:val="1"/>
      <w:marLeft w:val="0"/>
      <w:marRight w:val="0"/>
      <w:marTop w:val="0"/>
      <w:marBottom w:val="0"/>
      <w:divBdr>
        <w:top w:val="none" w:sz="0" w:space="0" w:color="auto"/>
        <w:left w:val="none" w:sz="0" w:space="0" w:color="auto"/>
        <w:bottom w:val="none" w:sz="0" w:space="0" w:color="auto"/>
        <w:right w:val="none" w:sz="0" w:space="0" w:color="auto"/>
      </w:divBdr>
    </w:div>
    <w:div w:id="1954437330">
      <w:bodyDiv w:val="1"/>
      <w:marLeft w:val="0"/>
      <w:marRight w:val="0"/>
      <w:marTop w:val="0"/>
      <w:marBottom w:val="0"/>
      <w:divBdr>
        <w:top w:val="none" w:sz="0" w:space="0" w:color="auto"/>
        <w:left w:val="none" w:sz="0" w:space="0" w:color="auto"/>
        <w:bottom w:val="none" w:sz="0" w:space="0" w:color="auto"/>
        <w:right w:val="none" w:sz="0" w:space="0" w:color="auto"/>
      </w:divBdr>
    </w:div>
    <w:div w:id="1956401387">
      <w:bodyDiv w:val="1"/>
      <w:marLeft w:val="0"/>
      <w:marRight w:val="0"/>
      <w:marTop w:val="0"/>
      <w:marBottom w:val="0"/>
      <w:divBdr>
        <w:top w:val="none" w:sz="0" w:space="0" w:color="auto"/>
        <w:left w:val="none" w:sz="0" w:space="0" w:color="auto"/>
        <w:bottom w:val="none" w:sz="0" w:space="0" w:color="auto"/>
        <w:right w:val="none" w:sz="0" w:space="0" w:color="auto"/>
      </w:divBdr>
    </w:div>
    <w:div w:id="1957758226">
      <w:bodyDiv w:val="1"/>
      <w:marLeft w:val="0"/>
      <w:marRight w:val="0"/>
      <w:marTop w:val="0"/>
      <w:marBottom w:val="0"/>
      <w:divBdr>
        <w:top w:val="none" w:sz="0" w:space="0" w:color="auto"/>
        <w:left w:val="none" w:sz="0" w:space="0" w:color="auto"/>
        <w:bottom w:val="none" w:sz="0" w:space="0" w:color="auto"/>
        <w:right w:val="none" w:sz="0" w:space="0" w:color="auto"/>
      </w:divBdr>
    </w:div>
    <w:div w:id="1970282175">
      <w:bodyDiv w:val="1"/>
      <w:marLeft w:val="0"/>
      <w:marRight w:val="0"/>
      <w:marTop w:val="0"/>
      <w:marBottom w:val="0"/>
      <w:divBdr>
        <w:top w:val="none" w:sz="0" w:space="0" w:color="auto"/>
        <w:left w:val="none" w:sz="0" w:space="0" w:color="auto"/>
        <w:bottom w:val="none" w:sz="0" w:space="0" w:color="auto"/>
        <w:right w:val="none" w:sz="0" w:space="0" w:color="auto"/>
      </w:divBdr>
    </w:div>
    <w:div w:id="1971012453">
      <w:bodyDiv w:val="1"/>
      <w:marLeft w:val="0"/>
      <w:marRight w:val="0"/>
      <w:marTop w:val="0"/>
      <w:marBottom w:val="0"/>
      <w:divBdr>
        <w:top w:val="none" w:sz="0" w:space="0" w:color="auto"/>
        <w:left w:val="none" w:sz="0" w:space="0" w:color="auto"/>
        <w:bottom w:val="none" w:sz="0" w:space="0" w:color="auto"/>
        <w:right w:val="none" w:sz="0" w:space="0" w:color="auto"/>
      </w:divBdr>
    </w:div>
    <w:div w:id="1971281877">
      <w:bodyDiv w:val="1"/>
      <w:marLeft w:val="0"/>
      <w:marRight w:val="0"/>
      <w:marTop w:val="0"/>
      <w:marBottom w:val="0"/>
      <w:divBdr>
        <w:top w:val="none" w:sz="0" w:space="0" w:color="auto"/>
        <w:left w:val="none" w:sz="0" w:space="0" w:color="auto"/>
        <w:bottom w:val="none" w:sz="0" w:space="0" w:color="auto"/>
        <w:right w:val="none" w:sz="0" w:space="0" w:color="auto"/>
      </w:divBdr>
    </w:div>
    <w:div w:id="1971813265">
      <w:bodyDiv w:val="1"/>
      <w:marLeft w:val="0"/>
      <w:marRight w:val="0"/>
      <w:marTop w:val="0"/>
      <w:marBottom w:val="0"/>
      <w:divBdr>
        <w:top w:val="none" w:sz="0" w:space="0" w:color="auto"/>
        <w:left w:val="none" w:sz="0" w:space="0" w:color="auto"/>
        <w:bottom w:val="none" w:sz="0" w:space="0" w:color="auto"/>
        <w:right w:val="none" w:sz="0" w:space="0" w:color="auto"/>
      </w:divBdr>
    </w:div>
    <w:div w:id="1972862852">
      <w:bodyDiv w:val="1"/>
      <w:marLeft w:val="0"/>
      <w:marRight w:val="0"/>
      <w:marTop w:val="0"/>
      <w:marBottom w:val="0"/>
      <w:divBdr>
        <w:top w:val="none" w:sz="0" w:space="0" w:color="auto"/>
        <w:left w:val="none" w:sz="0" w:space="0" w:color="auto"/>
        <w:bottom w:val="none" w:sz="0" w:space="0" w:color="auto"/>
        <w:right w:val="none" w:sz="0" w:space="0" w:color="auto"/>
      </w:divBdr>
    </w:div>
    <w:div w:id="1975211737">
      <w:bodyDiv w:val="1"/>
      <w:marLeft w:val="0"/>
      <w:marRight w:val="0"/>
      <w:marTop w:val="0"/>
      <w:marBottom w:val="0"/>
      <w:divBdr>
        <w:top w:val="none" w:sz="0" w:space="0" w:color="auto"/>
        <w:left w:val="none" w:sz="0" w:space="0" w:color="auto"/>
        <w:bottom w:val="none" w:sz="0" w:space="0" w:color="auto"/>
        <w:right w:val="none" w:sz="0" w:space="0" w:color="auto"/>
      </w:divBdr>
    </w:div>
    <w:div w:id="1978532106">
      <w:bodyDiv w:val="1"/>
      <w:marLeft w:val="0"/>
      <w:marRight w:val="0"/>
      <w:marTop w:val="0"/>
      <w:marBottom w:val="0"/>
      <w:divBdr>
        <w:top w:val="none" w:sz="0" w:space="0" w:color="auto"/>
        <w:left w:val="none" w:sz="0" w:space="0" w:color="auto"/>
        <w:bottom w:val="none" w:sz="0" w:space="0" w:color="auto"/>
        <w:right w:val="none" w:sz="0" w:space="0" w:color="auto"/>
      </w:divBdr>
    </w:div>
    <w:div w:id="1978728520">
      <w:bodyDiv w:val="1"/>
      <w:marLeft w:val="0"/>
      <w:marRight w:val="0"/>
      <w:marTop w:val="0"/>
      <w:marBottom w:val="0"/>
      <w:divBdr>
        <w:top w:val="none" w:sz="0" w:space="0" w:color="auto"/>
        <w:left w:val="none" w:sz="0" w:space="0" w:color="auto"/>
        <w:bottom w:val="none" w:sz="0" w:space="0" w:color="auto"/>
        <w:right w:val="none" w:sz="0" w:space="0" w:color="auto"/>
      </w:divBdr>
    </w:div>
    <w:div w:id="1980724513">
      <w:bodyDiv w:val="1"/>
      <w:marLeft w:val="0"/>
      <w:marRight w:val="0"/>
      <w:marTop w:val="0"/>
      <w:marBottom w:val="0"/>
      <w:divBdr>
        <w:top w:val="none" w:sz="0" w:space="0" w:color="auto"/>
        <w:left w:val="none" w:sz="0" w:space="0" w:color="auto"/>
        <w:bottom w:val="none" w:sz="0" w:space="0" w:color="auto"/>
        <w:right w:val="none" w:sz="0" w:space="0" w:color="auto"/>
      </w:divBdr>
    </w:div>
    <w:div w:id="1987275749">
      <w:bodyDiv w:val="1"/>
      <w:marLeft w:val="0"/>
      <w:marRight w:val="0"/>
      <w:marTop w:val="0"/>
      <w:marBottom w:val="0"/>
      <w:divBdr>
        <w:top w:val="none" w:sz="0" w:space="0" w:color="auto"/>
        <w:left w:val="none" w:sz="0" w:space="0" w:color="auto"/>
        <w:bottom w:val="none" w:sz="0" w:space="0" w:color="auto"/>
        <w:right w:val="none" w:sz="0" w:space="0" w:color="auto"/>
      </w:divBdr>
    </w:div>
    <w:div w:id="1988513015">
      <w:bodyDiv w:val="1"/>
      <w:marLeft w:val="0"/>
      <w:marRight w:val="0"/>
      <w:marTop w:val="0"/>
      <w:marBottom w:val="0"/>
      <w:divBdr>
        <w:top w:val="none" w:sz="0" w:space="0" w:color="auto"/>
        <w:left w:val="none" w:sz="0" w:space="0" w:color="auto"/>
        <w:bottom w:val="none" w:sz="0" w:space="0" w:color="auto"/>
        <w:right w:val="none" w:sz="0" w:space="0" w:color="auto"/>
      </w:divBdr>
    </w:div>
    <w:div w:id="2001807979">
      <w:bodyDiv w:val="1"/>
      <w:marLeft w:val="0"/>
      <w:marRight w:val="0"/>
      <w:marTop w:val="0"/>
      <w:marBottom w:val="0"/>
      <w:divBdr>
        <w:top w:val="none" w:sz="0" w:space="0" w:color="auto"/>
        <w:left w:val="none" w:sz="0" w:space="0" w:color="auto"/>
        <w:bottom w:val="none" w:sz="0" w:space="0" w:color="auto"/>
        <w:right w:val="none" w:sz="0" w:space="0" w:color="auto"/>
      </w:divBdr>
    </w:div>
    <w:div w:id="2008750325">
      <w:bodyDiv w:val="1"/>
      <w:marLeft w:val="0"/>
      <w:marRight w:val="0"/>
      <w:marTop w:val="0"/>
      <w:marBottom w:val="0"/>
      <w:divBdr>
        <w:top w:val="none" w:sz="0" w:space="0" w:color="auto"/>
        <w:left w:val="none" w:sz="0" w:space="0" w:color="auto"/>
        <w:bottom w:val="none" w:sz="0" w:space="0" w:color="auto"/>
        <w:right w:val="none" w:sz="0" w:space="0" w:color="auto"/>
      </w:divBdr>
    </w:div>
    <w:div w:id="2010209909">
      <w:bodyDiv w:val="1"/>
      <w:marLeft w:val="0"/>
      <w:marRight w:val="0"/>
      <w:marTop w:val="0"/>
      <w:marBottom w:val="0"/>
      <w:divBdr>
        <w:top w:val="none" w:sz="0" w:space="0" w:color="auto"/>
        <w:left w:val="none" w:sz="0" w:space="0" w:color="auto"/>
        <w:bottom w:val="none" w:sz="0" w:space="0" w:color="auto"/>
        <w:right w:val="none" w:sz="0" w:space="0" w:color="auto"/>
      </w:divBdr>
    </w:div>
    <w:div w:id="2011103404">
      <w:bodyDiv w:val="1"/>
      <w:marLeft w:val="0"/>
      <w:marRight w:val="0"/>
      <w:marTop w:val="0"/>
      <w:marBottom w:val="0"/>
      <w:divBdr>
        <w:top w:val="none" w:sz="0" w:space="0" w:color="auto"/>
        <w:left w:val="none" w:sz="0" w:space="0" w:color="auto"/>
        <w:bottom w:val="none" w:sz="0" w:space="0" w:color="auto"/>
        <w:right w:val="none" w:sz="0" w:space="0" w:color="auto"/>
      </w:divBdr>
    </w:div>
    <w:div w:id="2012678594">
      <w:bodyDiv w:val="1"/>
      <w:marLeft w:val="0"/>
      <w:marRight w:val="0"/>
      <w:marTop w:val="0"/>
      <w:marBottom w:val="0"/>
      <w:divBdr>
        <w:top w:val="none" w:sz="0" w:space="0" w:color="auto"/>
        <w:left w:val="none" w:sz="0" w:space="0" w:color="auto"/>
        <w:bottom w:val="none" w:sz="0" w:space="0" w:color="auto"/>
        <w:right w:val="none" w:sz="0" w:space="0" w:color="auto"/>
      </w:divBdr>
    </w:div>
    <w:div w:id="2019959730">
      <w:bodyDiv w:val="1"/>
      <w:marLeft w:val="0"/>
      <w:marRight w:val="0"/>
      <w:marTop w:val="0"/>
      <w:marBottom w:val="0"/>
      <w:divBdr>
        <w:top w:val="none" w:sz="0" w:space="0" w:color="auto"/>
        <w:left w:val="none" w:sz="0" w:space="0" w:color="auto"/>
        <w:bottom w:val="none" w:sz="0" w:space="0" w:color="auto"/>
        <w:right w:val="none" w:sz="0" w:space="0" w:color="auto"/>
      </w:divBdr>
    </w:div>
    <w:div w:id="2020889347">
      <w:bodyDiv w:val="1"/>
      <w:marLeft w:val="0"/>
      <w:marRight w:val="0"/>
      <w:marTop w:val="0"/>
      <w:marBottom w:val="0"/>
      <w:divBdr>
        <w:top w:val="none" w:sz="0" w:space="0" w:color="auto"/>
        <w:left w:val="none" w:sz="0" w:space="0" w:color="auto"/>
        <w:bottom w:val="none" w:sz="0" w:space="0" w:color="auto"/>
        <w:right w:val="none" w:sz="0" w:space="0" w:color="auto"/>
      </w:divBdr>
    </w:div>
    <w:div w:id="2022512489">
      <w:bodyDiv w:val="1"/>
      <w:marLeft w:val="0"/>
      <w:marRight w:val="0"/>
      <w:marTop w:val="0"/>
      <w:marBottom w:val="0"/>
      <w:divBdr>
        <w:top w:val="none" w:sz="0" w:space="0" w:color="auto"/>
        <w:left w:val="none" w:sz="0" w:space="0" w:color="auto"/>
        <w:bottom w:val="none" w:sz="0" w:space="0" w:color="auto"/>
        <w:right w:val="none" w:sz="0" w:space="0" w:color="auto"/>
      </w:divBdr>
    </w:div>
    <w:div w:id="2022853467">
      <w:bodyDiv w:val="1"/>
      <w:marLeft w:val="0"/>
      <w:marRight w:val="0"/>
      <w:marTop w:val="0"/>
      <w:marBottom w:val="0"/>
      <w:divBdr>
        <w:top w:val="none" w:sz="0" w:space="0" w:color="auto"/>
        <w:left w:val="none" w:sz="0" w:space="0" w:color="auto"/>
        <w:bottom w:val="none" w:sz="0" w:space="0" w:color="auto"/>
        <w:right w:val="none" w:sz="0" w:space="0" w:color="auto"/>
      </w:divBdr>
    </w:div>
    <w:div w:id="2026125970">
      <w:bodyDiv w:val="1"/>
      <w:marLeft w:val="0"/>
      <w:marRight w:val="0"/>
      <w:marTop w:val="0"/>
      <w:marBottom w:val="0"/>
      <w:divBdr>
        <w:top w:val="none" w:sz="0" w:space="0" w:color="auto"/>
        <w:left w:val="none" w:sz="0" w:space="0" w:color="auto"/>
        <w:bottom w:val="none" w:sz="0" w:space="0" w:color="auto"/>
        <w:right w:val="none" w:sz="0" w:space="0" w:color="auto"/>
      </w:divBdr>
    </w:div>
    <w:div w:id="2028208745">
      <w:bodyDiv w:val="1"/>
      <w:marLeft w:val="0"/>
      <w:marRight w:val="0"/>
      <w:marTop w:val="0"/>
      <w:marBottom w:val="0"/>
      <w:divBdr>
        <w:top w:val="none" w:sz="0" w:space="0" w:color="auto"/>
        <w:left w:val="none" w:sz="0" w:space="0" w:color="auto"/>
        <w:bottom w:val="none" w:sz="0" w:space="0" w:color="auto"/>
        <w:right w:val="none" w:sz="0" w:space="0" w:color="auto"/>
      </w:divBdr>
    </w:div>
    <w:div w:id="2028747667">
      <w:bodyDiv w:val="1"/>
      <w:marLeft w:val="0"/>
      <w:marRight w:val="0"/>
      <w:marTop w:val="0"/>
      <w:marBottom w:val="0"/>
      <w:divBdr>
        <w:top w:val="none" w:sz="0" w:space="0" w:color="auto"/>
        <w:left w:val="none" w:sz="0" w:space="0" w:color="auto"/>
        <w:bottom w:val="none" w:sz="0" w:space="0" w:color="auto"/>
        <w:right w:val="none" w:sz="0" w:space="0" w:color="auto"/>
      </w:divBdr>
    </w:div>
    <w:div w:id="2033801954">
      <w:bodyDiv w:val="1"/>
      <w:marLeft w:val="0"/>
      <w:marRight w:val="0"/>
      <w:marTop w:val="0"/>
      <w:marBottom w:val="0"/>
      <w:divBdr>
        <w:top w:val="none" w:sz="0" w:space="0" w:color="auto"/>
        <w:left w:val="none" w:sz="0" w:space="0" w:color="auto"/>
        <w:bottom w:val="none" w:sz="0" w:space="0" w:color="auto"/>
        <w:right w:val="none" w:sz="0" w:space="0" w:color="auto"/>
      </w:divBdr>
    </w:div>
    <w:div w:id="2037341235">
      <w:bodyDiv w:val="1"/>
      <w:marLeft w:val="0"/>
      <w:marRight w:val="0"/>
      <w:marTop w:val="0"/>
      <w:marBottom w:val="0"/>
      <w:divBdr>
        <w:top w:val="none" w:sz="0" w:space="0" w:color="auto"/>
        <w:left w:val="none" w:sz="0" w:space="0" w:color="auto"/>
        <w:bottom w:val="none" w:sz="0" w:space="0" w:color="auto"/>
        <w:right w:val="none" w:sz="0" w:space="0" w:color="auto"/>
      </w:divBdr>
    </w:div>
    <w:div w:id="2037655545">
      <w:bodyDiv w:val="1"/>
      <w:marLeft w:val="0"/>
      <w:marRight w:val="0"/>
      <w:marTop w:val="0"/>
      <w:marBottom w:val="0"/>
      <w:divBdr>
        <w:top w:val="none" w:sz="0" w:space="0" w:color="auto"/>
        <w:left w:val="none" w:sz="0" w:space="0" w:color="auto"/>
        <w:bottom w:val="none" w:sz="0" w:space="0" w:color="auto"/>
        <w:right w:val="none" w:sz="0" w:space="0" w:color="auto"/>
      </w:divBdr>
    </w:div>
    <w:div w:id="2044867406">
      <w:bodyDiv w:val="1"/>
      <w:marLeft w:val="0"/>
      <w:marRight w:val="0"/>
      <w:marTop w:val="0"/>
      <w:marBottom w:val="0"/>
      <w:divBdr>
        <w:top w:val="none" w:sz="0" w:space="0" w:color="auto"/>
        <w:left w:val="none" w:sz="0" w:space="0" w:color="auto"/>
        <w:bottom w:val="none" w:sz="0" w:space="0" w:color="auto"/>
        <w:right w:val="none" w:sz="0" w:space="0" w:color="auto"/>
      </w:divBdr>
    </w:div>
    <w:div w:id="2045247776">
      <w:bodyDiv w:val="1"/>
      <w:marLeft w:val="0"/>
      <w:marRight w:val="0"/>
      <w:marTop w:val="0"/>
      <w:marBottom w:val="0"/>
      <w:divBdr>
        <w:top w:val="none" w:sz="0" w:space="0" w:color="auto"/>
        <w:left w:val="none" w:sz="0" w:space="0" w:color="auto"/>
        <w:bottom w:val="none" w:sz="0" w:space="0" w:color="auto"/>
        <w:right w:val="none" w:sz="0" w:space="0" w:color="auto"/>
      </w:divBdr>
    </w:div>
    <w:div w:id="2045598154">
      <w:bodyDiv w:val="1"/>
      <w:marLeft w:val="0"/>
      <w:marRight w:val="0"/>
      <w:marTop w:val="0"/>
      <w:marBottom w:val="0"/>
      <w:divBdr>
        <w:top w:val="none" w:sz="0" w:space="0" w:color="auto"/>
        <w:left w:val="none" w:sz="0" w:space="0" w:color="auto"/>
        <w:bottom w:val="none" w:sz="0" w:space="0" w:color="auto"/>
        <w:right w:val="none" w:sz="0" w:space="0" w:color="auto"/>
      </w:divBdr>
    </w:div>
    <w:div w:id="2046560011">
      <w:bodyDiv w:val="1"/>
      <w:marLeft w:val="0"/>
      <w:marRight w:val="0"/>
      <w:marTop w:val="0"/>
      <w:marBottom w:val="0"/>
      <w:divBdr>
        <w:top w:val="none" w:sz="0" w:space="0" w:color="auto"/>
        <w:left w:val="none" w:sz="0" w:space="0" w:color="auto"/>
        <w:bottom w:val="none" w:sz="0" w:space="0" w:color="auto"/>
        <w:right w:val="none" w:sz="0" w:space="0" w:color="auto"/>
      </w:divBdr>
    </w:div>
    <w:div w:id="2049261985">
      <w:bodyDiv w:val="1"/>
      <w:marLeft w:val="0"/>
      <w:marRight w:val="0"/>
      <w:marTop w:val="0"/>
      <w:marBottom w:val="0"/>
      <w:divBdr>
        <w:top w:val="none" w:sz="0" w:space="0" w:color="auto"/>
        <w:left w:val="none" w:sz="0" w:space="0" w:color="auto"/>
        <w:bottom w:val="none" w:sz="0" w:space="0" w:color="auto"/>
        <w:right w:val="none" w:sz="0" w:space="0" w:color="auto"/>
      </w:divBdr>
    </w:div>
    <w:div w:id="2054422713">
      <w:bodyDiv w:val="1"/>
      <w:marLeft w:val="0"/>
      <w:marRight w:val="0"/>
      <w:marTop w:val="0"/>
      <w:marBottom w:val="0"/>
      <w:divBdr>
        <w:top w:val="none" w:sz="0" w:space="0" w:color="auto"/>
        <w:left w:val="none" w:sz="0" w:space="0" w:color="auto"/>
        <w:bottom w:val="none" w:sz="0" w:space="0" w:color="auto"/>
        <w:right w:val="none" w:sz="0" w:space="0" w:color="auto"/>
      </w:divBdr>
    </w:div>
    <w:div w:id="2054497531">
      <w:bodyDiv w:val="1"/>
      <w:marLeft w:val="0"/>
      <w:marRight w:val="0"/>
      <w:marTop w:val="0"/>
      <w:marBottom w:val="0"/>
      <w:divBdr>
        <w:top w:val="none" w:sz="0" w:space="0" w:color="auto"/>
        <w:left w:val="none" w:sz="0" w:space="0" w:color="auto"/>
        <w:bottom w:val="none" w:sz="0" w:space="0" w:color="auto"/>
        <w:right w:val="none" w:sz="0" w:space="0" w:color="auto"/>
      </w:divBdr>
    </w:div>
    <w:div w:id="2056732937">
      <w:bodyDiv w:val="1"/>
      <w:marLeft w:val="0"/>
      <w:marRight w:val="0"/>
      <w:marTop w:val="0"/>
      <w:marBottom w:val="0"/>
      <w:divBdr>
        <w:top w:val="none" w:sz="0" w:space="0" w:color="auto"/>
        <w:left w:val="none" w:sz="0" w:space="0" w:color="auto"/>
        <w:bottom w:val="none" w:sz="0" w:space="0" w:color="auto"/>
        <w:right w:val="none" w:sz="0" w:space="0" w:color="auto"/>
      </w:divBdr>
    </w:div>
    <w:div w:id="2060469903">
      <w:bodyDiv w:val="1"/>
      <w:marLeft w:val="0"/>
      <w:marRight w:val="0"/>
      <w:marTop w:val="0"/>
      <w:marBottom w:val="0"/>
      <w:divBdr>
        <w:top w:val="none" w:sz="0" w:space="0" w:color="auto"/>
        <w:left w:val="none" w:sz="0" w:space="0" w:color="auto"/>
        <w:bottom w:val="none" w:sz="0" w:space="0" w:color="auto"/>
        <w:right w:val="none" w:sz="0" w:space="0" w:color="auto"/>
      </w:divBdr>
    </w:div>
    <w:div w:id="2062364419">
      <w:bodyDiv w:val="1"/>
      <w:marLeft w:val="0"/>
      <w:marRight w:val="0"/>
      <w:marTop w:val="0"/>
      <w:marBottom w:val="0"/>
      <w:divBdr>
        <w:top w:val="none" w:sz="0" w:space="0" w:color="auto"/>
        <w:left w:val="none" w:sz="0" w:space="0" w:color="auto"/>
        <w:bottom w:val="none" w:sz="0" w:space="0" w:color="auto"/>
        <w:right w:val="none" w:sz="0" w:space="0" w:color="auto"/>
      </w:divBdr>
    </w:div>
    <w:div w:id="2064597861">
      <w:bodyDiv w:val="1"/>
      <w:marLeft w:val="0"/>
      <w:marRight w:val="0"/>
      <w:marTop w:val="0"/>
      <w:marBottom w:val="0"/>
      <w:divBdr>
        <w:top w:val="none" w:sz="0" w:space="0" w:color="auto"/>
        <w:left w:val="none" w:sz="0" w:space="0" w:color="auto"/>
        <w:bottom w:val="none" w:sz="0" w:space="0" w:color="auto"/>
        <w:right w:val="none" w:sz="0" w:space="0" w:color="auto"/>
      </w:divBdr>
    </w:div>
    <w:div w:id="2066251340">
      <w:bodyDiv w:val="1"/>
      <w:marLeft w:val="0"/>
      <w:marRight w:val="0"/>
      <w:marTop w:val="0"/>
      <w:marBottom w:val="0"/>
      <w:divBdr>
        <w:top w:val="none" w:sz="0" w:space="0" w:color="auto"/>
        <w:left w:val="none" w:sz="0" w:space="0" w:color="auto"/>
        <w:bottom w:val="none" w:sz="0" w:space="0" w:color="auto"/>
        <w:right w:val="none" w:sz="0" w:space="0" w:color="auto"/>
      </w:divBdr>
    </w:div>
    <w:div w:id="2067297125">
      <w:bodyDiv w:val="1"/>
      <w:marLeft w:val="0"/>
      <w:marRight w:val="0"/>
      <w:marTop w:val="0"/>
      <w:marBottom w:val="0"/>
      <w:divBdr>
        <w:top w:val="none" w:sz="0" w:space="0" w:color="auto"/>
        <w:left w:val="none" w:sz="0" w:space="0" w:color="auto"/>
        <w:bottom w:val="none" w:sz="0" w:space="0" w:color="auto"/>
        <w:right w:val="none" w:sz="0" w:space="0" w:color="auto"/>
      </w:divBdr>
    </w:div>
    <w:div w:id="2067949805">
      <w:bodyDiv w:val="1"/>
      <w:marLeft w:val="0"/>
      <w:marRight w:val="0"/>
      <w:marTop w:val="0"/>
      <w:marBottom w:val="0"/>
      <w:divBdr>
        <w:top w:val="none" w:sz="0" w:space="0" w:color="auto"/>
        <w:left w:val="none" w:sz="0" w:space="0" w:color="auto"/>
        <w:bottom w:val="none" w:sz="0" w:space="0" w:color="auto"/>
        <w:right w:val="none" w:sz="0" w:space="0" w:color="auto"/>
      </w:divBdr>
    </w:div>
    <w:div w:id="2075659182">
      <w:bodyDiv w:val="1"/>
      <w:marLeft w:val="0"/>
      <w:marRight w:val="0"/>
      <w:marTop w:val="0"/>
      <w:marBottom w:val="0"/>
      <w:divBdr>
        <w:top w:val="none" w:sz="0" w:space="0" w:color="auto"/>
        <w:left w:val="none" w:sz="0" w:space="0" w:color="auto"/>
        <w:bottom w:val="none" w:sz="0" w:space="0" w:color="auto"/>
        <w:right w:val="none" w:sz="0" w:space="0" w:color="auto"/>
      </w:divBdr>
    </w:div>
    <w:div w:id="2077167257">
      <w:bodyDiv w:val="1"/>
      <w:marLeft w:val="0"/>
      <w:marRight w:val="0"/>
      <w:marTop w:val="0"/>
      <w:marBottom w:val="0"/>
      <w:divBdr>
        <w:top w:val="none" w:sz="0" w:space="0" w:color="auto"/>
        <w:left w:val="none" w:sz="0" w:space="0" w:color="auto"/>
        <w:bottom w:val="none" w:sz="0" w:space="0" w:color="auto"/>
        <w:right w:val="none" w:sz="0" w:space="0" w:color="auto"/>
      </w:divBdr>
    </w:div>
    <w:div w:id="2088185448">
      <w:bodyDiv w:val="1"/>
      <w:marLeft w:val="0"/>
      <w:marRight w:val="0"/>
      <w:marTop w:val="0"/>
      <w:marBottom w:val="0"/>
      <w:divBdr>
        <w:top w:val="none" w:sz="0" w:space="0" w:color="auto"/>
        <w:left w:val="none" w:sz="0" w:space="0" w:color="auto"/>
        <w:bottom w:val="none" w:sz="0" w:space="0" w:color="auto"/>
        <w:right w:val="none" w:sz="0" w:space="0" w:color="auto"/>
      </w:divBdr>
    </w:div>
    <w:div w:id="2088573948">
      <w:bodyDiv w:val="1"/>
      <w:marLeft w:val="0"/>
      <w:marRight w:val="0"/>
      <w:marTop w:val="0"/>
      <w:marBottom w:val="0"/>
      <w:divBdr>
        <w:top w:val="none" w:sz="0" w:space="0" w:color="auto"/>
        <w:left w:val="none" w:sz="0" w:space="0" w:color="auto"/>
        <w:bottom w:val="none" w:sz="0" w:space="0" w:color="auto"/>
        <w:right w:val="none" w:sz="0" w:space="0" w:color="auto"/>
      </w:divBdr>
      <w:divsChild>
        <w:div w:id="1211721438">
          <w:marLeft w:val="0"/>
          <w:marRight w:val="0"/>
          <w:marTop w:val="0"/>
          <w:marBottom w:val="0"/>
          <w:divBdr>
            <w:top w:val="none" w:sz="0" w:space="0" w:color="auto"/>
            <w:left w:val="none" w:sz="0" w:space="0" w:color="auto"/>
            <w:bottom w:val="none" w:sz="0" w:space="0" w:color="auto"/>
            <w:right w:val="none" w:sz="0" w:space="0" w:color="auto"/>
          </w:divBdr>
        </w:div>
      </w:divsChild>
    </w:div>
    <w:div w:id="2088645748">
      <w:bodyDiv w:val="1"/>
      <w:marLeft w:val="0"/>
      <w:marRight w:val="0"/>
      <w:marTop w:val="0"/>
      <w:marBottom w:val="0"/>
      <w:divBdr>
        <w:top w:val="none" w:sz="0" w:space="0" w:color="auto"/>
        <w:left w:val="none" w:sz="0" w:space="0" w:color="auto"/>
        <w:bottom w:val="none" w:sz="0" w:space="0" w:color="auto"/>
        <w:right w:val="none" w:sz="0" w:space="0" w:color="auto"/>
      </w:divBdr>
    </w:div>
    <w:div w:id="2091080042">
      <w:bodyDiv w:val="1"/>
      <w:marLeft w:val="0"/>
      <w:marRight w:val="0"/>
      <w:marTop w:val="0"/>
      <w:marBottom w:val="0"/>
      <w:divBdr>
        <w:top w:val="none" w:sz="0" w:space="0" w:color="auto"/>
        <w:left w:val="none" w:sz="0" w:space="0" w:color="auto"/>
        <w:bottom w:val="none" w:sz="0" w:space="0" w:color="auto"/>
        <w:right w:val="none" w:sz="0" w:space="0" w:color="auto"/>
      </w:divBdr>
    </w:div>
    <w:div w:id="2092727101">
      <w:bodyDiv w:val="1"/>
      <w:marLeft w:val="0"/>
      <w:marRight w:val="0"/>
      <w:marTop w:val="0"/>
      <w:marBottom w:val="0"/>
      <w:divBdr>
        <w:top w:val="none" w:sz="0" w:space="0" w:color="auto"/>
        <w:left w:val="none" w:sz="0" w:space="0" w:color="auto"/>
        <w:bottom w:val="none" w:sz="0" w:space="0" w:color="auto"/>
        <w:right w:val="none" w:sz="0" w:space="0" w:color="auto"/>
      </w:divBdr>
    </w:div>
    <w:div w:id="2101758930">
      <w:bodyDiv w:val="1"/>
      <w:marLeft w:val="0"/>
      <w:marRight w:val="0"/>
      <w:marTop w:val="0"/>
      <w:marBottom w:val="0"/>
      <w:divBdr>
        <w:top w:val="none" w:sz="0" w:space="0" w:color="auto"/>
        <w:left w:val="none" w:sz="0" w:space="0" w:color="auto"/>
        <w:bottom w:val="none" w:sz="0" w:space="0" w:color="auto"/>
        <w:right w:val="none" w:sz="0" w:space="0" w:color="auto"/>
      </w:divBdr>
    </w:div>
    <w:div w:id="2105488048">
      <w:bodyDiv w:val="1"/>
      <w:marLeft w:val="0"/>
      <w:marRight w:val="0"/>
      <w:marTop w:val="0"/>
      <w:marBottom w:val="0"/>
      <w:divBdr>
        <w:top w:val="none" w:sz="0" w:space="0" w:color="auto"/>
        <w:left w:val="none" w:sz="0" w:space="0" w:color="auto"/>
        <w:bottom w:val="none" w:sz="0" w:space="0" w:color="auto"/>
        <w:right w:val="none" w:sz="0" w:space="0" w:color="auto"/>
      </w:divBdr>
    </w:div>
    <w:div w:id="2114738840">
      <w:bodyDiv w:val="1"/>
      <w:marLeft w:val="0"/>
      <w:marRight w:val="0"/>
      <w:marTop w:val="0"/>
      <w:marBottom w:val="0"/>
      <w:divBdr>
        <w:top w:val="none" w:sz="0" w:space="0" w:color="auto"/>
        <w:left w:val="none" w:sz="0" w:space="0" w:color="auto"/>
        <w:bottom w:val="none" w:sz="0" w:space="0" w:color="auto"/>
        <w:right w:val="none" w:sz="0" w:space="0" w:color="auto"/>
      </w:divBdr>
    </w:div>
    <w:div w:id="2116709937">
      <w:bodyDiv w:val="1"/>
      <w:marLeft w:val="0"/>
      <w:marRight w:val="0"/>
      <w:marTop w:val="0"/>
      <w:marBottom w:val="0"/>
      <w:divBdr>
        <w:top w:val="none" w:sz="0" w:space="0" w:color="auto"/>
        <w:left w:val="none" w:sz="0" w:space="0" w:color="auto"/>
        <w:bottom w:val="none" w:sz="0" w:space="0" w:color="auto"/>
        <w:right w:val="none" w:sz="0" w:space="0" w:color="auto"/>
      </w:divBdr>
    </w:div>
    <w:div w:id="2120643999">
      <w:bodyDiv w:val="1"/>
      <w:marLeft w:val="0"/>
      <w:marRight w:val="0"/>
      <w:marTop w:val="0"/>
      <w:marBottom w:val="0"/>
      <w:divBdr>
        <w:top w:val="none" w:sz="0" w:space="0" w:color="auto"/>
        <w:left w:val="none" w:sz="0" w:space="0" w:color="auto"/>
        <w:bottom w:val="none" w:sz="0" w:space="0" w:color="auto"/>
        <w:right w:val="none" w:sz="0" w:space="0" w:color="auto"/>
      </w:divBdr>
    </w:div>
    <w:div w:id="2125691342">
      <w:bodyDiv w:val="1"/>
      <w:marLeft w:val="0"/>
      <w:marRight w:val="0"/>
      <w:marTop w:val="0"/>
      <w:marBottom w:val="0"/>
      <w:divBdr>
        <w:top w:val="none" w:sz="0" w:space="0" w:color="auto"/>
        <w:left w:val="none" w:sz="0" w:space="0" w:color="auto"/>
        <w:bottom w:val="none" w:sz="0" w:space="0" w:color="auto"/>
        <w:right w:val="none" w:sz="0" w:space="0" w:color="auto"/>
      </w:divBdr>
    </w:div>
    <w:div w:id="2126924548">
      <w:bodyDiv w:val="1"/>
      <w:marLeft w:val="0"/>
      <w:marRight w:val="0"/>
      <w:marTop w:val="0"/>
      <w:marBottom w:val="0"/>
      <w:divBdr>
        <w:top w:val="none" w:sz="0" w:space="0" w:color="auto"/>
        <w:left w:val="none" w:sz="0" w:space="0" w:color="auto"/>
        <w:bottom w:val="none" w:sz="0" w:space="0" w:color="auto"/>
        <w:right w:val="none" w:sz="0" w:space="0" w:color="auto"/>
      </w:divBdr>
    </w:div>
    <w:div w:id="2127458541">
      <w:bodyDiv w:val="1"/>
      <w:marLeft w:val="0"/>
      <w:marRight w:val="0"/>
      <w:marTop w:val="0"/>
      <w:marBottom w:val="0"/>
      <w:divBdr>
        <w:top w:val="none" w:sz="0" w:space="0" w:color="auto"/>
        <w:left w:val="none" w:sz="0" w:space="0" w:color="auto"/>
        <w:bottom w:val="none" w:sz="0" w:space="0" w:color="auto"/>
        <w:right w:val="none" w:sz="0" w:space="0" w:color="auto"/>
      </w:divBdr>
    </w:div>
    <w:div w:id="2133546765">
      <w:bodyDiv w:val="1"/>
      <w:marLeft w:val="0"/>
      <w:marRight w:val="0"/>
      <w:marTop w:val="0"/>
      <w:marBottom w:val="0"/>
      <w:divBdr>
        <w:top w:val="none" w:sz="0" w:space="0" w:color="auto"/>
        <w:left w:val="none" w:sz="0" w:space="0" w:color="auto"/>
        <w:bottom w:val="none" w:sz="0" w:space="0" w:color="auto"/>
        <w:right w:val="none" w:sz="0" w:space="0" w:color="auto"/>
      </w:divBdr>
    </w:div>
    <w:div w:id="2134444267">
      <w:bodyDiv w:val="1"/>
      <w:marLeft w:val="0"/>
      <w:marRight w:val="0"/>
      <w:marTop w:val="0"/>
      <w:marBottom w:val="0"/>
      <w:divBdr>
        <w:top w:val="none" w:sz="0" w:space="0" w:color="auto"/>
        <w:left w:val="none" w:sz="0" w:space="0" w:color="auto"/>
        <w:bottom w:val="none" w:sz="0" w:space="0" w:color="auto"/>
        <w:right w:val="none" w:sz="0" w:space="0" w:color="auto"/>
      </w:divBdr>
    </w:div>
    <w:div w:id="2138450544">
      <w:bodyDiv w:val="1"/>
      <w:marLeft w:val="0"/>
      <w:marRight w:val="0"/>
      <w:marTop w:val="0"/>
      <w:marBottom w:val="0"/>
      <w:divBdr>
        <w:top w:val="none" w:sz="0" w:space="0" w:color="auto"/>
        <w:left w:val="none" w:sz="0" w:space="0" w:color="auto"/>
        <w:bottom w:val="none" w:sz="0" w:space="0" w:color="auto"/>
        <w:right w:val="none" w:sz="0" w:space="0" w:color="auto"/>
      </w:divBdr>
    </w:div>
    <w:div w:id="2140874743">
      <w:bodyDiv w:val="1"/>
      <w:marLeft w:val="0"/>
      <w:marRight w:val="0"/>
      <w:marTop w:val="0"/>
      <w:marBottom w:val="0"/>
      <w:divBdr>
        <w:top w:val="none" w:sz="0" w:space="0" w:color="auto"/>
        <w:left w:val="none" w:sz="0" w:space="0" w:color="auto"/>
        <w:bottom w:val="none" w:sz="0" w:space="0" w:color="auto"/>
        <w:right w:val="none" w:sz="0" w:space="0" w:color="auto"/>
      </w:divBdr>
    </w:div>
    <w:div w:id="2141609983">
      <w:bodyDiv w:val="1"/>
      <w:marLeft w:val="0"/>
      <w:marRight w:val="0"/>
      <w:marTop w:val="0"/>
      <w:marBottom w:val="0"/>
      <w:divBdr>
        <w:top w:val="none" w:sz="0" w:space="0" w:color="auto"/>
        <w:left w:val="none" w:sz="0" w:space="0" w:color="auto"/>
        <w:bottom w:val="none" w:sz="0" w:space="0" w:color="auto"/>
        <w:right w:val="none" w:sz="0" w:space="0" w:color="auto"/>
      </w:divBdr>
    </w:div>
    <w:div w:id="2142380632">
      <w:bodyDiv w:val="1"/>
      <w:marLeft w:val="0"/>
      <w:marRight w:val="0"/>
      <w:marTop w:val="0"/>
      <w:marBottom w:val="0"/>
      <w:divBdr>
        <w:top w:val="none" w:sz="0" w:space="0" w:color="auto"/>
        <w:left w:val="none" w:sz="0" w:space="0" w:color="auto"/>
        <w:bottom w:val="none" w:sz="0" w:space="0" w:color="auto"/>
        <w:right w:val="none" w:sz="0" w:space="0" w:color="auto"/>
      </w:divBdr>
    </w:div>
    <w:div w:id="2144227941">
      <w:bodyDiv w:val="1"/>
      <w:marLeft w:val="0"/>
      <w:marRight w:val="0"/>
      <w:marTop w:val="0"/>
      <w:marBottom w:val="0"/>
      <w:divBdr>
        <w:top w:val="none" w:sz="0" w:space="0" w:color="auto"/>
        <w:left w:val="none" w:sz="0" w:space="0" w:color="auto"/>
        <w:bottom w:val="none" w:sz="0" w:space="0" w:color="auto"/>
        <w:right w:val="none" w:sz="0" w:space="0" w:color="auto"/>
      </w:divBdr>
    </w:div>
    <w:div w:id="2144619851">
      <w:bodyDiv w:val="1"/>
      <w:marLeft w:val="0"/>
      <w:marRight w:val="0"/>
      <w:marTop w:val="0"/>
      <w:marBottom w:val="0"/>
      <w:divBdr>
        <w:top w:val="none" w:sz="0" w:space="0" w:color="auto"/>
        <w:left w:val="none" w:sz="0" w:space="0" w:color="auto"/>
        <w:bottom w:val="none" w:sz="0" w:space="0" w:color="auto"/>
        <w:right w:val="none" w:sz="0" w:space="0" w:color="auto"/>
      </w:divBdr>
    </w:div>
    <w:div w:id="2145924817">
      <w:bodyDiv w:val="1"/>
      <w:marLeft w:val="0"/>
      <w:marRight w:val="0"/>
      <w:marTop w:val="0"/>
      <w:marBottom w:val="0"/>
      <w:divBdr>
        <w:top w:val="none" w:sz="0" w:space="0" w:color="auto"/>
        <w:left w:val="none" w:sz="0" w:space="0" w:color="auto"/>
        <w:bottom w:val="none" w:sz="0" w:space="0" w:color="auto"/>
        <w:right w:val="none" w:sz="0" w:space="0" w:color="auto"/>
      </w:divBdr>
    </w:div>
    <w:div w:id="21467708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54127F94A21D1A4DB519421285941FE9" ma:contentTypeVersion="2" ma:contentTypeDescription="Crie um novo documento." ma:contentTypeScope="" ma:versionID="57424cd0ed5925fb41b21f69238208ef">
  <xsd:schema xmlns:xsd="http://www.w3.org/2001/XMLSchema" xmlns:xs="http://www.w3.org/2001/XMLSchema" xmlns:p="http://schemas.microsoft.com/office/2006/metadata/properties" xmlns:ns2="e2f6adba-fe33-41f3-882e-aa128dfbcb50" targetNamespace="http://schemas.microsoft.com/office/2006/metadata/properties" ma:root="true" ma:fieldsID="70c0ad43cdcb845ea223d4fc767415f1" ns2:_="">
    <xsd:import namespace="e2f6adba-fe33-41f3-882e-aa128dfbcb5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f6adba-fe33-41f3-882e-aa128dfbcb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CDD34D-768C-4F52-B4A4-50B75B8BD0E4}">
  <ds:schemaRefs>
    <ds:schemaRef ds:uri="http://schemas.openxmlformats.org/officeDocument/2006/bibliography"/>
  </ds:schemaRefs>
</ds:datastoreItem>
</file>

<file path=customXml/itemProps2.xml><?xml version="1.0" encoding="utf-8"?>
<ds:datastoreItem xmlns:ds="http://schemas.openxmlformats.org/officeDocument/2006/customXml" ds:itemID="{30027053-8B67-49C8-92C4-76ABAA9B49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f6adba-fe33-41f3-882e-aa128dfbcb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0E4DA4-32C8-45CB-958E-52E64C6657C0}">
  <ds:schemaRefs>
    <ds:schemaRef ds:uri="http://schemas.microsoft.com/office/2006/metadata/properties"/>
    <ds:schemaRef ds:uri="http://purl.org/dc/dcmitype/"/>
    <ds:schemaRef ds:uri="http://www.w3.org/XML/1998/namespace"/>
    <ds:schemaRef ds:uri="http://schemas.microsoft.com/office/2006/documentManagement/types"/>
    <ds:schemaRef ds:uri="http://schemas.openxmlformats.org/package/2006/metadata/core-properties"/>
    <ds:schemaRef ds:uri="http://purl.org/dc/terms/"/>
    <ds:schemaRef ds:uri="http://purl.org/dc/elements/1.1/"/>
    <ds:schemaRef ds:uri="http://schemas.microsoft.com/office/infopath/2007/PartnerControls"/>
    <ds:schemaRef ds:uri="e2f6adba-fe33-41f3-882e-aa128dfbcb50"/>
  </ds:schemaRefs>
</ds:datastoreItem>
</file>

<file path=customXml/itemProps4.xml><?xml version="1.0" encoding="utf-8"?>
<ds:datastoreItem xmlns:ds="http://schemas.openxmlformats.org/officeDocument/2006/customXml" ds:itemID="{E57315D6-AE76-4E2F-8EB6-957DB66228D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41</Pages>
  <Words>22015</Words>
  <Characters>118886</Characters>
  <Application>Microsoft Office Word</Application>
  <DocSecurity>0</DocSecurity>
  <Lines>990</Lines>
  <Paragraphs>281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VALEC - ENGENHARIA, CONSTRUÇÕES E FERROVIAS S</vt:lpstr>
      <vt:lpstr>VALEC - ENGENHARIA, CONSTRUÇÕES E FERROVIAS S</vt:lpstr>
    </vt:vector>
  </TitlesOfParts>
  <Company/>
  <LinksUpToDate>false</LinksUpToDate>
  <CharactersWithSpaces>140620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VALEC - ENGENHARIA, CONSTRUÇÕES E FERROVIAS S</dc:title>
  <dc:subject/>
  <dc:creator>Benjamim da Silva Teixeira</dc:creator>
  <cp:keywords/>
  <dc:description/>
  <cp:lastModifiedBy>Bruna Gabriela Rodrigues de Freitas</cp:lastModifiedBy>
  <cp:revision>8</cp:revision>
  <cp:lastPrinted>2022-09-28T20:06:00Z</cp:lastPrinted>
  <dcterms:created xsi:type="dcterms:W3CDTF">2022-09-02T18:50:00Z</dcterms:created>
  <dcterms:modified xsi:type="dcterms:W3CDTF">2022-09-28T20:08:00Z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0x01010054127F94A21D1A4DB519421285941FE9</vt:lpwstr>
  </property>
</Properties>
</file>